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jc w:val="center"/>
        <w:rPr>
          <w:rFonts w:hint="eastAsia" w:ascii="宋体" w:hAnsi="宋体" w:cs="宋体"/>
          <w:b/>
          <w:bCs/>
          <w:sz w:val="28"/>
          <w:szCs w:val="28"/>
          <w:highlight w:val="none"/>
        </w:rPr>
      </w:pPr>
      <w:r>
        <w:rPr>
          <w:rFonts w:hint="eastAsia" w:ascii="宋体" w:hAnsi="宋体" w:cs="宋体"/>
          <w:b/>
          <w:bCs/>
          <w:sz w:val="28"/>
          <w:szCs w:val="28"/>
          <w:highlight w:val="none"/>
        </w:rPr>
        <w:t>中转航延酒店标准谈判文件模板使用说明</w:t>
      </w:r>
    </w:p>
    <w:p>
      <w:pPr>
        <w:spacing w:line="360" w:lineRule="auto"/>
        <w:jc w:val="center"/>
        <w:rPr>
          <w:rFonts w:hint="eastAsia" w:ascii="宋体" w:hAnsi="宋体" w:cs="宋体"/>
          <w:color w:val="0000FF"/>
          <w:sz w:val="24"/>
          <w:highlight w:val="none"/>
        </w:rPr>
      </w:pPr>
      <w:r>
        <w:rPr>
          <w:rFonts w:hint="eastAsia" w:ascii="宋体" w:hAnsi="宋体" w:cs="宋体"/>
          <w:color w:val="0000FF"/>
          <w:sz w:val="24"/>
          <w:highlight w:val="none"/>
        </w:rPr>
        <w:t>【正式文件应在删除本说明后再正式对外发布】</w:t>
      </w:r>
    </w:p>
    <w:p>
      <w:pPr>
        <w:spacing w:line="360" w:lineRule="auto"/>
        <w:jc w:val="center"/>
        <w:rPr>
          <w:rFonts w:hint="eastAsia" w:ascii="宋体" w:hAnsi="宋体" w:cs="宋体"/>
          <w:sz w:val="24"/>
          <w:highlight w:val="none"/>
        </w:rPr>
      </w:pPr>
    </w:p>
    <w:p>
      <w:pPr>
        <w:spacing w:line="360" w:lineRule="auto"/>
        <w:ind w:firstLine="420" w:firstLineChars="175"/>
        <w:rPr>
          <w:rFonts w:hint="eastAsia" w:ascii="宋体" w:hAnsi="宋体" w:cs="宋体"/>
          <w:sz w:val="24"/>
          <w:highlight w:val="none"/>
        </w:rPr>
      </w:pPr>
      <w:r>
        <w:rPr>
          <w:rFonts w:hint="eastAsia" w:ascii="宋体" w:hAnsi="宋体" w:cs="宋体"/>
          <w:sz w:val="24"/>
          <w:highlight w:val="none"/>
        </w:rPr>
        <w:t>一、此为谈判文件格式模板。如果使用其他采购方式，可在该采购方式通用范本上进行编写，供应商资格要求、评分细则、采购需求等核心内容可参考本标准文件。</w:t>
      </w:r>
    </w:p>
    <w:p>
      <w:pPr>
        <w:spacing w:line="360" w:lineRule="auto"/>
        <w:ind w:firstLine="420" w:firstLineChars="175"/>
        <w:rPr>
          <w:rFonts w:hint="eastAsia" w:ascii="宋体" w:hAnsi="宋体" w:cs="宋体"/>
          <w:sz w:val="24"/>
          <w:highlight w:val="none"/>
        </w:rPr>
      </w:pPr>
      <w:r>
        <w:rPr>
          <w:rFonts w:hint="eastAsia" w:ascii="宋体" w:hAnsi="宋体" w:cs="宋体"/>
          <w:sz w:val="24"/>
          <w:highlight w:val="none"/>
        </w:rPr>
        <w:t>二、文中标注方括号部分为可编辑内容，分为两类：</w:t>
      </w:r>
    </w:p>
    <w:p>
      <w:pPr>
        <w:spacing w:line="360" w:lineRule="auto"/>
        <w:ind w:firstLine="420" w:firstLineChars="175"/>
        <w:rPr>
          <w:rFonts w:hint="eastAsia" w:ascii="宋体" w:hAnsi="宋体" w:cs="宋体"/>
          <w:sz w:val="24"/>
          <w:highlight w:val="none"/>
        </w:rPr>
      </w:pPr>
      <w:r>
        <w:rPr>
          <w:rFonts w:hint="eastAsia" w:ascii="宋体" w:hAnsi="宋体" w:cs="宋体"/>
          <w:sz w:val="24"/>
          <w:highlight w:val="none"/>
        </w:rPr>
        <w:t>1、黑色方括号（“【】”）部分：</w:t>
      </w:r>
    </w:p>
    <w:p>
      <w:pPr>
        <w:spacing w:line="360" w:lineRule="auto"/>
        <w:ind w:firstLine="420" w:firstLineChars="175"/>
        <w:rPr>
          <w:rFonts w:hint="eastAsia" w:ascii="宋体" w:hAnsi="宋体" w:cs="宋体"/>
          <w:sz w:val="24"/>
          <w:highlight w:val="none"/>
        </w:rPr>
      </w:pPr>
      <w:r>
        <w:rPr>
          <w:rFonts w:hint="eastAsia" w:ascii="宋体" w:hAnsi="宋体" w:cs="宋体"/>
          <w:sz w:val="24"/>
          <w:highlight w:val="none"/>
        </w:rPr>
        <w:t>为有待编辑（包括填写、选择、复核等）的内容，填写内容时应将该方括号删除。例如：“【】年【】月【】日”、“以上均为【含税/不含税】价”等。</w:t>
      </w:r>
      <w:r>
        <w:rPr>
          <w:rFonts w:hint="eastAsia" w:ascii="宋体" w:hAnsi="宋体" w:cs="宋体"/>
          <w:b/>
          <w:bCs/>
          <w:sz w:val="24"/>
          <w:highlight w:val="none"/>
        </w:rPr>
        <w:t>编辑时应先删除该方括号后再填入内容。</w:t>
      </w:r>
    </w:p>
    <w:p>
      <w:pPr>
        <w:spacing w:line="360" w:lineRule="auto"/>
        <w:ind w:firstLine="420" w:firstLineChars="175"/>
        <w:rPr>
          <w:rFonts w:hint="eastAsia" w:ascii="宋体" w:hAnsi="宋体" w:cs="宋体"/>
          <w:sz w:val="24"/>
          <w:highlight w:val="none"/>
        </w:rPr>
      </w:pPr>
      <w:r>
        <w:rPr>
          <w:rFonts w:hint="eastAsia" w:ascii="宋体" w:hAnsi="宋体" w:cs="宋体"/>
          <w:sz w:val="24"/>
          <w:highlight w:val="none"/>
        </w:rPr>
        <w:t>2、蓝色括号（包括“</w:t>
      </w:r>
      <w:r>
        <w:rPr>
          <w:rFonts w:hint="eastAsia" w:ascii="宋体" w:hAnsi="宋体" w:cs="宋体"/>
          <w:color w:val="000AEB"/>
          <w:sz w:val="24"/>
          <w:highlight w:val="none"/>
        </w:rPr>
        <w:t>【】</w:t>
      </w:r>
      <w:r>
        <w:rPr>
          <w:rFonts w:hint="eastAsia" w:ascii="宋体" w:hAnsi="宋体" w:cs="宋体"/>
          <w:sz w:val="24"/>
          <w:highlight w:val="none"/>
        </w:rPr>
        <w:t>”及“</w:t>
      </w:r>
      <w:r>
        <w:rPr>
          <w:rFonts w:hint="eastAsia" w:ascii="宋体" w:hAnsi="宋体" w:cs="宋体"/>
          <w:color w:val="0000FF"/>
          <w:sz w:val="24"/>
          <w:highlight w:val="none"/>
        </w:rPr>
        <w:t>（）</w:t>
      </w:r>
      <w:r>
        <w:rPr>
          <w:rFonts w:hint="eastAsia" w:ascii="宋体" w:hAnsi="宋体" w:cs="宋体"/>
          <w:sz w:val="24"/>
          <w:highlight w:val="none"/>
        </w:rPr>
        <w:t>”）部分：</w:t>
      </w:r>
    </w:p>
    <w:p>
      <w:pPr>
        <w:spacing w:line="360" w:lineRule="auto"/>
        <w:ind w:firstLine="420" w:firstLineChars="175"/>
        <w:rPr>
          <w:rFonts w:hint="eastAsia" w:ascii="宋体" w:hAnsi="宋体" w:cs="宋体"/>
          <w:sz w:val="24"/>
          <w:highlight w:val="none"/>
        </w:rPr>
      </w:pPr>
      <w:r>
        <w:rPr>
          <w:rFonts w:hint="eastAsia" w:ascii="宋体" w:hAnsi="宋体" w:cs="宋体"/>
          <w:sz w:val="24"/>
          <w:highlight w:val="none"/>
        </w:rPr>
        <w:t>为提醒说明性质。例如：“</w:t>
      </w:r>
      <w:r>
        <w:rPr>
          <w:rFonts w:hint="eastAsia" w:ascii="宋体" w:hAnsi="宋体" w:cs="宋体"/>
          <w:color w:val="000AEB"/>
          <w:sz w:val="24"/>
          <w:highlight w:val="none"/>
        </w:rPr>
        <w:t>【以下可选，可根据项目实际情况进行制定】</w:t>
      </w:r>
      <w:r>
        <w:rPr>
          <w:rFonts w:hint="eastAsia" w:ascii="宋体" w:hAnsi="宋体" w:cs="宋体"/>
          <w:sz w:val="24"/>
          <w:highlight w:val="none"/>
        </w:rPr>
        <w:t>”等。</w:t>
      </w:r>
      <w:r>
        <w:rPr>
          <w:rFonts w:hint="eastAsia" w:ascii="宋体" w:hAnsi="宋体" w:cs="宋体"/>
          <w:b/>
          <w:bCs/>
          <w:sz w:val="24"/>
          <w:highlight w:val="none"/>
        </w:rPr>
        <w:t>编辑完毕后应将所有蓝色字体（包括括号及其中内容）予以删除</w:t>
      </w:r>
      <w:r>
        <w:rPr>
          <w:rFonts w:hint="eastAsia" w:ascii="宋体" w:hAnsi="宋体" w:cs="宋体"/>
          <w:sz w:val="24"/>
          <w:highlight w:val="none"/>
        </w:rPr>
        <w:t>。</w:t>
      </w:r>
    </w:p>
    <w:p>
      <w:pPr>
        <w:spacing w:line="360" w:lineRule="auto"/>
        <w:ind w:firstLine="420" w:firstLineChars="175"/>
        <w:rPr>
          <w:rFonts w:hint="eastAsia" w:ascii="宋体" w:hAnsi="宋体" w:cs="宋体"/>
          <w:sz w:val="24"/>
          <w:highlight w:val="none"/>
        </w:rPr>
      </w:pPr>
      <w:r>
        <w:rPr>
          <w:rFonts w:hint="eastAsia" w:ascii="宋体" w:hAnsi="宋体" w:cs="宋体"/>
          <w:sz w:val="24"/>
          <w:highlight w:val="none"/>
        </w:rPr>
        <w:t>三、为提高采购文件编制、审核效率，</w:t>
      </w:r>
      <w:r>
        <w:rPr>
          <w:rFonts w:hint="eastAsia" w:ascii="宋体" w:hAnsi="宋体" w:cs="宋体"/>
          <w:b/>
          <w:bCs/>
          <w:sz w:val="24"/>
          <w:highlight w:val="none"/>
        </w:rPr>
        <w:t>在模板上做的所有操作（包括但不限于填写、更改、删除等）均应标注修订痕迹</w:t>
      </w:r>
      <w:r>
        <w:rPr>
          <w:rFonts w:hint="eastAsia" w:ascii="宋体" w:hAnsi="宋体" w:cs="宋体"/>
          <w:sz w:val="24"/>
          <w:highlight w:val="none"/>
        </w:rPr>
        <w:t>，待审核定稿后再制作清洁版本。</w:t>
      </w:r>
    </w:p>
    <w:p>
      <w:pPr>
        <w:spacing w:line="360" w:lineRule="auto"/>
        <w:ind w:firstLine="420" w:firstLineChars="175"/>
        <w:rPr>
          <w:rFonts w:hint="eastAsia" w:ascii="宋体" w:hAnsi="宋体" w:cs="宋体"/>
          <w:sz w:val="24"/>
          <w:highlight w:val="none"/>
        </w:rPr>
      </w:pPr>
      <w:r>
        <w:rPr>
          <w:rFonts w:hint="eastAsia" w:ascii="宋体" w:hAnsi="宋体" w:cs="宋体"/>
          <w:sz w:val="24"/>
          <w:highlight w:val="none"/>
        </w:rPr>
        <w:t>四、</w:t>
      </w:r>
      <w:r>
        <w:rPr>
          <w:rFonts w:hint="eastAsia" w:ascii="宋体" w:hAnsi="宋体" w:cs="宋体"/>
          <w:b/>
          <w:bCs/>
          <w:sz w:val="24"/>
          <w:highlight w:val="none"/>
        </w:rPr>
        <w:t>除文中标注方括号部分外，此格式模板其余内容原则上不可更改。</w:t>
      </w:r>
      <w:r>
        <w:rPr>
          <w:rFonts w:hint="eastAsia" w:ascii="宋体" w:hAnsi="宋体" w:cs="宋体"/>
          <w:sz w:val="24"/>
          <w:highlight w:val="none"/>
        </w:rPr>
        <w:t>确需修订的，应显著做出标注并说明理由。</w:t>
      </w:r>
    </w:p>
    <w:p>
      <w:pPr>
        <w:spacing w:line="360" w:lineRule="auto"/>
        <w:ind w:firstLine="420" w:firstLineChars="175"/>
        <w:rPr>
          <w:rFonts w:hint="eastAsia" w:ascii="宋体" w:hAnsi="宋体" w:cs="Arial"/>
          <w:b/>
          <w:sz w:val="44"/>
          <w:szCs w:val="44"/>
          <w:highlight w:val="none"/>
        </w:rPr>
      </w:pPr>
      <w:r>
        <w:rPr>
          <w:rFonts w:hint="eastAsia" w:ascii="宋体" w:hAnsi="宋体" w:cs="宋体"/>
          <w:sz w:val="24"/>
          <w:highlight w:val="none"/>
        </w:rPr>
        <w:t>五、完成文件制作后，</w:t>
      </w:r>
      <w:r>
        <w:rPr>
          <w:rFonts w:hint="eastAsia" w:ascii="宋体" w:hAnsi="宋体" w:cs="宋体"/>
          <w:b/>
          <w:bCs/>
          <w:color w:val="000000"/>
          <w:sz w:val="24"/>
          <w:highlight w:val="none"/>
        </w:rPr>
        <w:t>请注意更新目录</w:t>
      </w:r>
      <w:r>
        <w:rPr>
          <w:rFonts w:hint="eastAsia" w:ascii="宋体" w:hAnsi="宋体" w:cs="宋体"/>
          <w:sz w:val="24"/>
          <w:highlight w:val="none"/>
        </w:rPr>
        <w:t>。</w:t>
      </w:r>
    </w:p>
    <w:p>
      <w:pPr>
        <w:spacing w:line="360" w:lineRule="auto"/>
        <w:ind w:left="-15" w:leftChars="-7"/>
        <w:jc w:val="center"/>
        <w:rPr>
          <w:rFonts w:hint="eastAsia" w:ascii="宋体" w:hAnsi="宋体" w:cs="Arial"/>
          <w:b/>
          <w:sz w:val="44"/>
          <w:szCs w:val="44"/>
          <w:highlight w:val="none"/>
        </w:rPr>
      </w:pPr>
    </w:p>
    <w:p>
      <w:pPr>
        <w:spacing w:line="360" w:lineRule="auto"/>
        <w:ind w:left="-15" w:leftChars="-7"/>
        <w:jc w:val="center"/>
        <w:rPr>
          <w:rFonts w:hint="eastAsia" w:ascii="宋体" w:hAnsi="宋体" w:cs="Arial"/>
          <w:b/>
          <w:sz w:val="44"/>
          <w:szCs w:val="44"/>
          <w:highlight w:val="none"/>
        </w:rPr>
      </w:pPr>
    </w:p>
    <w:p>
      <w:pPr>
        <w:spacing w:line="360" w:lineRule="auto"/>
        <w:ind w:left="-15" w:leftChars="-7"/>
        <w:jc w:val="center"/>
        <w:rPr>
          <w:rFonts w:hint="eastAsia" w:ascii="宋体" w:hAnsi="宋体" w:cs="Arial"/>
          <w:b/>
          <w:sz w:val="44"/>
          <w:szCs w:val="44"/>
          <w:highlight w:val="none"/>
        </w:rPr>
      </w:pPr>
    </w:p>
    <w:p>
      <w:pPr>
        <w:spacing w:line="360" w:lineRule="auto"/>
        <w:ind w:left="-15" w:leftChars="-7"/>
        <w:jc w:val="center"/>
        <w:rPr>
          <w:rFonts w:hint="eastAsia" w:ascii="宋体" w:hAnsi="宋体" w:cs="Arial"/>
          <w:b/>
          <w:sz w:val="44"/>
          <w:szCs w:val="44"/>
          <w:highlight w:val="none"/>
        </w:rPr>
      </w:pPr>
    </w:p>
    <w:p>
      <w:pPr>
        <w:spacing w:line="360" w:lineRule="auto"/>
        <w:ind w:left="-15" w:leftChars="-7"/>
        <w:jc w:val="center"/>
        <w:rPr>
          <w:rFonts w:hint="eastAsia" w:ascii="宋体" w:hAnsi="宋体" w:cs="Arial"/>
          <w:b/>
          <w:sz w:val="44"/>
          <w:szCs w:val="44"/>
          <w:highlight w:val="none"/>
        </w:rPr>
      </w:pPr>
    </w:p>
    <w:p>
      <w:pPr>
        <w:spacing w:line="360" w:lineRule="auto"/>
        <w:ind w:left="-15" w:leftChars="-7"/>
        <w:jc w:val="center"/>
        <w:rPr>
          <w:rFonts w:hint="eastAsia" w:ascii="宋体" w:hAnsi="宋体" w:cs="Arial"/>
          <w:b/>
          <w:sz w:val="44"/>
          <w:szCs w:val="44"/>
          <w:highlight w:val="none"/>
        </w:rPr>
      </w:pPr>
    </w:p>
    <w:p>
      <w:pPr>
        <w:spacing w:line="360" w:lineRule="auto"/>
        <w:ind w:left="-15" w:leftChars="-7"/>
        <w:jc w:val="center"/>
        <w:rPr>
          <w:rFonts w:hint="eastAsia" w:ascii="宋体" w:hAnsi="宋体" w:cs="Arial"/>
          <w:b/>
          <w:sz w:val="44"/>
          <w:szCs w:val="44"/>
          <w:highlight w:val="none"/>
        </w:rPr>
      </w:pPr>
    </w:p>
    <w:p>
      <w:pPr>
        <w:spacing w:line="360" w:lineRule="auto"/>
        <w:ind w:left="-15" w:leftChars="-7"/>
        <w:jc w:val="center"/>
        <w:rPr>
          <w:rFonts w:hint="eastAsia" w:ascii="宋体" w:hAnsi="宋体" w:cs="Arial"/>
          <w:b/>
          <w:sz w:val="44"/>
          <w:szCs w:val="44"/>
          <w:highlight w:val="none"/>
        </w:rPr>
      </w:pPr>
    </w:p>
    <w:p>
      <w:pPr>
        <w:jc w:val="both"/>
        <w:rPr>
          <w:sz w:val="84"/>
          <w:szCs w:val="84"/>
          <w:highlight w:val="none"/>
        </w:rPr>
      </w:pPr>
      <w:bookmarkStart w:id="0" w:name="_Toc13985"/>
    </w:p>
    <w:p>
      <w:pPr>
        <w:jc w:val="center"/>
        <w:rPr>
          <w:sz w:val="84"/>
          <w:szCs w:val="84"/>
          <w:highlight w:val="none"/>
        </w:rPr>
      </w:pPr>
    </w:p>
    <w:bookmarkEnd w:id="0"/>
    <w:p>
      <w:pPr>
        <w:jc w:val="center"/>
        <w:rPr>
          <w:b/>
          <w:szCs w:val="72"/>
          <w:highlight w:val="none"/>
        </w:rPr>
      </w:pPr>
      <w:r>
        <w:rPr>
          <w:rFonts w:hint="eastAsia"/>
          <w:sz w:val="84"/>
          <w:szCs w:val="84"/>
          <w:highlight w:val="none"/>
        </w:rPr>
        <w:t>谈判文件</w:t>
      </w:r>
    </w:p>
    <w:p>
      <w:pPr>
        <w:rPr>
          <w:sz w:val="32"/>
          <w:szCs w:val="32"/>
          <w:highlight w:val="none"/>
        </w:rPr>
      </w:pPr>
    </w:p>
    <w:p>
      <w:pPr>
        <w:jc w:val="center"/>
        <w:rPr>
          <w:rFonts w:hint="eastAsia" w:ascii="宋体" w:hAnsi="宋体" w:cs="Arial"/>
          <w:b/>
          <w:sz w:val="32"/>
          <w:szCs w:val="32"/>
          <w:highlight w:val="none"/>
        </w:rPr>
      </w:pPr>
    </w:p>
    <w:p>
      <w:pPr>
        <w:rPr>
          <w:rFonts w:hint="eastAsia" w:ascii="宋体" w:hAnsi="宋体" w:cs="Arial"/>
          <w:sz w:val="32"/>
          <w:szCs w:val="32"/>
          <w:highlight w:val="none"/>
        </w:rPr>
      </w:pPr>
    </w:p>
    <w:p>
      <w:pPr>
        <w:rPr>
          <w:rFonts w:hint="eastAsia" w:ascii="宋体" w:hAnsi="宋体" w:cs="Arial"/>
          <w:sz w:val="32"/>
          <w:szCs w:val="32"/>
          <w:highlight w:val="none"/>
        </w:rPr>
      </w:pPr>
    </w:p>
    <w:p>
      <w:pPr>
        <w:jc w:val="center"/>
        <w:rPr>
          <w:rFonts w:hint="eastAsia" w:ascii="宋体" w:hAnsi="宋体" w:cs="Arial"/>
          <w:sz w:val="32"/>
          <w:szCs w:val="32"/>
          <w:highlight w:val="none"/>
        </w:rPr>
      </w:pPr>
      <w:bookmarkStart w:id="1" w:name="ProjectCode0"/>
    </w:p>
    <w:p>
      <w:pPr>
        <w:jc w:val="center"/>
        <w:rPr>
          <w:rFonts w:hint="eastAsia" w:ascii="宋体" w:hAnsi="宋体"/>
          <w:sz w:val="32"/>
          <w:szCs w:val="32"/>
          <w:highlight w:val="none"/>
        </w:rPr>
      </w:pPr>
    </w:p>
    <w:bookmarkEnd w:id="1"/>
    <w:p>
      <w:pPr>
        <w:ind w:firstLine="640" w:firstLineChars="200"/>
        <w:rPr>
          <w:rFonts w:hint="eastAsia" w:ascii="宋体" w:hAnsi="宋体" w:cs="宋体"/>
          <w:sz w:val="32"/>
          <w:szCs w:val="32"/>
          <w:highlight w:val="none"/>
        </w:rPr>
      </w:pPr>
      <w:r>
        <w:rPr>
          <w:rFonts w:hint="eastAsia" w:ascii="宋体" w:hAnsi="宋体" w:cs="宋体"/>
          <w:sz w:val="32"/>
          <w:szCs w:val="32"/>
          <w:highlight w:val="none"/>
        </w:rPr>
        <w:t>项目名称：</w:t>
      </w:r>
      <w:permStart w:id="0" w:edGrp="everyone"/>
      <w:r>
        <w:rPr>
          <w:rFonts w:hint="eastAsia" w:ascii="宋体" w:hAnsi="宋体" w:cs="宋体"/>
          <w:sz w:val="32"/>
          <w:szCs w:val="32"/>
          <w:highlight w:val="none"/>
        </w:rPr>
        <w:t>【】中转航延酒店采购项目</w:t>
      </w:r>
      <w:permEnd w:id="0"/>
    </w:p>
    <w:p>
      <w:pPr>
        <w:ind w:firstLine="640" w:firstLineChars="200"/>
        <w:rPr>
          <w:rFonts w:hint="eastAsia" w:ascii="宋体" w:hAnsi="宋体" w:cs="宋体"/>
          <w:sz w:val="32"/>
          <w:szCs w:val="32"/>
          <w:highlight w:val="none"/>
        </w:rPr>
      </w:pPr>
      <w:r>
        <w:rPr>
          <w:rFonts w:hint="eastAsia" w:ascii="宋体" w:hAnsi="宋体" w:cs="宋体"/>
          <w:sz w:val="32"/>
          <w:szCs w:val="32"/>
          <w:highlight w:val="none"/>
        </w:rPr>
        <w:t>项目编号：</w:t>
      </w:r>
      <w:permStart w:id="1" w:edGrp="everyone"/>
      <w:r>
        <w:rPr>
          <w:rFonts w:hint="eastAsia" w:ascii="宋体" w:hAnsi="宋体" w:cs="宋体"/>
          <w:sz w:val="32"/>
          <w:szCs w:val="32"/>
          <w:highlight w:val="none"/>
        </w:rPr>
        <w:t>【】</w:t>
      </w:r>
      <w:permEnd w:id="1"/>
    </w:p>
    <w:p>
      <w:pPr>
        <w:spacing w:line="360" w:lineRule="auto"/>
        <w:ind w:firstLine="640" w:firstLineChars="200"/>
        <w:rPr>
          <w:rFonts w:hint="eastAsia" w:ascii="宋体" w:hAnsi="宋体" w:cs="宋体"/>
          <w:sz w:val="32"/>
          <w:szCs w:val="32"/>
          <w:highlight w:val="none"/>
        </w:rPr>
      </w:pPr>
      <w:r>
        <w:rPr>
          <w:rFonts w:hint="eastAsia" w:ascii="宋体" w:hAnsi="宋体" w:cs="宋体"/>
          <w:sz w:val="32"/>
          <w:szCs w:val="32"/>
          <w:highlight w:val="none"/>
        </w:rPr>
        <w:t>采 购 人：</w:t>
      </w:r>
      <w:permStart w:id="2" w:edGrp="everyone"/>
      <w:r>
        <w:rPr>
          <w:rFonts w:hint="eastAsia" w:ascii="宋体" w:hAnsi="宋体" w:cs="宋体"/>
          <w:sz w:val="32"/>
          <w:szCs w:val="32"/>
          <w:highlight w:val="none"/>
        </w:rPr>
        <w:t>【中国南方航空股份有限公司航空服务部】</w:t>
      </w:r>
      <w:permEnd w:id="2"/>
    </w:p>
    <w:p>
      <w:pPr>
        <w:spacing w:line="360" w:lineRule="auto"/>
        <w:ind w:right="879"/>
        <w:rPr>
          <w:rFonts w:hint="eastAsia" w:ascii="宋体" w:hAnsi="宋体" w:cs="宋体"/>
          <w:sz w:val="32"/>
          <w:szCs w:val="32"/>
          <w:highlight w:val="none"/>
        </w:rPr>
      </w:pPr>
    </w:p>
    <w:p>
      <w:pPr>
        <w:pStyle w:val="3"/>
        <w:rPr>
          <w:highlight w:val="none"/>
        </w:rPr>
      </w:pPr>
    </w:p>
    <w:p>
      <w:pPr>
        <w:spacing w:line="360" w:lineRule="auto"/>
        <w:ind w:right="879"/>
        <w:jc w:val="center"/>
        <w:rPr>
          <w:rFonts w:hint="eastAsia" w:ascii="宋体" w:hAnsi="宋体" w:cs="宋体"/>
          <w:sz w:val="32"/>
          <w:szCs w:val="32"/>
          <w:highlight w:val="none"/>
        </w:rPr>
      </w:pPr>
      <w:permStart w:id="3" w:edGrp="everyone"/>
      <w:r>
        <w:rPr>
          <w:rFonts w:hint="eastAsia" w:ascii="宋体" w:hAnsi="宋体" w:cs="宋体"/>
          <w:sz w:val="32"/>
          <w:szCs w:val="32"/>
          <w:highlight w:val="none"/>
        </w:rPr>
        <w:t>【】年【】月</w:t>
      </w:r>
    </w:p>
    <w:permEnd w:id="3"/>
    <w:p>
      <w:pPr>
        <w:rPr>
          <w:rFonts w:ascii="黑体" w:hAnsi="黑体"/>
          <w:color w:val="auto"/>
          <w:highlight w:val="none"/>
          <w:lang w:val="zh-CN"/>
        </w:rPr>
      </w:pPr>
      <w:bookmarkStart w:id="2" w:name="_Toc19223"/>
      <w:bookmarkStart w:id="3" w:name="_Toc29115"/>
      <w:bookmarkStart w:id="4" w:name="_Toc25769"/>
      <w:bookmarkStart w:id="5" w:name="_Toc12173"/>
      <w:bookmarkStart w:id="6" w:name="_Toc23821"/>
      <w:bookmarkStart w:id="7" w:name="_Toc30800"/>
      <w:bookmarkStart w:id="8" w:name="_Toc22902"/>
      <w:bookmarkStart w:id="9" w:name="_Toc16616"/>
      <w:r>
        <w:rPr>
          <w:rFonts w:ascii="黑体" w:hAnsi="黑体"/>
          <w:color w:val="auto"/>
          <w:highlight w:val="none"/>
          <w:lang w:val="zh-CN"/>
        </w:rPr>
        <w:br w:type="page"/>
      </w:r>
    </w:p>
    <w:p>
      <w:pPr>
        <w:pStyle w:val="42"/>
        <w:jc w:val="center"/>
        <w:rPr>
          <w:b/>
          <w:color w:val="auto"/>
          <w:sz w:val="44"/>
          <w:szCs w:val="44"/>
          <w:highlight w:val="none"/>
        </w:rPr>
      </w:pPr>
      <w:r>
        <w:rPr>
          <w:rFonts w:ascii="黑体" w:hAnsi="黑体"/>
          <w:color w:val="auto"/>
          <w:highlight w:val="none"/>
          <w:lang w:val="zh-CN"/>
        </w:rPr>
        <w:t>目</w:t>
      </w:r>
      <w:r>
        <w:rPr>
          <w:rFonts w:hint="eastAsia" w:ascii="黑体" w:hAnsi="黑体"/>
          <w:color w:val="auto"/>
          <w:highlight w:val="none"/>
          <w:lang w:val="zh-CN"/>
        </w:rPr>
        <w:t xml:space="preserve"> </w:t>
      </w:r>
      <w:r>
        <w:rPr>
          <w:rFonts w:ascii="黑体" w:hAnsi="黑体"/>
          <w:color w:val="auto"/>
          <w:highlight w:val="none"/>
          <w:lang w:val="zh-CN"/>
        </w:rPr>
        <w:t xml:space="preserve"> 录</w:t>
      </w:r>
      <w:bookmarkEnd w:id="2"/>
      <w:bookmarkEnd w:id="3"/>
      <w:bookmarkEnd w:id="4"/>
      <w:bookmarkEnd w:id="5"/>
      <w:bookmarkEnd w:id="6"/>
      <w:bookmarkEnd w:id="7"/>
      <w:bookmarkEnd w:id="8"/>
      <w:bookmarkEnd w:id="9"/>
      <w:bookmarkStart w:id="10" w:name="_Toc504657600"/>
    </w:p>
    <w:p>
      <w:pPr>
        <w:pStyle w:val="18"/>
        <w:tabs>
          <w:tab w:val="right" w:leader="dot" w:pos="8306"/>
        </w:tabs>
      </w:pPr>
      <w:r>
        <w:rPr>
          <w:b/>
          <w:sz w:val="44"/>
          <w:szCs w:val="44"/>
          <w:highlight w:val="none"/>
        </w:rPr>
        <w:fldChar w:fldCharType="begin"/>
      </w:r>
      <w:r>
        <w:rPr>
          <w:b/>
          <w:sz w:val="44"/>
          <w:szCs w:val="44"/>
          <w:highlight w:val="none"/>
        </w:rPr>
        <w:instrText xml:space="preserve">TOC \o "1-2" \h \u </w:instrText>
      </w:r>
      <w:r>
        <w:rPr>
          <w:b/>
          <w:sz w:val="44"/>
          <w:szCs w:val="44"/>
          <w:highlight w:val="none"/>
        </w:rPr>
        <w:fldChar w:fldCharType="separate"/>
      </w:r>
      <w:r>
        <w:rPr>
          <w:szCs w:val="44"/>
          <w:highlight w:val="none"/>
        </w:rPr>
        <w:fldChar w:fldCharType="begin"/>
      </w:r>
      <w:r>
        <w:rPr>
          <w:szCs w:val="44"/>
          <w:highlight w:val="none"/>
        </w:rPr>
        <w:instrText xml:space="preserve"> HYPERLINK \l _Toc32244 </w:instrText>
      </w:r>
      <w:r>
        <w:rPr>
          <w:szCs w:val="44"/>
          <w:highlight w:val="none"/>
        </w:rPr>
        <w:fldChar w:fldCharType="separate"/>
      </w:r>
      <w:r>
        <w:rPr>
          <w:rFonts w:hint="eastAsia"/>
          <w:highlight w:val="none"/>
        </w:rPr>
        <w:t>第一章  谈判公告</w:t>
      </w:r>
      <w:r>
        <w:tab/>
      </w:r>
      <w:r>
        <w:fldChar w:fldCharType="begin"/>
      </w:r>
      <w:r>
        <w:instrText xml:space="preserve"> PAGEREF _Toc32244 \h </w:instrText>
      </w:r>
      <w:r>
        <w:fldChar w:fldCharType="separate"/>
      </w:r>
      <w:r>
        <w:t>5</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_Toc30768 </w:instrText>
      </w:r>
      <w:r>
        <w:rPr>
          <w:szCs w:val="44"/>
          <w:highlight w:val="none"/>
        </w:rPr>
        <w:fldChar w:fldCharType="separate"/>
      </w:r>
      <w:r>
        <w:rPr>
          <w:rFonts w:hint="eastAsia" w:ascii="宋体" w:hAnsi="宋体" w:cs="宋体"/>
          <w:highlight w:val="none"/>
        </w:rPr>
        <w:t>1、</w:t>
      </w:r>
      <w:r>
        <w:rPr>
          <w:rFonts w:hint="eastAsia"/>
          <w:highlight w:val="none"/>
        </w:rPr>
        <w:t>项目简介</w:t>
      </w:r>
      <w:r>
        <w:tab/>
      </w:r>
      <w:r>
        <w:fldChar w:fldCharType="begin"/>
      </w:r>
      <w:r>
        <w:instrText xml:space="preserve"> PAGEREF _Toc30768 \h </w:instrText>
      </w:r>
      <w:r>
        <w:fldChar w:fldCharType="separate"/>
      </w:r>
      <w:r>
        <w:t>5</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_Toc26807 </w:instrText>
      </w:r>
      <w:r>
        <w:rPr>
          <w:szCs w:val="44"/>
          <w:highlight w:val="none"/>
        </w:rPr>
        <w:fldChar w:fldCharType="separate"/>
      </w:r>
      <w:r>
        <w:rPr>
          <w:rFonts w:hint="eastAsia"/>
        </w:rPr>
        <w:t xml:space="preserve">2、 </w:t>
      </w:r>
      <w:r>
        <w:rPr>
          <w:rFonts w:hint="eastAsia"/>
          <w:highlight w:val="none"/>
        </w:rPr>
        <w:t>供应商资格要求</w:t>
      </w:r>
      <w:r>
        <w:tab/>
      </w:r>
      <w:r>
        <w:fldChar w:fldCharType="begin"/>
      </w:r>
      <w:r>
        <w:instrText xml:space="preserve"> PAGEREF _Toc26807 \h </w:instrText>
      </w:r>
      <w:r>
        <w:fldChar w:fldCharType="separate"/>
      </w:r>
      <w:r>
        <w:t>7</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_Toc16931 </w:instrText>
      </w:r>
      <w:r>
        <w:rPr>
          <w:szCs w:val="44"/>
          <w:highlight w:val="none"/>
        </w:rPr>
        <w:fldChar w:fldCharType="separate"/>
      </w:r>
      <w:r>
        <w:rPr>
          <w:rFonts w:hint="eastAsia"/>
          <w:highlight w:val="none"/>
        </w:rPr>
        <w:t>3、</w:t>
      </w:r>
      <w:r>
        <w:rPr>
          <w:rFonts w:hint="eastAsia" w:ascii="宋体" w:hAnsi="宋体" w:cs="宋体"/>
          <w:highlight w:val="none"/>
        </w:rPr>
        <w:t>谈判文件</w:t>
      </w:r>
      <w:r>
        <w:rPr>
          <w:rFonts w:hint="eastAsia"/>
          <w:highlight w:val="none"/>
        </w:rPr>
        <w:t>的获取</w:t>
      </w:r>
      <w:r>
        <w:tab/>
      </w:r>
      <w:r>
        <w:fldChar w:fldCharType="begin"/>
      </w:r>
      <w:r>
        <w:instrText xml:space="preserve"> PAGEREF _Toc16931 \h </w:instrText>
      </w:r>
      <w:r>
        <w:fldChar w:fldCharType="separate"/>
      </w:r>
      <w:r>
        <w:t>10</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_Toc6861 </w:instrText>
      </w:r>
      <w:r>
        <w:rPr>
          <w:szCs w:val="44"/>
          <w:highlight w:val="none"/>
        </w:rPr>
        <w:fldChar w:fldCharType="separate"/>
      </w:r>
      <w:r>
        <w:rPr>
          <w:rFonts w:hint="eastAsia" w:ascii="宋体" w:hAnsi="宋体" w:cs="宋体"/>
          <w:highlight w:val="none"/>
        </w:rPr>
        <w:t>4、响应</w:t>
      </w:r>
      <w:r>
        <w:rPr>
          <w:rFonts w:hint="eastAsia"/>
          <w:highlight w:val="none"/>
        </w:rPr>
        <w:t>文件的递交</w:t>
      </w:r>
      <w:r>
        <w:tab/>
      </w:r>
      <w:r>
        <w:fldChar w:fldCharType="begin"/>
      </w:r>
      <w:r>
        <w:instrText xml:space="preserve"> PAGEREF _Toc6861 \h </w:instrText>
      </w:r>
      <w:r>
        <w:fldChar w:fldCharType="separate"/>
      </w:r>
      <w:r>
        <w:t>10</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_Toc28725 </w:instrText>
      </w:r>
      <w:r>
        <w:rPr>
          <w:szCs w:val="44"/>
          <w:highlight w:val="none"/>
        </w:rPr>
        <w:fldChar w:fldCharType="separate"/>
      </w:r>
      <w:r>
        <w:rPr>
          <w:rFonts w:hint="eastAsia" w:ascii="宋体" w:hAnsi="宋体" w:cs="宋体"/>
          <w:highlight w:val="none"/>
        </w:rPr>
        <w:t>5、联系方式</w:t>
      </w:r>
      <w:r>
        <w:tab/>
      </w:r>
      <w:r>
        <w:fldChar w:fldCharType="begin"/>
      </w:r>
      <w:r>
        <w:instrText xml:space="preserve"> PAGEREF _Toc28725 \h </w:instrText>
      </w:r>
      <w:r>
        <w:fldChar w:fldCharType="separate"/>
      </w:r>
      <w:r>
        <w:t>10</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_Toc26424 </w:instrText>
      </w:r>
      <w:r>
        <w:rPr>
          <w:szCs w:val="44"/>
          <w:highlight w:val="none"/>
        </w:rPr>
        <w:fldChar w:fldCharType="separate"/>
      </w:r>
      <w:r>
        <w:rPr>
          <w:rFonts w:hint="eastAsia" w:ascii="宋体" w:hAnsi="宋体" w:cs="宋体"/>
          <w:highlight w:val="none"/>
        </w:rPr>
        <w:t>6、澄清、异议、投诉反馈路径</w:t>
      </w:r>
      <w:r>
        <w:tab/>
      </w:r>
      <w:r>
        <w:fldChar w:fldCharType="begin"/>
      </w:r>
      <w:r>
        <w:instrText xml:space="preserve"> PAGEREF _Toc26424 \h </w:instrText>
      </w:r>
      <w:r>
        <w:fldChar w:fldCharType="separate"/>
      </w:r>
      <w:r>
        <w:t>10</w:t>
      </w:r>
      <w:r>
        <w:fldChar w:fldCharType="end"/>
      </w:r>
      <w:r>
        <w:rPr>
          <w:szCs w:val="44"/>
          <w:highlight w:val="none"/>
        </w:rPr>
        <w:fldChar w:fldCharType="end"/>
      </w:r>
    </w:p>
    <w:p>
      <w:pPr>
        <w:pStyle w:val="18"/>
        <w:tabs>
          <w:tab w:val="right" w:leader="dot" w:pos="8306"/>
        </w:tabs>
      </w:pPr>
      <w:r>
        <w:rPr>
          <w:szCs w:val="44"/>
          <w:highlight w:val="none"/>
        </w:rPr>
        <w:fldChar w:fldCharType="begin"/>
      </w:r>
      <w:r>
        <w:rPr>
          <w:szCs w:val="44"/>
          <w:highlight w:val="none"/>
        </w:rPr>
        <w:instrText xml:space="preserve"> HYPERLINK \l _Toc7211 </w:instrText>
      </w:r>
      <w:r>
        <w:rPr>
          <w:szCs w:val="44"/>
          <w:highlight w:val="none"/>
        </w:rPr>
        <w:fldChar w:fldCharType="separate"/>
      </w:r>
      <w:r>
        <w:rPr>
          <w:rFonts w:hint="eastAsia"/>
          <w:highlight w:val="none"/>
        </w:rPr>
        <w:t>第二章  供应商须知</w:t>
      </w:r>
      <w:r>
        <w:tab/>
      </w:r>
      <w:r>
        <w:fldChar w:fldCharType="begin"/>
      </w:r>
      <w:r>
        <w:instrText xml:space="preserve"> PAGEREF _Toc7211 \h </w:instrText>
      </w:r>
      <w:r>
        <w:fldChar w:fldCharType="separate"/>
      </w:r>
      <w:r>
        <w:t>12</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_Toc28752 </w:instrText>
      </w:r>
      <w:r>
        <w:rPr>
          <w:szCs w:val="44"/>
          <w:highlight w:val="none"/>
        </w:rPr>
        <w:fldChar w:fldCharType="separate"/>
      </w:r>
      <w:r>
        <w:rPr>
          <w:rFonts w:hint="eastAsia" w:ascii="宋体" w:hAnsi="宋体" w:cs="宋体"/>
          <w:highlight w:val="none"/>
        </w:rPr>
        <w:t>1、</w:t>
      </w:r>
      <w:r>
        <w:rPr>
          <w:rFonts w:hint="eastAsia"/>
          <w:highlight w:val="none"/>
        </w:rPr>
        <w:t>总则</w:t>
      </w:r>
      <w:r>
        <w:tab/>
      </w:r>
      <w:r>
        <w:fldChar w:fldCharType="begin"/>
      </w:r>
      <w:r>
        <w:instrText xml:space="preserve"> PAGEREF _Toc28752 \h </w:instrText>
      </w:r>
      <w:r>
        <w:fldChar w:fldCharType="separate"/>
      </w:r>
      <w:r>
        <w:t>12</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_Toc6167 </w:instrText>
      </w:r>
      <w:r>
        <w:rPr>
          <w:szCs w:val="44"/>
          <w:highlight w:val="none"/>
        </w:rPr>
        <w:fldChar w:fldCharType="separate"/>
      </w:r>
      <w:r>
        <w:rPr>
          <w:rFonts w:hint="eastAsia" w:ascii="宋体" w:hAnsi="宋体" w:cs="宋体"/>
          <w:highlight w:val="none"/>
        </w:rPr>
        <w:t>2、谈判文件</w:t>
      </w:r>
      <w:r>
        <w:tab/>
      </w:r>
      <w:r>
        <w:fldChar w:fldCharType="begin"/>
      </w:r>
      <w:r>
        <w:instrText xml:space="preserve"> PAGEREF _Toc6167 \h </w:instrText>
      </w:r>
      <w:r>
        <w:fldChar w:fldCharType="separate"/>
      </w:r>
      <w:r>
        <w:t>13</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_Toc31885 </w:instrText>
      </w:r>
      <w:r>
        <w:rPr>
          <w:szCs w:val="44"/>
          <w:highlight w:val="none"/>
        </w:rPr>
        <w:fldChar w:fldCharType="separate"/>
      </w:r>
      <w:r>
        <w:rPr>
          <w:rFonts w:hint="eastAsia" w:ascii="宋体" w:hAnsi="宋体" w:cs="宋体"/>
          <w:highlight w:val="none"/>
        </w:rPr>
        <w:t>3、响应文件</w:t>
      </w:r>
      <w:r>
        <w:tab/>
      </w:r>
      <w:r>
        <w:fldChar w:fldCharType="begin"/>
      </w:r>
      <w:r>
        <w:instrText xml:space="preserve"> PAGEREF _Toc31885 \h </w:instrText>
      </w:r>
      <w:r>
        <w:fldChar w:fldCharType="separate"/>
      </w:r>
      <w:r>
        <w:t>14</w:t>
      </w:r>
      <w:r>
        <w:fldChar w:fldCharType="end"/>
      </w:r>
      <w:r>
        <w:rPr>
          <w:szCs w:val="44"/>
          <w:highlight w:val="none"/>
        </w:rPr>
        <w:fldChar w:fldCharType="end"/>
      </w:r>
    </w:p>
    <w:p>
      <w:pPr>
        <w:pStyle w:val="18"/>
        <w:tabs>
          <w:tab w:val="right" w:leader="dot" w:pos="8306"/>
        </w:tabs>
      </w:pPr>
      <w:r>
        <w:rPr>
          <w:szCs w:val="44"/>
          <w:highlight w:val="none"/>
        </w:rPr>
        <w:fldChar w:fldCharType="begin"/>
      </w:r>
      <w:r>
        <w:rPr>
          <w:szCs w:val="44"/>
          <w:highlight w:val="none"/>
        </w:rPr>
        <w:instrText xml:space="preserve"> HYPERLINK \l _Toc8829 </w:instrText>
      </w:r>
      <w:r>
        <w:rPr>
          <w:szCs w:val="44"/>
          <w:highlight w:val="none"/>
        </w:rPr>
        <w:fldChar w:fldCharType="separate"/>
      </w:r>
      <w:r>
        <w:t xml:space="preserve">第三章 </w:t>
      </w:r>
      <w:r>
        <w:rPr>
          <w:rFonts w:hint="eastAsia"/>
          <w:highlight w:val="none"/>
        </w:rPr>
        <w:t>评审</w:t>
      </w:r>
      <w:r>
        <w:rPr>
          <w:highlight w:val="none"/>
        </w:rPr>
        <w:t>办法（综合评</w:t>
      </w:r>
      <w:r>
        <w:rPr>
          <w:rFonts w:hint="eastAsia"/>
          <w:highlight w:val="none"/>
        </w:rPr>
        <w:t>分</w:t>
      </w:r>
      <w:r>
        <w:rPr>
          <w:highlight w:val="none"/>
        </w:rPr>
        <w:t>法）</w:t>
      </w:r>
      <w:r>
        <w:tab/>
      </w:r>
      <w:r>
        <w:fldChar w:fldCharType="begin"/>
      </w:r>
      <w:r>
        <w:instrText xml:space="preserve"> PAGEREF _Toc8829 \h </w:instrText>
      </w:r>
      <w:r>
        <w:fldChar w:fldCharType="separate"/>
      </w:r>
      <w:r>
        <w:t>17</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_Toc17061 </w:instrText>
      </w:r>
      <w:r>
        <w:rPr>
          <w:szCs w:val="44"/>
          <w:highlight w:val="none"/>
        </w:rPr>
        <w:fldChar w:fldCharType="separate"/>
      </w:r>
      <w:r>
        <w:rPr>
          <w:rFonts w:hint="eastAsia" w:ascii="宋体" w:hAnsi="宋体" w:cs="宋体"/>
          <w:highlight w:val="none"/>
        </w:rPr>
        <w:t>1、评审方法</w:t>
      </w:r>
      <w:r>
        <w:tab/>
      </w:r>
      <w:r>
        <w:fldChar w:fldCharType="begin"/>
      </w:r>
      <w:r>
        <w:instrText xml:space="preserve"> PAGEREF _Toc17061 \h </w:instrText>
      </w:r>
      <w:r>
        <w:fldChar w:fldCharType="separate"/>
      </w:r>
      <w:r>
        <w:t>17</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_Toc18547 </w:instrText>
      </w:r>
      <w:r>
        <w:rPr>
          <w:szCs w:val="44"/>
          <w:highlight w:val="none"/>
        </w:rPr>
        <w:fldChar w:fldCharType="separate"/>
      </w:r>
      <w:r>
        <w:rPr>
          <w:rFonts w:hint="eastAsia" w:ascii="宋体" w:hAnsi="宋体" w:cs="宋体"/>
          <w:highlight w:val="none"/>
        </w:rPr>
        <w:t>2、评审程序</w:t>
      </w:r>
      <w:r>
        <w:tab/>
      </w:r>
      <w:r>
        <w:fldChar w:fldCharType="begin"/>
      </w:r>
      <w:r>
        <w:instrText xml:space="preserve"> PAGEREF _Toc18547 \h </w:instrText>
      </w:r>
      <w:r>
        <w:fldChar w:fldCharType="separate"/>
      </w:r>
      <w:r>
        <w:t>17</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_Toc28587 </w:instrText>
      </w:r>
      <w:r>
        <w:rPr>
          <w:szCs w:val="44"/>
          <w:highlight w:val="none"/>
        </w:rPr>
        <w:fldChar w:fldCharType="separate"/>
      </w:r>
      <w:r>
        <w:rPr>
          <w:rFonts w:hint="eastAsia" w:ascii="宋体" w:hAnsi="宋体" w:cs="宋体"/>
          <w:bCs/>
          <w:highlight w:val="none"/>
        </w:rPr>
        <w:t>3、评审细则</w:t>
      </w:r>
      <w:r>
        <w:rPr>
          <w:rFonts w:hint="eastAsia" w:ascii="宋体" w:hAnsi="宋体" w:cs="宋体"/>
          <w:highlight w:val="none"/>
        </w:rPr>
        <w:t>【</w:t>
      </w:r>
      <w:r>
        <w:rPr>
          <w:rFonts w:hint="eastAsia" w:ascii="宋体" w:hAnsi="宋体" w:cs="宋体"/>
          <w:szCs w:val="22"/>
          <w:highlight w:val="none"/>
        </w:rPr>
        <w:t>子包1、2、3通用</w:t>
      </w:r>
      <w:r>
        <w:rPr>
          <w:rFonts w:hint="eastAsia" w:ascii="宋体" w:hAnsi="宋体" w:cs="宋体"/>
          <w:highlight w:val="none"/>
        </w:rPr>
        <w:t>】</w:t>
      </w:r>
      <w:r>
        <w:tab/>
      </w:r>
      <w:r>
        <w:fldChar w:fldCharType="begin"/>
      </w:r>
      <w:r>
        <w:instrText xml:space="preserve"> PAGEREF _Toc28587 \h </w:instrText>
      </w:r>
      <w:r>
        <w:fldChar w:fldCharType="separate"/>
      </w:r>
      <w:r>
        <w:t>19</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_Toc19913 </w:instrText>
      </w:r>
      <w:r>
        <w:rPr>
          <w:szCs w:val="44"/>
          <w:highlight w:val="none"/>
        </w:rPr>
        <w:fldChar w:fldCharType="separate"/>
      </w:r>
      <w:r>
        <w:rPr>
          <w:rFonts w:hint="eastAsia" w:ascii="宋体" w:hAnsi="宋体" w:cs="宋体"/>
          <w:bCs/>
          <w:highlight w:val="none"/>
        </w:rPr>
        <w:t>4、评审报告</w:t>
      </w:r>
      <w:r>
        <w:tab/>
      </w:r>
      <w:r>
        <w:fldChar w:fldCharType="begin"/>
      </w:r>
      <w:r>
        <w:instrText xml:space="preserve"> PAGEREF _Toc19913 \h </w:instrText>
      </w:r>
      <w:r>
        <w:fldChar w:fldCharType="separate"/>
      </w:r>
      <w:r>
        <w:t>25</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_Toc32529 </w:instrText>
      </w:r>
      <w:r>
        <w:rPr>
          <w:szCs w:val="44"/>
          <w:highlight w:val="none"/>
        </w:rPr>
        <w:fldChar w:fldCharType="separate"/>
      </w:r>
      <w:r>
        <w:rPr>
          <w:rFonts w:hint="eastAsia" w:ascii="宋体" w:hAnsi="宋体" w:cs="宋体"/>
          <w:highlight w:val="none"/>
        </w:rPr>
        <w:t>5、</w:t>
      </w:r>
      <w:r>
        <w:rPr>
          <w:rFonts w:hint="eastAsia"/>
          <w:highlight w:val="none"/>
        </w:rPr>
        <w:t>合同授予</w:t>
      </w:r>
      <w:r>
        <w:tab/>
      </w:r>
      <w:r>
        <w:fldChar w:fldCharType="begin"/>
      </w:r>
      <w:r>
        <w:instrText xml:space="preserve"> PAGEREF _Toc32529 \h </w:instrText>
      </w:r>
      <w:r>
        <w:fldChar w:fldCharType="separate"/>
      </w:r>
      <w:r>
        <w:t>25</w:t>
      </w:r>
      <w:r>
        <w:fldChar w:fldCharType="end"/>
      </w:r>
      <w:r>
        <w:rPr>
          <w:szCs w:val="44"/>
          <w:highlight w:val="none"/>
        </w:rPr>
        <w:fldChar w:fldCharType="end"/>
      </w:r>
    </w:p>
    <w:p>
      <w:pPr>
        <w:pStyle w:val="18"/>
        <w:tabs>
          <w:tab w:val="right" w:leader="dot" w:pos="8306"/>
        </w:tabs>
      </w:pPr>
      <w:r>
        <w:rPr>
          <w:szCs w:val="44"/>
          <w:highlight w:val="none"/>
        </w:rPr>
        <w:fldChar w:fldCharType="begin"/>
      </w:r>
      <w:r>
        <w:rPr>
          <w:szCs w:val="44"/>
          <w:highlight w:val="none"/>
        </w:rPr>
        <w:instrText xml:space="preserve"> HYPERLINK \l _Toc29572 </w:instrText>
      </w:r>
      <w:r>
        <w:rPr>
          <w:szCs w:val="44"/>
          <w:highlight w:val="none"/>
        </w:rPr>
        <w:fldChar w:fldCharType="separate"/>
      </w:r>
      <w:r>
        <w:rPr>
          <w:rFonts w:hint="eastAsia"/>
          <w:highlight w:val="none"/>
        </w:rPr>
        <w:t>第四章  用户需求</w:t>
      </w:r>
      <w:r>
        <w:tab/>
      </w:r>
      <w:r>
        <w:fldChar w:fldCharType="begin"/>
      </w:r>
      <w:r>
        <w:instrText xml:space="preserve"> PAGEREF _Toc29572 \h </w:instrText>
      </w:r>
      <w:r>
        <w:fldChar w:fldCharType="separate"/>
      </w:r>
      <w:r>
        <w:t>27</w:t>
      </w:r>
      <w:r>
        <w:fldChar w:fldCharType="end"/>
      </w:r>
      <w:r>
        <w:rPr>
          <w:szCs w:val="44"/>
          <w:highlight w:val="none"/>
        </w:rPr>
        <w:fldChar w:fldCharType="end"/>
      </w:r>
    </w:p>
    <w:p>
      <w:pPr>
        <w:pStyle w:val="18"/>
        <w:tabs>
          <w:tab w:val="right" w:leader="dot" w:pos="8306"/>
        </w:tabs>
      </w:pPr>
      <w:r>
        <w:rPr>
          <w:szCs w:val="44"/>
          <w:highlight w:val="none"/>
        </w:rPr>
        <w:fldChar w:fldCharType="begin"/>
      </w:r>
      <w:r>
        <w:rPr>
          <w:szCs w:val="44"/>
          <w:highlight w:val="none"/>
        </w:rPr>
        <w:instrText xml:space="preserve"> HYPERLINK \l _Toc31668 </w:instrText>
      </w:r>
      <w:r>
        <w:rPr>
          <w:szCs w:val="44"/>
          <w:highlight w:val="none"/>
        </w:rPr>
        <w:fldChar w:fldCharType="separate"/>
      </w:r>
      <w:r>
        <w:rPr>
          <w:bCs/>
          <w:highlight w:val="none"/>
        </w:rPr>
        <w:t xml:space="preserve">第五章 </w:t>
      </w:r>
      <w:r>
        <w:rPr>
          <w:rFonts w:hint="eastAsia"/>
          <w:bCs/>
          <w:highlight w:val="none"/>
        </w:rPr>
        <w:t>合同条款及格式</w:t>
      </w:r>
      <w:r>
        <w:tab/>
      </w:r>
      <w:r>
        <w:fldChar w:fldCharType="begin"/>
      </w:r>
      <w:r>
        <w:instrText xml:space="preserve"> PAGEREF _Toc31668 \h </w:instrText>
      </w:r>
      <w:r>
        <w:fldChar w:fldCharType="separate"/>
      </w:r>
      <w:r>
        <w:t>34</w:t>
      </w:r>
      <w:r>
        <w:fldChar w:fldCharType="end"/>
      </w:r>
      <w:r>
        <w:rPr>
          <w:szCs w:val="44"/>
          <w:highlight w:val="none"/>
        </w:rPr>
        <w:fldChar w:fldCharType="end"/>
      </w:r>
    </w:p>
    <w:p>
      <w:pPr>
        <w:pStyle w:val="18"/>
        <w:tabs>
          <w:tab w:val="right" w:leader="dot" w:pos="8306"/>
        </w:tabs>
      </w:pPr>
      <w:r>
        <w:rPr>
          <w:szCs w:val="44"/>
          <w:highlight w:val="none"/>
        </w:rPr>
        <w:fldChar w:fldCharType="begin"/>
      </w:r>
      <w:r>
        <w:rPr>
          <w:szCs w:val="44"/>
          <w:highlight w:val="none"/>
        </w:rPr>
        <w:instrText xml:space="preserve"> HYPERLINK \l _Toc30520 </w:instrText>
      </w:r>
      <w:r>
        <w:rPr>
          <w:szCs w:val="44"/>
          <w:highlight w:val="none"/>
        </w:rPr>
        <w:fldChar w:fldCharType="separate"/>
      </w:r>
      <w:r>
        <w:rPr>
          <w:rFonts w:hint="eastAsia"/>
          <w:highlight w:val="none"/>
        </w:rPr>
        <w:t>第六章  响应文件格式</w:t>
      </w:r>
      <w:r>
        <w:tab/>
      </w:r>
      <w:r>
        <w:fldChar w:fldCharType="begin"/>
      </w:r>
      <w:r>
        <w:instrText xml:space="preserve"> PAGEREF _Toc30520 \h </w:instrText>
      </w:r>
      <w:r>
        <w:fldChar w:fldCharType="separate"/>
      </w:r>
      <w:r>
        <w:t>61</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_Toc14946 </w:instrText>
      </w:r>
      <w:r>
        <w:rPr>
          <w:szCs w:val="44"/>
          <w:highlight w:val="none"/>
        </w:rPr>
        <w:fldChar w:fldCharType="separate"/>
      </w:r>
      <w:r>
        <w:rPr>
          <w:rFonts w:hint="eastAsia"/>
          <w:highlight w:val="none"/>
        </w:rPr>
        <w:t>格式一、响应文件封面</w:t>
      </w:r>
      <w:r>
        <w:tab/>
      </w:r>
      <w:r>
        <w:fldChar w:fldCharType="begin"/>
      </w:r>
      <w:r>
        <w:instrText xml:space="preserve"> PAGEREF _Toc14946 \h </w:instrText>
      </w:r>
      <w:r>
        <w:fldChar w:fldCharType="separate"/>
      </w:r>
      <w:r>
        <w:t>62</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_Toc14836 </w:instrText>
      </w:r>
      <w:r>
        <w:rPr>
          <w:szCs w:val="44"/>
          <w:highlight w:val="none"/>
        </w:rPr>
        <w:fldChar w:fldCharType="separate"/>
      </w:r>
      <w:r>
        <w:rPr>
          <w:rFonts w:hint="eastAsia"/>
          <w:highlight w:val="none"/>
        </w:rPr>
        <w:t>格式二、报价一览表</w:t>
      </w:r>
      <w:r>
        <w:tab/>
      </w:r>
      <w:r>
        <w:fldChar w:fldCharType="begin"/>
      </w:r>
      <w:r>
        <w:instrText xml:space="preserve"> PAGEREF _Toc14836 \h </w:instrText>
      </w:r>
      <w:r>
        <w:fldChar w:fldCharType="separate"/>
      </w:r>
      <w:r>
        <w:t>63</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_Toc24953 </w:instrText>
      </w:r>
      <w:r>
        <w:rPr>
          <w:szCs w:val="44"/>
          <w:highlight w:val="none"/>
        </w:rPr>
        <w:fldChar w:fldCharType="separate"/>
      </w:r>
      <w:r>
        <w:rPr>
          <w:rFonts w:hint="eastAsia"/>
          <w:highlight w:val="none"/>
        </w:rPr>
        <w:t>格式三、分项报价表</w:t>
      </w:r>
      <w:r>
        <w:tab/>
      </w:r>
      <w:r>
        <w:fldChar w:fldCharType="begin"/>
      </w:r>
      <w:r>
        <w:instrText xml:space="preserve"> PAGEREF _Toc24953 \h </w:instrText>
      </w:r>
      <w:r>
        <w:fldChar w:fldCharType="separate"/>
      </w:r>
      <w:r>
        <w:t>65</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_Toc13289 </w:instrText>
      </w:r>
      <w:r>
        <w:rPr>
          <w:szCs w:val="44"/>
          <w:highlight w:val="none"/>
        </w:rPr>
        <w:fldChar w:fldCharType="separate"/>
      </w:r>
      <w:r>
        <w:rPr>
          <w:rFonts w:hint="eastAsia"/>
          <w:highlight w:val="none"/>
        </w:rPr>
        <w:t>格式四、报价函</w:t>
      </w:r>
      <w:r>
        <w:tab/>
      </w:r>
      <w:r>
        <w:fldChar w:fldCharType="begin"/>
      </w:r>
      <w:r>
        <w:instrText xml:space="preserve"> PAGEREF _Toc13289 \h </w:instrText>
      </w:r>
      <w:r>
        <w:fldChar w:fldCharType="separate"/>
      </w:r>
      <w:r>
        <w:t>66</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_Toc28302 </w:instrText>
      </w:r>
      <w:r>
        <w:rPr>
          <w:szCs w:val="44"/>
          <w:highlight w:val="none"/>
        </w:rPr>
        <w:fldChar w:fldCharType="separate"/>
      </w:r>
      <w:r>
        <w:rPr>
          <w:rFonts w:hint="eastAsia"/>
          <w:szCs w:val="20"/>
          <w:highlight w:val="none"/>
        </w:rPr>
        <w:t>格式五-1、授权委托书</w:t>
      </w:r>
      <w:r>
        <w:tab/>
      </w:r>
      <w:r>
        <w:fldChar w:fldCharType="begin"/>
      </w:r>
      <w:r>
        <w:instrText xml:space="preserve"> PAGEREF _Toc28302 \h </w:instrText>
      </w:r>
      <w:r>
        <w:fldChar w:fldCharType="separate"/>
      </w:r>
      <w:r>
        <w:t>68</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_Toc16882 </w:instrText>
      </w:r>
      <w:r>
        <w:rPr>
          <w:szCs w:val="44"/>
          <w:highlight w:val="none"/>
        </w:rPr>
        <w:fldChar w:fldCharType="separate"/>
      </w:r>
      <w:r>
        <w:rPr>
          <w:rFonts w:hint="eastAsia"/>
          <w:bCs/>
          <w:szCs w:val="36"/>
          <w:highlight w:val="none"/>
        </w:rPr>
        <w:t>格式五</w:t>
      </w:r>
      <w:r>
        <w:rPr>
          <w:rFonts w:hint="eastAsia" w:ascii="宋体" w:hAnsi="宋体" w:cs="宋体"/>
          <w:szCs w:val="36"/>
          <w:highlight w:val="none"/>
        </w:rPr>
        <w:t>-2</w:t>
      </w:r>
      <w:r>
        <w:rPr>
          <w:rFonts w:hint="eastAsia"/>
          <w:bCs/>
          <w:szCs w:val="36"/>
          <w:highlight w:val="none"/>
        </w:rPr>
        <w:t>、授权委托书</w:t>
      </w:r>
      <w:r>
        <w:tab/>
      </w:r>
      <w:r>
        <w:fldChar w:fldCharType="begin"/>
      </w:r>
      <w:r>
        <w:instrText xml:space="preserve"> PAGEREF _Toc16882 \h </w:instrText>
      </w:r>
      <w:r>
        <w:fldChar w:fldCharType="separate"/>
      </w:r>
      <w:r>
        <w:t>69</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_Toc12862 </w:instrText>
      </w:r>
      <w:r>
        <w:rPr>
          <w:szCs w:val="44"/>
          <w:highlight w:val="none"/>
        </w:rPr>
        <w:fldChar w:fldCharType="separate"/>
      </w:r>
      <w:r>
        <w:rPr>
          <w:rFonts w:hint="eastAsia" w:ascii="宋体" w:hAnsi="宋体" w:cs="宋体"/>
          <w:highlight w:val="none"/>
        </w:rPr>
        <w:t>格式六</w:t>
      </w:r>
      <w:r>
        <w:rPr>
          <w:rFonts w:hint="eastAsia"/>
          <w:highlight w:val="none"/>
        </w:rPr>
        <w:t>、法定代表人证明书</w:t>
      </w:r>
      <w:r>
        <w:tab/>
      </w:r>
      <w:r>
        <w:fldChar w:fldCharType="begin"/>
      </w:r>
      <w:r>
        <w:instrText xml:space="preserve"> PAGEREF _Toc12862 \h </w:instrText>
      </w:r>
      <w:r>
        <w:fldChar w:fldCharType="separate"/>
      </w:r>
      <w:r>
        <w:t>70</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_Toc1185 </w:instrText>
      </w:r>
      <w:r>
        <w:rPr>
          <w:szCs w:val="44"/>
          <w:highlight w:val="none"/>
        </w:rPr>
        <w:fldChar w:fldCharType="separate"/>
      </w:r>
      <w:r>
        <w:rPr>
          <w:rFonts w:hint="eastAsia"/>
          <w:highlight w:val="none"/>
        </w:rPr>
        <w:t>格式</w:t>
      </w:r>
      <w:r>
        <w:rPr>
          <w:rFonts w:hint="eastAsia" w:ascii="宋体" w:hAnsi="宋体" w:cs="宋体"/>
          <w:highlight w:val="none"/>
        </w:rPr>
        <w:t>七</w:t>
      </w:r>
      <w:r>
        <w:rPr>
          <w:rFonts w:hint="eastAsia"/>
          <w:highlight w:val="none"/>
        </w:rPr>
        <w:t>、授权委托证明书</w:t>
      </w:r>
      <w:r>
        <w:tab/>
      </w:r>
      <w:r>
        <w:fldChar w:fldCharType="begin"/>
      </w:r>
      <w:r>
        <w:instrText xml:space="preserve"> PAGEREF _Toc1185 \h </w:instrText>
      </w:r>
      <w:r>
        <w:fldChar w:fldCharType="separate"/>
      </w:r>
      <w:r>
        <w:t>71</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_Toc15255 </w:instrText>
      </w:r>
      <w:r>
        <w:rPr>
          <w:szCs w:val="44"/>
          <w:highlight w:val="none"/>
        </w:rPr>
        <w:fldChar w:fldCharType="separate"/>
      </w:r>
      <w:r>
        <w:rPr>
          <w:rFonts w:hint="eastAsia"/>
          <w:highlight w:val="none"/>
        </w:rPr>
        <w:t>格式</w:t>
      </w:r>
      <w:r>
        <w:rPr>
          <w:rFonts w:hint="eastAsia" w:ascii="宋体" w:hAnsi="宋体" w:cs="宋体"/>
          <w:highlight w:val="none"/>
        </w:rPr>
        <w:t>八</w:t>
      </w:r>
      <w:r>
        <w:rPr>
          <w:rFonts w:hint="eastAsia"/>
          <w:highlight w:val="none"/>
        </w:rPr>
        <w:t>、符合性审查自查表</w:t>
      </w:r>
      <w:r>
        <w:tab/>
      </w:r>
      <w:r>
        <w:fldChar w:fldCharType="begin"/>
      </w:r>
      <w:r>
        <w:instrText xml:space="preserve"> PAGEREF _Toc15255 \h </w:instrText>
      </w:r>
      <w:r>
        <w:fldChar w:fldCharType="separate"/>
      </w:r>
      <w:r>
        <w:t>72</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_Toc1157 </w:instrText>
      </w:r>
      <w:r>
        <w:rPr>
          <w:szCs w:val="44"/>
          <w:highlight w:val="none"/>
        </w:rPr>
        <w:fldChar w:fldCharType="separate"/>
      </w:r>
      <w:r>
        <w:rPr>
          <w:rFonts w:hint="eastAsia" w:ascii="宋体" w:hAnsi="宋体" w:cs="宋体"/>
          <w:highlight w:val="none"/>
        </w:rPr>
        <w:t>格式八-1 企业信用信息</w:t>
      </w:r>
      <w:r>
        <w:tab/>
      </w:r>
      <w:r>
        <w:fldChar w:fldCharType="begin"/>
      </w:r>
      <w:r>
        <w:instrText xml:space="preserve"> PAGEREF _Toc1157 \h </w:instrText>
      </w:r>
      <w:r>
        <w:fldChar w:fldCharType="separate"/>
      </w:r>
      <w:r>
        <w:t>76</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_Toc14269 </w:instrText>
      </w:r>
      <w:r>
        <w:rPr>
          <w:szCs w:val="44"/>
          <w:highlight w:val="none"/>
        </w:rPr>
        <w:fldChar w:fldCharType="separate"/>
      </w:r>
      <w:r>
        <w:rPr>
          <w:rFonts w:hint="eastAsia"/>
          <w:highlight w:val="none"/>
        </w:rPr>
        <w:t>格式</w:t>
      </w:r>
      <w:r>
        <w:rPr>
          <w:rFonts w:hint="eastAsia" w:ascii="宋体" w:hAnsi="宋体" w:cs="宋体"/>
          <w:highlight w:val="none"/>
        </w:rPr>
        <w:t>九</w:t>
      </w:r>
      <w:r>
        <w:rPr>
          <w:rFonts w:hint="eastAsia"/>
          <w:highlight w:val="none"/>
        </w:rPr>
        <w:t>、商务评分索引表（对应商务评审表）</w:t>
      </w:r>
      <w:r>
        <w:tab/>
      </w:r>
      <w:r>
        <w:fldChar w:fldCharType="begin"/>
      </w:r>
      <w:r>
        <w:instrText xml:space="preserve"> PAGEREF _Toc14269 \h </w:instrText>
      </w:r>
      <w:r>
        <w:fldChar w:fldCharType="separate"/>
      </w:r>
      <w:r>
        <w:t>78</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_Toc11710 </w:instrText>
      </w:r>
      <w:r>
        <w:rPr>
          <w:szCs w:val="44"/>
          <w:highlight w:val="none"/>
        </w:rPr>
        <w:fldChar w:fldCharType="separate"/>
      </w:r>
      <w:r>
        <w:rPr>
          <w:rFonts w:hint="eastAsia"/>
          <w:highlight w:val="none"/>
        </w:rPr>
        <w:t>格式九-1  商务响应格式（对应商务评审表部分）</w:t>
      </w:r>
      <w:r>
        <w:tab/>
      </w:r>
      <w:r>
        <w:fldChar w:fldCharType="begin"/>
      </w:r>
      <w:r>
        <w:instrText xml:space="preserve"> PAGEREF _Toc11710 \h </w:instrText>
      </w:r>
      <w:r>
        <w:fldChar w:fldCharType="separate"/>
      </w:r>
      <w:r>
        <w:t>79</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_Toc12209 </w:instrText>
      </w:r>
      <w:r>
        <w:rPr>
          <w:szCs w:val="44"/>
          <w:highlight w:val="none"/>
        </w:rPr>
        <w:fldChar w:fldCharType="separate"/>
      </w:r>
      <w:r>
        <w:rPr>
          <w:rFonts w:hint="eastAsia"/>
          <w:highlight w:val="none"/>
        </w:rPr>
        <w:t>格式十、技术评分索引表（对应技术评审表）</w:t>
      </w:r>
      <w:r>
        <w:tab/>
      </w:r>
      <w:r>
        <w:fldChar w:fldCharType="begin"/>
      </w:r>
      <w:r>
        <w:instrText xml:space="preserve"> PAGEREF _Toc12209 \h </w:instrText>
      </w:r>
      <w:r>
        <w:fldChar w:fldCharType="separate"/>
      </w:r>
      <w:r>
        <w:t>80</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_Toc7533 </w:instrText>
      </w:r>
      <w:r>
        <w:rPr>
          <w:szCs w:val="44"/>
          <w:highlight w:val="none"/>
        </w:rPr>
        <w:fldChar w:fldCharType="separate"/>
      </w:r>
      <w:r>
        <w:rPr>
          <w:rFonts w:hint="eastAsia" w:ascii="宋体" w:hAnsi="宋体" w:cs="宋体"/>
          <w:szCs w:val="20"/>
          <w:highlight w:val="none"/>
        </w:rPr>
        <w:t>格式</w:t>
      </w:r>
      <w:r>
        <w:rPr>
          <w:rFonts w:hint="eastAsia"/>
          <w:szCs w:val="36"/>
          <w:highlight w:val="none"/>
        </w:rPr>
        <w:t>十</w:t>
      </w:r>
      <w:r>
        <w:rPr>
          <w:rFonts w:hint="eastAsia" w:ascii="宋体" w:hAnsi="宋体" w:cs="宋体"/>
          <w:szCs w:val="20"/>
          <w:highlight w:val="none"/>
        </w:rPr>
        <w:t xml:space="preserve">-4  </w:t>
      </w:r>
      <w:r>
        <w:rPr>
          <w:rFonts w:hint="eastAsia" w:hAnsi="宋体" w:cs="宋体"/>
          <w:szCs w:val="20"/>
          <w:highlight w:val="none"/>
        </w:rPr>
        <w:t>技术</w:t>
      </w:r>
      <w:r>
        <w:rPr>
          <w:rFonts w:hint="eastAsia" w:ascii="宋体" w:hAnsi="宋体" w:cs="宋体"/>
          <w:szCs w:val="20"/>
          <w:highlight w:val="none"/>
        </w:rPr>
        <w:t>响应格式（对应技术评审表安全体系部分）</w:t>
      </w:r>
      <w:r>
        <w:tab/>
      </w:r>
      <w:r>
        <w:fldChar w:fldCharType="begin"/>
      </w:r>
      <w:r>
        <w:instrText xml:space="preserve"> PAGEREF _Toc7533 \h </w:instrText>
      </w:r>
      <w:r>
        <w:fldChar w:fldCharType="separate"/>
      </w:r>
      <w:r>
        <w:t>83</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_Toc19309 </w:instrText>
      </w:r>
      <w:r>
        <w:rPr>
          <w:szCs w:val="44"/>
          <w:highlight w:val="none"/>
        </w:rPr>
        <w:fldChar w:fldCharType="separate"/>
      </w:r>
      <w:r>
        <w:rPr>
          <w:rFonts w:hint="eastAsia" w:ascii="宋体" w:hAnsi="宋体" w:cs="宋体"/>
          <w:szCs w:val="20"/>
          <w:highlight w:val="none"/>
        </w:rPr>
        <w:t>格式</w:t>
      </w:r>
      <w:r>
        <w:rPr>
          <w:rFonts w:hint="eastAsia"/>
          <w:szCs w:val="36"/>
          <w:highlight w:val="none"/>
        </w:rPr>
        <w:t>十</w:t>
      </w:r>
      <w:r>
        <w:rPr>
          <w:rFonts w:hint="eastAsia" w:ascii="宋体" w:hAnsi="宋体" w:cs="宋体"/>
          <w:szCs w:val="20"/>
          <w:highlight w:val="none"/>
        </w:rPr>
        <w:t xml:space="preserve">-5  </w:t>
      </w:r>
      <w:r>
        <w:rPr>
          <w:rFonts w:hint="eastAsia" w:hAnsi="宋体" w:cs="宋体"/>
          <w:szCs w:val="20"/>
          <w:highlight w:val="none"/>
        </w:rPr>
        <w:t>技术响应</w:t>
      </w:r>
      <w:r>
        <w:rPr>
          <w:rFonts w:hint="eastAsia" w:ascii="宋体" w:hAnsi="宋体" w:cs="宋体"/>
          <w:szCs w:val="20"/>
          <w:highlight w:val="none"/>
        </w:rPr>
        <w:t>格式（对应技术评审表车程距离部分）</w:t>
      </w:r>
      <w:r>
        <w:tab/>
      </w:r>
      <w:r>
        <w:fldChar w:fldCharType="begin"/>
      </w:r>
      <w:r>
        <w:instrText xml:space="preserve"> PAGEREF _Toc19309 \h </w:instrText>
      </w:r>
      <w:r>
        <w:fldChar w:fldCharType="separate"/>
      </w:r>
      <w:r>
        <w:t>83</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_Toc23207 </w:instrText>
      </w:r>
      <w:r>
        <w:rPr>
          <w:szCs w:val="44"/>
          <w:highlight w:val="none"/>
        </w:rPr>
        <w:fldChar w:fldCharType="separate"/>
      </w:r>
      <w:r>
        <w:rPr>
          <w:rFonts w:hint="eastAsia"/>
          <w:highlight w:val="none"/>
        </w:rPr>
        <w:t>格式十一、用户需求响应表</w:t>
      </w:r>
      <w:r>
        <w:tab/>
      </w:r>
      <w:r>
        <w:fldChar w:fldCharType="begin"/>
      </w:r>
      <w:r>
        <w:instrText xml:space="preserve"> PAGEREF _Toc23207 \h </w:instrText>
      </w:r>
      <w:r>
        <w:fldChar w:fldCharType="separate"/>
      </w:r>
      <w:r>
        <w:t>86</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_Toc10102 </w:instrText>
      </w:r>
      <w:r>
        <w:rPr>
          <w:szCs w:val="44"/>
          <w:highlight w:val="none"/>
        </w:rPr>
        <w:fldChar w:fldCharType="separate"/>
      </w:r>
      <w:r>
        <w:rPr>
          <w:rFonts w:hint="eastAsia"/>
          <w:highlight w:val="none"/>
        </w:rPr>
        <w:t>格式十二、合同响应表</w:t>
      </w:r>
      <w:r>
        <w:tab/>
      </w:r>
      <w:r>
        <w:fldChar w:fldCharType="begin"/>
      </w:r>
      <w:r>
        <w:instrText xml:space="preserve"> PAGEREF _Toc10102 \h </w:instrText>
      </w:r>
      <w:r>
        <w:fldChar w:fldCharType="separate"/>
      </w:r>
      <w:r>
        <w:t>87</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_Toc16131 </w:instrText>
      </w:r>
      <w:r>
        <w:rPr>
          <w:szCs w:val="44"/>
          <w:highlight w:val="none"/>
        </w:rPr>
        <w:fldChar w:fldCharType="separate"/>
      </w:r>
      <w:r>
        <w:rPr>
          <w:rFonts w:hint="eastAsia"/>
          <w:highlight w:val="none"/>
        </w:rPr>
        <w:t>格式十三、最终谈判承诺及二次/最终报价一览表</w:t>
      </w:r>
      <w:r>
        <w:tab/>
      </w:r>
      <w:r>
        <w:fldChar w:fldCharType="begin"/>
      </w:r>
      <w:r>
        <w:instrText xml:space="preserve"> PAGEREF _Toc16131 \h </w:instrText>
      </w:r>
      <w:r>
        <w:fldChar w:fldCharType="separate"/>
      </w:r>
      <w:r>
        <w:t>88</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_Toc30237 </w:instrText>
      </w:r>
      <w:r>
        <w:rPr>
          <w:szCs w:val="44"/>
          <w:highlight w:val="none"/>
        </w:rPr>
        <w:fldChar w:fldCharType="separate"/>
      </w:r>
      <w:r>
        <w:rPr>
          <w:rFonts w:hint="eastAsia"/>
          <w:highlight w:val="none"/>
        </w:rPr>
        <w:t>格式十四、</w:t>
      </w:r>
      <w:r>
        <w:rPr>
          <w:rFonts w:hint="eastAsia" w:ascii="宋体" w:hAnsi="宋体" w:cs="宋体"/>
          <w:highlight w:val="none"/>
        </w:rPr>
        <w:t>澄清/异议/投诉承诺及程序指引</w:t>
      </w:r>
      <w:r>
        <w:tab/>
      </w:r>
      <w:r>
        <w:fldChar w:fldCharType="begin"/>
      </w:r>
      <w:r>
        <w:instrText xml:space="preserve"> PAGEREF _Toc30237 \h </w:instrText>
      </w:r>
      <w:r>
        <w:fldChar w:fldCharType="separate"/>
      </w:r>
      <w:r>
        <w:t>89</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_Toc12411 </w:instrText>
      </w:r>
      <w:r>
        <w:rPr>
          <w:szCs w:val="44"/>
          <w:highlight w:val="none"/>
        </w:rPr>
        <w:fldChar w:fldCharType="separate"/>
      </w:r>
      <w:r>
        <w:rPr>
          <w:rFonts w:hint="eastAsia"/>
          <w:highlight w:val="none"/>
        </w:rPr>
        <w:t>格式十五、</w:t>
      </w:r>
      <w:r>
        <w:rPr>
          <w:rFonts w:hint="eastAsia" w:ascii="宋体" w:hAnsi="宋体" w:cs="宋体"/>
          <w:highlight w:val="none"/>
        </w:rPr>
        <w:t>限制交易供应商名单制度告知书</w:t>
      </w:r>
      <w:r>
        <w:tab/>
      </w:r>
      <w:r>
        <w:fldChar w:fldCharType="begin"/>
      </w:r>
      <w:r>
        <w:instrText xml:space="preserve"> PAGEREF _Toc12411 \h </w:instrText>
      </w:r>
      <w:r>
        <w:fldChar w:fldCharType="separate"/>
      </w:r>
      <w:r>
        <w:t>94</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_Toc6031 </w:instrText>
      </w:r>
      <w:r>
        <w:rPr>
          <w:szCs w:val="44"/>
          <w:highlight w:val="none"/>
        </w:rPr>
        <w:fldChar w:fldCharType="separate"/>
      </w:r>
      <w:r>
        <w:rPr>
          <w:rFonts w:hint="eastAsia"/>
          <w:highlight w:val="none"/>
        </w:rPr>
        <w:t>格式十六、供应商廉洁承诺书</w:t>
      </w:r>
      <w:r>
        <w:tab/>
      </w:r>
      <w:r>
        <w:fldChar w:fldCharType="begin"/>
      </w:r>
      <w:r>
        <w:instrText xml:space="preserve"> PAGEREF _Toc6031 \h </w:instrText>
      </w:r>
      <w:r>
        <w:fldChar w:fldCharType="separate"/>
      </w:r>
      <w:r>
        <w:t>97</w:t>
      </w:r>
      <w:r>
        <w:fldChar w:fldCharType="end"/>
      </w:r>
      <w:r>
        <w:rPr>
          <w:szCs w:val="44"/>
          <w:highlight w:val="none"/>
        </w:rPr>
        <w:fldChar w:fldCharType="end"/>
      </w:r>
    </w:p>
    <w:p>
      <w:pPr>
        <w:pStyle w:val="21"/>
        <w:tabs>
          <w:tab w:val="right" w:leader="dot" w:pos="8306"/>
        </w:tabs>
      </w:pPr>
      <w:r>
        <w:rPr>
          <w:szCs w:val="44"/>
          <w:highlight w:val="none"/>
        </w:rPr>
        <w:fldChar w:fldCharType="begin"/>
      </w:r>
      <w:r>
        <w:rPr>
          <w:szCs w:val="44"/>
          <w:highlight w:val="none"/>
        </w:rPr>
        <w:instrText xml:space="preserve"> HYPERLINK \l _Toc16441 </w:instrText>
      </w:r>
      <w:r>
        <w:rPr>
          <w:szCs w:val="44"/>
          <w:highlight w:val="none"/>
        </w:rPr>
        <w:fldChar w:fldCharType="separate"/>
      </w:r>
      <w:r>
        <w:rPr>
          <w:rFonts w:hint="eastAsia" w:ascii="宋体" w:hAnsi="宋体" w:cs="宋体"/>
          <w:highlight w:val="none"/>
        </w:rPr>
        <w:t>格式十七、响应材料</w:t>
      </w:r>
      <w:r>
        <w:tab/>
      </w:r>
      <w:r>
        <w:fldChar w:fldCharType="begin"/>
      </w:r>
      <w:r>
        <w:instrText xml:space="preserve"> PAGEREF _Toc16441 \h </w:instrText>
      </w:r>
      <w:r>
        <w:fldChar w:fldCharType="separate"/>
      </w:r>
      <w:r>
        <w:t>98</w:t>
      </w:r>
      <w:r>
        <w:fldChar w:fldCharType="end"/>
      </w:r>
      <w:r>
        <w:rPr>
          <w:szCs w:val="44"/>
          <w:highlight w:val="none"/>
        </w:rPr>
        <w:fldChar w:fldCharType="end"/>
      </w:r>
    </w:p>
    <w:p>
      <w:pPr>
        <w:jc w:val="center"/>
        <w:rPr>
          <w:rStyle w:val="38"/>
          <w:rFonts w:hint="eastAsia"/>
          <w:highlight w:val="none"/>
        </w:rPr>
      </w:pPr>
      <w:r>
        <w:rPr>
          <w:szCs w:val="44"/>
          <w:highlight w:val="none"/>
        </w:rPr>
        <w:fldChar w:fldCharType="end"/>
      </w:r>
      <w:bookmarkStart w:id="11" w:name="_Toc32244"/>
      <w:r>
        <w:rPr>
          <w:rStyle w:val="38"/>
          <w:rFonts w:hint="eastAsia"/>
          <w:highlight w:val="none"/>
        </w:rPr>
        <w:t xml:space="preserve">第一章  </w:t>
      </w:r>
      <w:bookmarkEnd w:id="10"/>
      <w:r>
        <w:rPr>
          <w:rStyle w:val="38"/>
          <w:rFonts w:hint="eastAsia"/>
          <w:highlight w:val="none"/>
        </w:rPr>
        <w:t>谈判公告</w:t>
      </w:r>
      <w:bookmarkEnd w:id="11"/>
    </w:p>
    <w:p>
      <w:pPr>
        <w:adjustRightInd w:val="0"/>
        <w:snapToGrid w:val="0"/>
        <w:spacing w:line="480" w:lineRule="exact"/>
        <w:ind w:firstLine="420" w:firstLineChars="200"/>
        <w:rPr>
          <w:highlight w:val="none"/>
        </w:rPr>
      </w:pPr>
      <w:bookmarkStart w:id="12" w:name="_Toc504657601"/>
      <w:bookmarkStart w:id="13" w:name="_Toc4062"/>
      <w:bookmarkStart w:id="14" w:name="_Toc32126"/>
      <w:bookmarkStart w:id="15" w:name="_Toc1557"/>
      <w:bookmarkStart w:id="16" w:name="_Toc3804"/>
      <w:bookmarkStart w:id="17" w:name="_Toc24242"/>
      <w:bookmarkStart w:id="18" w:name="_Toc16346"/>
      <w:bookmarkStart w:id="19" w:name="_Toc23698"/>
      <w:bookmarkStart w:id="20" w:name="_Toc15520"/>
      <w:r>
        <w:rPr>
          <w:rFonts w:hint="eastAsia"/>
          <w:highlight w:val="none"/>
        </w:rPr>
        <w:t>中国南方航空股份有限公司</w:t>
      </w:r>
      <w:permStart w:id="4" w:edGrp="everyone"/>
      <w:r>
        <w:rPr>
          <w:rFonts w:hint="eastAsia"/>
          <w:highlight w:val="none"/>
          <w:u w:val="single"/>
        </w:rPr>
        <w:t>航空服务部</w:t>
      </w:r>
      <w:permEnd w:id="4"/>
      <w:r>
        <w:rPr>
          <w:rFonts w:hint="eastAsia" w:ascii="宋体" w:hAnsi="宋体" w:cs="宋体"/>
          <w:highlight w:val="none"/>
        </w:rPr>
        <w:t>(以下简称“采购人”)现对</w:t>
      </w:r>
      <w:permStart w:id="5" w:edGrp="everyone"/>
      <w:r>
        <w:rPr>
          <w:rFonts w:hint="eastAsia" w:ascii="宋体" w:hAnsi="宋体" w:cs="宋体"/>
          <w:szCs w:val="21"/>
          <w:highlight w:val="none"/>
        </w:rPr>
        <w:t>【】</w:t>
      </w:r>
      <w:permEnd w:id="5"/>
      <w:r>
        <w:rPr>
          <w:rFonts w:hint="eastAsia" w:ascii="宋体" w:hAnsi="宋体" w:cs="宋体"/>
          <w:szCs w:val="21"/>
          <w:lang w:val="en-US" w:eastAsia="zh-CN"/>
        </w:rPr>
        <w:t>中转航延</w:t>
      </w:r>
      <w:r>
        <w:rPr>
          <w:rFonts w:hint="eastAsia" w:ascii="宋体" w:hAnsi="宋体" w:cs="宋体"/>
          <w:szCs w:val="21"/>
        </w:rPr>
        <w:t>酒店</w:t>
      </w:r>
      <w:r>
        <w:rPr>
          <w:rFonts w:hint="eastAsia"/>
          <w:highlight w:val="none"/>
        </w:rPr>
        <w:t>进行谈判采购。</w:t>
      </w:r>
    </w:p>
    <w:p>
      <w:pPr>
        <w:pStyle w:val="4"/>
        <w:spacing w:line="360" w:lineRule="auto"/>
        <w:ind w:left="0"/>
        <w:jc w:val="left"/>
        <w:rPr>
          <w:b/>
          <w:highlight w:val="none"/>
        </w:rPr>
      </w:pPr>
      <w:bookmarkStart w:id="21" w:name="_Toc30768"/>
      <w:r>
        <w:rPr>
          <w:rFonts w:hint="eastAsia" w:ascii="宋体" w:hAnsi="宋体" w:cs="宋体"/>
          <w:b/>
          <w:highlight w:val="none"/>
        </w:rPr>
        <w:t>1、</w:t>
      </w:r>
      <w:r>
        <w:rPr>
          <w:rFonts w:hint="eastAsia"/>
          <w:b/>
          <w:highlight w:val="none"/>
        </w:rPr>
        <w:t>项目简介</w:t>
      </w:r>
      <w:bookmarkEnd w:id="12"/>
      <w:bookmarkEnd w:id="13"/>
      <w:bookmarkEnd w:id="14"/>
      <w:bookmarkEnd w:id="15"/>
      <w:bookmarkEnd w:id="16"/>
      <w:bookmarkEnd w:id="17"/>
      <w:bookmarkEnd w:id="18"/>
      <w:bookmarkEnd w:id="19"/>
      <w:bookmarkEnd w:id="20"/>
      <w:bookmarkEnd w:id="21"/>
    </w:p>
    <w:p>
      <w:pPr>
        <w:spacing w:line="360" w:lineRule="auto"/>
        <w:ind w:firstLine="422" w:firstLineChars="200"/>
        <w:rPr>
          <w:rFonts w:hint="eastAsia" w:ascii="宋体" w:hAnsi="宋体"/>
          <w:szCs w:val="21"/>
          <w:highlight w:val="none"/>
        </w:rPr>
      </w:pPr>
      <w:r>
        <w:rPr>
          <w:rFonts w:hint="eastAsia" w:ascii="宋体" w:hAnsi="宋体"/>
          <w:b/>
          <w:szCs w:val="21"/>
          <w:highlight w:val="none"/>
        </w:rPr>
        <w:t>1.1</w:t>
      </w:r>
      <w:r>
        <w:rPr>
          <w:rFonts w:ascii="宋体" w:hAnsi="宋体"/>
          <w:b/>
          <w:szCs w:val="21"/>
          <w:highlight w:val="none"/>
        </w:rPr>
        <w:t xml:space="preserve"> </w:t>
      </w:r>
      <w:r>
        <w:rPr>
          <w:rFonts w:hint="eastAsia" w:ascii="宋体" w:hAnsi="宋体"/>
          <w:szCs w:val="21"/>
          <w:highlight w:val="none"/>
        </w:rPr>
        <w:t>项目名称：</w:t>
      </w:r>
      <w:permStart w:id="6" w:edGrp="everyone"/>
      <w:r>
        <w:rPr>
          <w:rFonts w:hint="eastAsia" w:ascii="宋体" w:hAnsi="宋体" w:cs="宋体"/>
          <w:szCs w:val="21"/>
          <w:highlight w:val="none"/>
        </w:rPr>
        <w:t>【】</w:t>
      </w:r>
      <w:permEnd w:id="6"/>
      <w:r>
        <w:rPr>
          <w:rFonts w:hint="eastAsia" w:ascii="宋体" w:hAnsi="宋体"/>
          <w:szCs w:val="21"/>
          <w:highlight w:val="none"/>
        </w:rPr>
        <w:t>。</w:t>
      </w:r>
    </w:p>
    <w:p>
      <w:pPr>
        <w:spacing w:line="360" w:lineRule="auto"/>
        <w:ind w:firstLine="422" w:firstLineChars="200"/>
        <w:rPr>
          <w:rFonts w:hint="eastAsia" w:ascii="宋体" w:hAnsi="宋体"/>
          <w:szCs w:val="21"/>
          <w:highlight w:val="none"/>
        </w:rPr>
      </w:pPr>
      <w:r>
        <w:rPr>
          <w:rFonts w:hint="eastAsia" w:ascii="宋体" w:hAnsi="宋体"/>
          <w:b/>
          <w:szCs w:val="21"/>
          <w:highlight w:val="none"/>
        </w:rPr>
        <w:t>1.2</w:t>
      </w:r>
      <w:r>
        <w:rPr>
          <w:rFonts w:ascii="宋体" w:hAnsi="宋体"/>
          <w:b/>
          <w:szCs w:val="21"/>
          <w:highlight w:val="none"/>
        </w:rPr>
        <w:t xml:space="preserve"> </w:t>
      </w:r>
      <w:r>
        <w:rPr>
          <w:rFonts w:hint="eastAsia" w:ascii="宋体" w:hAnsi="宋体"/>
          <w:bCs/>
          <w:szCs w:val="21"/>
          <w:highlight w:val="none"/>
        </w:rPr>
        <w:t>项目</w:t>
      </w:r>
      <w:r>
        <w:rPr>
          <w:rFonts w:hint="eastAsia" w:ascii="宋体" w:hAnsi="宋体"/>
          <w:szCs w:val="21"/>
          <w:highlight w:val="none"/>
        </w:rPr>
        <w:t>编号：</w:t>
      </w:r>
      <w:permStart w:id="7" w:edGrp="everyone"/>
      <w:r>
        <w:rPr>
          <w:rFonts w:hint="eastAsia" w:ascii="宋体" w:hAnsi="宋体" w:cs="宋体"/>
          <w:szCs w:val="21"/>
          <w:highlight w:val="none"/>
        </w:rPr>
        <w:t>【】</w:t>
      </w:r>
      <w:permEnd w:id="7"/>
      <w:r>
        <w:rPr>
          <w:rFonts w:hint="eastAsia" w:ascii="宋体" w:hAnsi="宋体"/>
          <w:szCs w:val="21"/>
          <w:highlight w:val="none"/>
        </w:rPr>
        <w:t>。</w:t>
      </w:r>
      <w:bookmarkStart w:id="498" w:name="_GoBack"/>
      <w:bookmarkEnd w:id="498"/>
    </w:p>
    <w:p>
      <w:pPr>
        <w:spacing w:line="360" w:lineRule="auto"/>
        <w:ind w:firstLine="422" w:firstLineChars="200"/>
        <w:rPr>
          <w:rFonts w:hint="eastAsia" w:ascii="宋体" w:hAnsi="宋体" w:cs="宋体"/>
          <w:szCs w:val="21"/>
          <w:highlight w:val="none"/>
        </w:rPr>
      </w:pPr>
      <w:r>
        <w:rPr>
          <w:rFonts w:hint="eastAsia" w:ascii="宋体" w:hAnsi="宋体" w:cs="宋体"/>
          <w:b/>
          <w:szCs w:val="21"/>
          <w:highlight w:val="none"/>
        </w:rPr>
        <w:t xml:space="preserve">1.3 </w:t>
      </w:r>
      <w:r>
        <w:rPr>
          <w:rFonts w:hint="eastAsia" w:ascii="宋体" w:hAnsi="宋体" w:cs="宋体"/>
          <w:szCs w:val="21"/>
          <w:highlight w:val="none"/>
        </w:rPr>
        <w:t>项目类别：</w:t>
      </w:r>
      <w:r>
        <w:rPr>
          <w:rFonts w:hint="eastAsia" w:ascii="宋体" w:hAnsi="宋体" w:cs="宋体"/>
          <w:color w:val="000000"/>
          <w:szCs w:val="21"/>
          <w:highlight w:val="none"/>
        </w:rPr>
        <w:t>服务类</w:t>
      </w:r>
      <w:r>
        <w:rPr>
          <w:rFonts w:hint="eastAsia" w:ascii="宋体" w:hAnsi="宋体" w:cs="宋体"/>
          <w:szCs w:val="21"/>
          <w:highlight w:val="none"/>
        </w:rPr>
        <w:t>。</w:t>
      </w:r>
    </w:p>
    <w:p>
      <w:pPr>
        <w:spacing w:line="360" w:lineRule="auto"/>
        <w:ind w:firstLine="422" w:firstLineChars="200"/>
        <w:rPr>
          <w:rFonts w:hint="eastAsia" w:ascii="宋体" w:hAnsi="宋体" w:cs="宋体"/>
          <w:szCs w:val="21"/>
          <w:highlight w:val="none"/>
        </w:rPr>
      </w:pPr>
      <w:r>
        <w:rPr>
          <w:rFonts w:hint="eastAsia" w:ascii="宋体" w:hAnsi="宋体" w:cs="宋体"/>
          <w:b/>
          <w:szCs w:val="21"/>
          <w:highlight w:val="none"/>
        </w:rPr>
        <w:t xml:space="preserve">1.4 </w:t>
      </w:r>
      <w:r>
        <w:rPr>
          <w:rFonts w:hint="eastAsia" w:ascii="宋体" w:hAnsi="宋体" w:cs="宋体"/>
          <w:szCs w:val="21"/>
          <w:highlight w:val="none"/>
        </w:rPr>
        <w:t>资金来源：</w:t>
      </w:r>
      <w:r>
        <w:rPr>
          <w:rFonts w:hint="eastAsia" w:ascii="宋体" w:hAnsi="宋体"/>
          <w:szCs w:val="21"/>
          <w:highlight w:val="none"/>
        </w:rPr>
        <w:t>企业自筹资金；</w:t>
      </w:r>
    </w:p>
    <w:p>
      <w:pPr>
        <w:widowControl/>
        <w:spacing w:line="360" w:lineRule="auto"/>
        <w:ind w:firstLine="422" w:firstLineChars="200"/>
        <w:jc w:val="left"/>
        <w:rPr>
          <w:rFonts w:hint="eastAsia" w:ascii="宋体" w:hAnsi="宋体" w:cs="宋体"/>
          <w:szCs w:val="21"/>
          <w:highlight w:val="none"/>
        </w:rPr>
      </w:pPr>
      <w:r>
        <w:rPr>
          <w:rFonts w:hint="eastAsia" w:ascii="宋体" w:hAnsi="宋体"/>
          <w:b/>
          <w:szCs w:val="21"/>
          <w:highlight w:val="none"/>
        </w:rPr>
        <w:t>1.5</w:t>
      </w:r>
      <w:r>
        <w:rPr>
          <w:rFonts w:ascii="宋体" w:hAnsi="宋体"/>
          <w:b/>
          <w:szCs w:val="21"/>
          <w:highlight w:val="none"/>
        </w:rPr>
        <w:t xml:space="preserve"> </w:t>
      </w:r>
      <w:r>
        <w:rPr>
          <w:rFonts w:hint="eastAsia" w:ascii="宋体" w:hAnsi="宋体"/>
          <w:bCs/>
          <w:szCs w:val="21"/>
          <w:highlight w:val="none"/>
        </w:rPr>
        <w:t>项目</w:t>
      </w:r>
      <w:r>
        <w:rPr>
          <w:rFonts w:hint="eastAsia" w:ascii="宋体" w:hAnsi="宋体"/>
          <w:szCs w:val="21"/>
          <w:highlight w:val="none"/>
        </w:rPr>
        <w:t>内容、数量、限价或预算：</w:t>
      </w:r>
      <w:r>
        <w:rPr>
          <w:rFonts w:hint="eastAsia" w:ascii="宋体" w:hAnsi="宋体" w:cs="宋体"/>
          <w:szCs w:val="21"/>
          <w:highlight w:val="none"/>
          <w:lang w:bidi="ar"/>
        </w:rPr>
        <w:t>本项目总预算：【】万元【子包1（A类【】万元）；子包2（B类【】万元）；子包3（C类【】万元）】。</w:t>
      </w:r>
      <w:r>
        <w:rPr>
          <w:rFonts w:hint="eastAsia" w:ascii="宋体" w:hAnsi="宋体" w:cs="宋体"/>
          <w:kern w:val="0"/>
          <w:szCs w:val="21"/>
          <w:highlight w:val="none"/>
        </w:rPr>
        <w:t>本次通过谈判方式采购</w:t>
      </w:r>
      <w:permStart w:id="8" w:edGrp="everyone"/>
      <w:r>
        <w:rPr>
          <w:rFonts w:hint="eastAsia" w:ascii="宋体" w:hAnsi="宋体" w:cs="宋体"/>
          <w:kern w:val="0"/>
          <w:szCs w:val="21"/>
          <w:highlight w:val="none"/>
        </w:rPr>
        <w:t>【】家</w:t>
      </w:r>
      <w:r>
        <w:rPr>
          <w:rFonts w:hint="eastAsia" w:ascii="宋体" w:hAnsi="宋体" w:cs="宋体"/>
          <w:szCs w:val="21"/>
          <w:highlight w:val="none"/>
        </w:rPr>
        <w:t>（A类【】家，B类【】家，C类【】家）</w:t>
      </w:r>
      <w:permEnd w:id="8"/>
      <w:r>
        <w:rPr>
          <w:rFonts w:hint="eastAsia" w:ascii="宋体" w:hAnsi="宋体" w:cs="宋体"/>
          <w:kern w:val="0"/>
          <w:szCs w:val="21"/>
          <w:highlight w:val="none"/>
        </w:rPr>
        <w:t>合作酒店，主要负责为</w:t>
      </w:r>
      <w:permStart w:id="9" w:edGrp="everyone"/>
      <w:r>
        <w:rPr>
          <w:rFonts w:hint="eastAsia" w:ascii="宋体" w:hAnsi="宋体" w:cs="宋体"/>
          <w:kern w:val="0"/>
          <w:szCs w:val="21"/>
          <w:highlight w:val="none"/>
        </w:rPr>
        <w:t>【】地区中转、航延（含超售、航班延误、遣返等）的旅客提供酒店住宿（需具备24小时酒店前台服务）、餐饮（包括早、午、晚及宵夜）服务及机场往返酒店的车辆服务</w:t>
      </w:r>
      <w:permEnd w:id="9"/>
      <w:r>
        <w:rPr>
          <w:rFonts w:hint="eastAsia" w:ascii="宋体" w:hAnsi="宋体" w:cs="宋体"/>
          <w:kern w:val="0"/>
          <w:szCs w:val="21"/>
          <w:highlight w:val="none"/>
        </w:rPr>
        <w:t>。</w:t>
      </w:r>
      <w:r>
        <w:rPr>
          <w:rFonts w:hint="eastAsia" w:ascii="宋体" w:hAnsi="宋体" w:cs="宋体"/>
          <w:kern w:val="0"/>
          <w:szCs w:val="21"/>
          <w:highlight w:val="none"/>
          <w:lang w:bidi="ar"/>
        </w:rPr>
        <w:t>本项目中选供应商评分排名仅作为入围资格排名，具体按照</w:t>
      </w:r>
      <w:r>
        <w:rPr>
          <w:rFonts w:hint="eastAsia" w:ascii="宋体" w:hAnsi="宋体" w:cs="宋体"/>
          <w:kern w:val="0"/>
          <w:szCs w:val="21"/>
          <w:highlight w:val="none"/>
          <w:lang w:eastAsia="zh" w:bidi="ar"/>
        </w:rPr>
        <w:t>第四章用户需求中的</w:t>
      </w:r>
      <w:r>
        <w:rPr>
          <w:rFonts w:hint="eastAsia" w:ascii="宋体" w:hAnsi="宋体" w:cs="宋体"/>
          <w:kern w:val="0"/>
          <w:szCs w:val="21"/>
          <w:highlight w:val="none"/>
          <w:lang w:bidi="ar"/>
        </w:rPr>
        <w:t>《分配原则》进行</w:t>
      </w:r>
      <w:r>
        <w:rPr>
          <w:rFonts w:hint="eastAsia" w:ascii="宋体" w:hAnsi="宋体" w:cs="宋体"/>
          <w:kern w:val="0"/>
          <w:szCs w:val="21"/>
          <w:highlight w:val="none"/>
          <w:lang w:eastAsia="zh" w:bidi="ar"/>
        </w:rPr>
        <w:t>安排</w:t>
      </w:r>
      <w:r>
        <w:rPr>
          <w:rFonts w:hint="eastAsia" w:ascii="宋体" w:hAnsi="宋体" w:cs="宋体"/>
          <w:kern w:val="0"/>
          <w:szCs w:val="21"/>
          <w:highlight w:val="none"/>
          <w:lang w:bidi="ar"/>
        </w:rPr>
        <w:t>。采购人根据每个子包成交供应商数量平均分配额度签订框架合同，所有框架合同金额合计含税上限金额为【】万元。在合同有效期内，采购人有权根据实际使用情况对框架合同额度进行调整，并履行内部合同审批流程，每个子包所有框架合同额度不超过子包总预算。</w:t>
      </w:r>
    </w:p>
    <w:p>
      <w:pPr>
        <w:widowControl/>
        <w:spacing w:line="360" w:lineRule="auto"/>
        <w:ind w:firstLine="420" w:firstLineChars="200"/>
        <w:jc w:val="left"/>
        <w:rPr>
          <w:rFonts w:hint="eastAsia" w:ascii="宋体" w:hAnsi="宋体" w:cs="宋体"/>
          <w:color w:val="5B9BD5"/>
          <w:szCs w:val="21"/>
          <w:highlight w:val="none"/>
        </w:rPr>
      </w:pPr>
      <w:r>
        <w:rPr>
          <w:rFonts w:hint="eastAsia" w:ascii="宋体" w:hAnsi="宋体" w:cs="宋体"/>
          <w:kern w:val="0"/>
          <w:szCs w:val="21"/>
          <w:highlight w:val="none"/>
        </w:rPr>
        <w:t xml:space="preserve"> </w:t>
      </w:r>
      <w:r>
        <w:rPr>
          <w:rFonts w:hint="eastAsia" w:ascii="宋体" w:hAnsi="宋体" w:cs="宋体"/>
          <w:color w:val="0000FF"/>
          <w:kern w:val="0"/>
          <w:szCs w:val="21"/>
          <w:highlight w:val="none"/>
          <w:lang w:eastAsia="zh" w:bidi="ar"/>
        </w:rPr>
        <w:t>【不允许兼中选择此条，同时删除1.5.</w:t>
      </w:r>
      <w:r>
        <w:rPr>
          <w:rFonts w:hint="eastAsia" w:ascii="宋体" w:hAnsi="宋体" w:cs="宋体"/>
          <w:color w:val="0000FF"/>
          <w:kern w:val="0"/>
          <w:szCs w:val="21"/>
          <w:highlight w:val="none"/>
          <w:lang w:bidi="ar"/>
        </w:rPr>
        <w:t>2</w:t>
      </w:r>
      <w:r>
        <w:rPr>
          <w:rFonts w:hint="eastAsia" w:ascii="宋体" w:hAnsi="宋体" w:cs="宋体"/>
          <w:color w:val="0000FF"/>
          <w:kern w:val="0"/>
          <w:szCs w:val="21"/>
          <w:highlight w:val="none"/>
          <w:lang w:eastAsia="zh" w:bidi="ar"/>
        </w:rPr>
        <w:t>】</w:t>
      </w:r>
      <w:r>
        <w:rPr>
          <w:rFonts w:hint="eastAsia" w:ascii="宋体" w:hAnsi="宋体" w:cs="宋体"/>
          <w:kern w:val="0"/>
          <w:szCs w:val="21"/>
          <w:highlight w:val="none"/>
          <w:lang w:bidi="ar"/>
        </w:rPr>
        <w:t>1.</w:t>
      </w:r>
      <w:r>
        <w:rPr>
          <w:rFonts w:hint="eastAsia" w:ascii="宋体" w:hAnsi="宋体" w:cs="宋体"/>
          <w:szCs w:val="21"/>
          <w:highlight w:val="none"/>
        </w:rPr>
        <w:t>5.</w:t>
      </w:r>
      <w:r>
        <w:rPr>
          <w:rFonts w:hint="eastAsia" w:ascii="宋体" w:hAnsi="宋体" w:cs="宋体"/>
          <w:szCs w:val="21"/>
          <w:highlight w:val="none"/>
          <w:lang w:eastAsia="zh"/>
        </w:rPr>
        <w:t>1</w:t>
      </w:r>
      <w:r>
        <w:rPr>
          <w:rFonts w:hint="eastAsia" w:ascii="宋体" w:hAnsi="宋体" w:cs="宋体"/>
          <w:szCs w:val="21"/>
          <w:highlight w:val="none"/>
        </w:rPr>
        <w:t>子包项目为最小的响应单位，供应商可以报名和参加本批次【】个子包的响应，也可以选择其中某一个或N个子包进行响应。【】个子包</w:t>
      </w:r>
      <w:r>
        <w:rPr>
          <w:rFonts w:hint="eastAsia" w:ascii="宋体" w:hAnsi="宋体" w:cs="宋体"/>
          <w:szCs w:val="21"/>
          <w:highlight w:val="none"/>
          <w:lang w:eastAsia="zh"/>
        </w:rPr>
        <w:t>不</w:t>
      </w:r>
      <w:r>
        <w:rPr>
          <w:rFonts w:hint="eastAsia" w:ascii="宋体" w:hAnsi="宋体" w:cs="宋体"/>
          <w:szCs w:val="21"/>
          <w:highlight w:val="none"/>
        </w:rPr>
        <w:t>允许兼中，项目评审按照【</w:t>
      </w:r>
      <w:r>
        <w:rPr>
          <w:rFonts w:hint="eastAsia" w:ascii="宋体" w:hAnsi="宋体" w:cs="宋体"/>
          <w:kern w:val="0"/>
          <w:szCs w:val="21"/>
          <w:highlight w:val="none"/>
          <w:lang w:bidi="ar"/>
        </w:rPr>
        <w:t>C类、B类、A类</w:t>
      </w:r>
      <w:r>
        <w:rPr>
          <w:rFonts w:hint="eastAsia" w:ascii="宋体" w:hAnsi="宋体" w:cs="宋体"/>
          <w:szCs w:val="21"/>
          <w:highlight w:val="none"/>
        </w:rPr>
        <w:t>】的顺序进行</w:t>
      </w:r>
      <w:r>
        <w:rPr>
          <w:rFonts w:hint="eastAsia" w:ascii="宋体" w:hAnsi="宋体" w:cs="宋体"/>
          <w:kern w:val="0"/>
          <w:szCs w:val="21"/>
          <w:highlight w:val="none"/>
          <w:lang w:bidi="ar"/>
        </w:rPr>
        <w:t>。各供应商根据自身情况对应以下符合条件进行报价，并注明所选择参加响应评审的类别，响应报价不得高于对应符合条件的最高限价，但不设下限。以上报价超出最高限价</w:t>
      </w:r>
      <w:r>
        <w:rPr>
          <w:rFonts w:hint="eastAsia" w:ascii="宋体" w:hAnsi="宋体" w:cs="宋体"/>
          <w:szCs w:val="21"/>
          <w:highlight w:val="none"/>
        </w:rPr>
        <w:t>及其补充说明</w:t>
      </w:r>
      <w:r>
        <w:rPr>
          <w:rFonts w:hint="eastAsia" w:ascii="宋体" w:hAnsi="宋体" w:cs="宋体"/>
          <w:kern w:val="0"/>
          <w:szCs w:val="21"/>
          <w:highlight w:val="none"/>
          <w:lang w:bidi="ar"/>
        </w:rPr>
        <w:t>将</w:t>
      </w:r>
      <w:r>
        <w:rPr>
          <w:rFonts w:hint="eastAsia" w:ascii="宋体" w:hAnsi="宋体" w:cs="宋体"/>
          <w:szCs w:val="21"/>
          <w:highlight w:val="none"/>
        </w:rPr>
        <w:t>响应无效。具体限价标准如下</w:t>
      </w:r>
      <w:r>
        <w:rPr>
          <w:rFonts w:hint="eastAsia" w:ascii="宋体" w:hAnsi="宋体" w:cs="宋体"/>
          <w:color w:val="0000FF"/>
          <w:szCs w:val="21"/>
          <w:highlight w:val="none"/>
          <w:lang w:eastAsia="zh"/>
        </w:rPr>
        <w:t>【具体限价标准和费用组成形式可根据本单位实际情况修改】</w:t>
      </w:r>
      <w:r>
        <w:rPr>
          <w:rFonts w:hint="eastAsia" w:ascii="宋体" w:hAnsi="宋体" w:cs="宋体"/>
          <w:color w:val="0000FF"/>
          <w:szCs w:val="21"/>
          <w:highlight w:val="none"/>
        </w:rPr>
        <w:t>：</w:t>
      </w:r>
    </w:p>
    <w:p>
      <w:pPr>
        <w:widowControl/>
        <w:spacing w:line="360" w:lineRule="auto"/>
        <w:ind w:firstLine="420" w:firstLineChars="200"/>
        <w:jc w:val="left"/>
        <w:rPr>
          <w:highlight w:val="none"/>
        </w:rPr>
      </w:pPr>
      <w:r>
        <w:rPr>
          <w:rFonts w:hint="eastAsia" w:ascii="宋体" w:hAnsi="宋体" w:cs="宋体"/>
          <w:color w:val="0000FF"/>
          <w:kern w:val="0"/>
          <w:szCs w:val="21"/>
          <w:highlight w:val="none"/>
          <w:lang w:eastAsia="zh" w:bidi="ar"/>
        </w:rPr>
        <w:t>【允许兼中选择此条，同时删除1.5.</w:t>
      </w:r>
      <w:r>
        <w:rPr>
          <w:rFonts w:hint="eastAsia" w:ascii="宋体" w:hAnsi="宋体" w:cs="宋体"/>
          <w:color w:val="0000FF"/>
          <w:kern w:val="0"/>
          <w:szCs w:val="21"/>
          <w:highlight w:val="none"/>
          <w:lang w:bidi="ar"/>
        </w:rPr>
        <w:t>1</w:t>
      </w:r>
      <w:r>
        <w:rPr>
          <w:rFonts w:hint="eastAsia" w:ascii="宋体" w:hAnsi="宋体" w:cs="宋体"/>
          <w:color w:val="0000FF"/>
          <w:kern w:val="0"/>
          <w:szCs w:val="21"/>
          <w:highlight w:val="none"/>
          <w:lang w:eastAsia="zh" w:bidi="ar"/>
        </w:rPr>
        <w:t>】</w:t>
      </w:r>
      <w:r>
        <w:rPr>
          <w:rFonts w:hint="eastAsia" w:ascii="宋体" w:hAnsi="宋体" w:cs="宋体"/>
          <w:kern w:val="0"/>
          <w:szCs w:val="21"/>
          <w:highlight w:val="none"/>
          <w:lang w:bidi="ar"/>
        </w:rPr>
        <w:t>1.</w:t>
      </w:r>
      <w:r>
        <w:rPr>
          <w:rFonts w:hint="eastAsia" w:ascii="宋体" w:hAnsi="宋体" w:cs="宋体"/>
          <w:szCs w:val="21"/>
          <w:highlight w:val="none"/>
        </w:rPr>
        <w:t>5.</w:t>
      </w:r>
      <w:r>
        <w:rPr>
          <w:rFonts w:hint="eastAsia" w:ascii="宋体" w:hAnsi="宋体" w:cs="宋体"/>
          <w:szCs w:val="21"/>
          <w:highlight w:val="none"/>
          <w:lang w:eastAsia="zh"/>
        </w:rPr>
        <w:t>2</w:t>
      </w:r>
      <w:r>
        <w:rPr>
          <w:rFonts w:hint="eastAsia" w:ascii="宋体" w:hAnsi="宋体" w:cs="宋体"/>
          <w:szCs w:val="21"/>
          <w:highlight w:val="none"/>
        </w:rPr>
        <w:t>子包项目为最小的响应单位，供应商可以报名和参加本批次【】个子包的响应</w:t>
      </w:r>
      <w:r>
        <w:rPr>
          <w:rFonts w:hint="eastAsia" w:ascii="宋体" w:hAnsi="宋体" w:cs="宋体"/>
          <w:szCs w:val="21"/>
          <w:highlight w:val="none"/>
          <w:lang w:eastAsia="zh"/>
        </w:rPr>
        <w:t>，</w:t>
      </w:r>
      <w:r>
        <w:rPr>
          <w:rFonts w:hint="eastAsia" w:ascii="宋体" w:hAnsi="宋体" w:cs="宋体"/>
          <w:szCs w:val="21"/>
          <w:highlight w:val="none"/>
        </w:rPr>
        <w:t>也可以选择其中某一个或N个子包进行响应。【】个子包允许兼中，项目评审按照【</w:t>
      </w:r>
      <w:r>
        <w:rPr>
          <w:rFonts w:hint="eastAsia" w:ascii="宋体" w:hAnsi="宋体" w:cs="宋体"/>
          <w:kern w:val="0"/>
          <w:szCs w:val="21"/>
          <w:highlight w:val="none"/>
          <w:lang w:bidi="ar"/>
        </w:rPr>
        <w:t>C类、B类、A类</w:t>
      </w:r>
      <w:r>
        <w:rPr>
          <w:rFonts w:hint="eastAsia" w:ascii="宋体" w:hAnsi="宋体" w:cs="宋体"/>
          <w:szCs w:val="21"/>
          <w:highlight w:val="none"/>
        </w:rPr>
        <w:t>】的顺序进行</w:t>
      </w:r>
      <w:r>
        <w:rPr>
          <w:rFonts w:hint="eastAsia" w:ascii="宋体" w:hAnsi="宋体" w:cs="宋体"/>
          <w:kern w:val="0"/>
          <w:szCs w:val="21"/>
          <w:highlight w:val="none"/>
          <w:lang w:bidi="ar"/>
        </w:rPr>
        <w:t>。</w:t>
      </w:r>
      <w:r>
        <w:rPr>
          <w:rFonts w:hint="eastAsia" w:ascii="宋体" w:hAnsi="宋体" w:cs="宋体"/>
          <w:szCs w:val="21"/>
          <w:highlight w:val="none"/>
        </w:rPr>
        <w:t>供应商可同时参与A类、B类、C类酒店的竞标（须满足相应类别酒店采购要求），通过提供不同档次的客房，分别接待A级、B级和C级旅客，其客房房价及餐食价格不高于相应类别酒店的限价标准。如供应商参与B类及C类酒店的竞标，其挂牌星级/携程评级及携程评分须满足B类酒店采购要求，酒店高档客房（如豪华客房、高级客房、套房等）对应酒店B类酒店报价，且房价及餐食价格不高于B类酒店的限价标准，标准客房对应C类酒店报价，且房价及餐食价格不高于C类酒店的限价标准。具体限价标准如</w:t>
      </w:r>
      <w:r>
        <w:rPr>
          <w:rFonts w:hint="eastAsia" w:ascii="宋体" w:hAnsi="宋体" w:cs="宋体"/>
          <w:color w:val="000000"/>
          <w:kern w:val="0"/>
          <w:szCs w:val="21"/>
          <w:highlight w:val="none"/>
          <w:lang w:eastAsia="zh" w:bidi="ar"/>
        </w:rPr>
        <w:t>下</w:t>
      </w:r>
      <w:r>
        <w:rPr>
          <w:rFonts w:hint="eastAsia" w:ascii="宋体" w:hAnsi="宋体" w:cs="宋体"/>
          <w:color w:val="0000FF"/>
          <w:szCs w:val="21"/>
          <w:highlight w:val="none"/>
          <w:lang w:eastAsia="zh"/>
        </w:rPr>
        <w:t>【具体限价标准和费用组成形式可根据本单位实际情况修改】</w:t>
      </w:r>
      <w:r>
        <w:rPr>
          <w:rFonts w:hint="eastAsia" w:ascii="宋体" w:hAnsi="宋体" w:cs="宋体"/>
          <w:color w:val="0000FF"/>
          <w:kern w:val="0"/>
          <w:szCs w:val="21"/>
          <w:highlight w:val="none"/>
          <w:lang w:eastAsia="zh" w:bidi="ar"/>
        </w:rPr>
        <w:t>：</w:t>
      </w:r>
    </w:p>
    <w:tbl>
      <w:tblPr>
        <w:tblStyle w:val="25"/>
        <w:tblW w:w="956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99"/>
        <w:gridCol w:w="1969"/>
        <w:gridCol w:w="1969"/>
        <w:gridCol w:w="2362"/>
        <w:gridCol w:w="1260"/>
        <w:gridCol w:w="120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1" w:hRule="atLeast"/>
          <w:jc w:val="center"/>
        </w:trPr>
        <w:tc>
          <w:tcPr>
            <w:tcW w:w="79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szCs w:val="21"/>
                <w:highlight w:val="none"/>
              </w:rPr>
            </w:pPr>
            <w:permStart w:id="10" w:edGrp="everyone"/>
            <w:r>
              <w:rPr>
                <w:rFonts w:hint="eastAsia" w:ascii="宋体" w:hAnsi="宋体" w:cs="宋体"/>
                <w:bCs/>
                <w:szCs w:val="21"/>
                <w:highlight w:val="none"/>
                <w:lang w:bidi="ar"/>
              </w:rPr>
              <w:t>子包</w:t>
            </w:r>
          </w:p>
        </w:tc>
        <w:tc>
          <w:tcPr>
            <w:tcW w:w="1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szCs w:val="21"/>
                <w:highlight w:val="none"/>
              </w:rPr>
            </w:pPr>
            <w:bookmarkStart w:id="22" w:name="_Toc1256"/>
            <w:bookmarkStart w:id="23" w:name="_Toc9780"/>
            <w:r>
              <w:rPr>
                <w:rFonts w:hint="eastAsia" w:ascii="宋体" w:hAnsi="宋体" w:cs="宋体"/>
                <w:bCs/>
                <w:szCs w:val="21"/>
                <w:highlight w:val="none"/>
              </w:rPr>
              <w:t>符合条件</w:t>
            </w:r>
            <w:bookmarkEnd w:id="22"/>
            <w:bookmarkEnd w:id="23"/>
          </w:p>
        </w:tc>
        <w:tc>
          <w:tcPr>
            <w:tcW w:w="1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szCs w:val="21"/>
                <w:highlight w:val="none"/>
              </w:rPr>
            </w:pPr>
            <w:bookmarkStart w:id="24" w:name="_Toc7341"/>
            <w:bookmarkStart w:id="25" w:name="_Toc12424"/>
            <w:r>
              <w:rPr>
                <w:rFonts w:hint="eastAsia" w:ascii="宋体" w:hAnsi="宋体" w:cs="宋体"/>
                <w:bCs/>
                <w:color w:val="auto"/>
                <w:szCs w:val="21"/>
                <w:highlight w:val="none"/>
                <w:lang w:eastAsia="zh"/>
              </w:rPr>
              <w:t>单人间/双人间</w:t>
            </w:r>
            <w:r>
              <w:rPr>
                <w:rFonts w:hint="eastAsia" w:ascii="宋体" w:hAnsi="宋体" w:cs="宋体"/>
                <w:bCs/>
                <w:szCs w:val="21"/>
                <w:highlight w:val="none"/>
              </w:rPr>
              <w:t>房费限价</w:t>
            </w:r>
            <w:bookmarkEnd w:id="24"/>
            <w:bookmarkEnd w:id="25"/>
          </w:p>
          <w:p>
            <w:pPr>
              <w:jc w:val="center"/>
              <w:rPr>
                <w:rFonts w:hint="eastAsia" w:ascii="宋体" w:hAnsi="宋体" w:cs="宋体"/>
                <w:bCs/>
                <w:szCs w:val="21"/>
                <w:highlight w:val="none"/>
              </w:rPr>
            </w:pPr>
            <w:r>
              <w:rPr>
                <w:rFonts w:hint="eastAsia" w:ascii="宋体" w:hAnsi="宋体" w:cs="宋体"/>
                <w:bCs/>
                <w:szCs w:val="21"/>
                <w:highlight w:val="none"/>
              </w:rPr>
              <w:t>（单位：元/间/天）</w:t>
            </w:r>
          </w:p>
        </w:tc>
        <w:tc>
          <w:tcPr>
            <w:tcW w:w="23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szCs w:val="21"/>
                <w:highlight w:val="none"/>
              </w:rPr>
            </w:pPr>
            <w:r>
              <w:rPr>
                <w:rFonts w:hint="eastAsia" w:ascii="宋体" w:hAnsi="宋体" w:cs="宋体"/>
                <w:bCs/>
                <w:szCs w:val="21"/>
                <w:highlight w:val="none"/>
              </w:rPr>
              <w:t>餐费限价</w:t>
            </w:r>
            <w:bookmarkStart w:id="26" w:name="_Toc21239"/>
            <w:bookmarkStart w:id="27" w:name="_Toc14984"/>
          </w:p>
          <w:p>
            <w:pPr>
              <w:jc w:val="center"/>
              <w:rPr>
                <w:rFonts w:hint="eastAsia" w:ascii="宋体" w:hAnsi="宋体" w:cs="宋体"/>
                <w:bCs/>
                <w:szCs w:val="21"/>
                <w:highlight w:val="none"/>
              </w:rPr>
            </w:pPr>
            <w:r>
              <w:rPr>
                <w:rFonts w:hint="eastAsia" w:ascii="宋体" w:hAnsi="宋体" w:cs="宋体"/>
                <w:bCs/>
                <w:szCs w:val="21"/>
                <w:highlight w:val="none"/>
              </w:rPr>
              <w:t>（早/中/晚/宵夜）</w:t>
            </w:r>
            <w:bookmarkEnd w:id="26"/>
            <w:bookmarkEnd w:id="27"/>
          </w:p>
          <w:p>
            <w:pPr>
              <w:jc w:val="center"/>
              <w:rPr>
                <w:rFonts w:hint="eastAsia" w:ascii="宋体" w:hAnsi="宋体" w:cs="宋体"/>
                <w:bCs/>
                <w:szCs w:val="21"/>
                <w:highlight w:val="none"/>
              </w:rPr>
            </w:pPr>
            <w:r>
              <w:rPr>
                <w:rFonts w:hint="eastAsia" w:ascii="宋体" w:hAnsi="宋体" w:cs="宋体"/>
                <w:bCs/>
                <w:szCs w:val="21"/>
                <w:highlight w:val="none"/>
              </w:rPr>
              <w:t>（单位：元/人/餐）</w:t>
            </w:r>
          </w:p>
        </w:tc>
        <w:tc>
          <w:tcPr>
            <w:tcW w:w="126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szCs w:val="21"/>
                <w:highlight w:val="none"/>
              </w:rPr>
            </w:pPr>
            <w:bookmarkStart w:id="28" w:name="_Toc10833"/>
            <w:bookmarkStart w:id="29" w:name="_Toc11313"/>
            <w:r>
              <w:rPr>
                <w:rFonts w:hint="eastAsia" w:ascii="宋体" w:hAnsi="宋体" w:cs="宋体"/>
                <w:bCs/>
                <w:szCs w:val="21"/>
                <w:highlight w:val="none"/>
              </w:rPr>
              <w:t>采购</w:t>
            </w:r>
            <w:bookmarkEnd w:id="28"/>
            <w:bookmarkEnd w:id="29"/>
            <w:bookmarkStart w:id="30" w:name="_Toc3429"/>
            <w:bookmarkStart w:id="31" w:name="_Toc28279"/>
            <w:r>
              <w:rPr>
                <w:rFonts w:hint="eastAsia" w:ascii="宋体" w:hAnsi="宋体" w:cs="宋体"/>
                <w:bCs/>
                <w:szCs w:val="21"/>
                <w:highlight w:val="none"/>
              </w:rPr>
              <w:t>数量</w:t>
            </w:r>
            <w:bookmarkEnd w:id="30"/>
            <w:bookmarkEnd w:id="31"/>
          </w:p>
          <w:p>
            <w:pPr>
              <w:jc w:val="center"/>
              <w:rPr>
                <w:rFonts w:hint="eastAsia" w:ascii="宋体" w:hAnsi="宋体" w:cs="宋体"/>
                <w:bCs/>
                <w:szCs w:val="21"/>
                <w:highlight w:val="none"/>
              </w:rPr>
            </w:pPr>
            <w:r>
              <w:rPr>
                <w:rFonts w:hint="eastAsia" w:ascii="宋体" w:hAnsi="宋体" w:cs="宋体"/>
                <w:bCs/>
                <w:szCs w:val="21"/>
                <w:highlight w:val="none"/>
              </w:rPr>
              <w:t>（单位：家）</w:t>
            </w:r>
          </w:p>
        </w:tc>
        <w:tc>
          <w:tcPr>
            <w:tcW w:w="120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szCs w:val="21"/>
                <w:highlight w:val="none"/>
              </w:rPr>
            </w:pPr>
            <w:r>
              <w:rPr>
                <w:rFonts w:hint="eastAsia" w:ascii="宋体" w:hAnsi="宋体" w:cs="宋体"/>
                <w:bCs/>
                <w:szCs w:val="21"/>
                <w:highlight w:val="none"/>
              </w:rPr>
              <w:t>车费限价</w:t>
            </w:r>
            <w:r>
              <w:rPr>
                <w:rFonts w:hint="eastAsia" w:ascii="宋体" w:hAnsi="宋体" w:cs="宋体"/>
                <w:bCs/>
                <w:color w:val="0000FF"/>
                <w:szCs w:val="21"/>
                <w:highlight w:val="none"/>
                <w:lang w:eastAsia="zh-CN"/>
              </w:rPr>
              <w:t>【如无需车辆服务请删除此列】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74" w:hRule="atLeast"/>
          <w:jc w:val="center"/>
        </w:trPr>
        <w:tc>
          <w:tcPr>
            <w:tcW w:w="799" w:type="dxa"/>
            <w:vMerge w:val="restart"/>
            <w:tcBorders>
              <w:top w:val="single" w:color="auto" w:sz="4" w:space="0"/>
              <w:left w:val="single" w:color="auto" w:sz="4" w:space="0"/>
              <w:bottom w:val="single" w:color="auto" w:sz="4" w:space="0"/>
              <w:right w:val="single" w:color="auto" w:sz="4" w:space="0"/>
            </w:tcBorders>
            <w:vAlign w:val="center"/>
          </w:tcPr>
          <w:p>
            <w:pPr>
              <w:jc w:val="center"/>
              <w:textAlignment w:val="center"/>
              <w:rPr>
                <w:rFonts w:hint="eastAsia" w:ascii="宋体" w:hAnsi="宋体" w:cs="宋体"/>
                <w:szCs w:val="21"/>
                <w:highlight w:val="none"/>
              </w:rPr>
            </w:pPr>
            <w:bookmarkStart w:id="32" w:name="_Toc21324"/>
            <w:bookmarkStart w:id="33" w:name="_Toc20726"/>
            <w:r>
              <w:rPr>
                <w:rFonts w:hint="eastAsia" w:ascii="宋体" w:hAnsi="宋体" w:cs="宋体"/>
                <w:sz w:val="18"/>
                <w:szCs w:val="18"/>
                <w:highlight w:val="none"/>
              </w:rPr>
              <w:t>子包1：A类</w:t>
            </w:r>
            <w:bookmarkEnd w:id="32"/>
            <w:bookmarkEnd w:id="33"/>
          </w:p>
        </w:tc>
        <w:tc>
          <w:tcPr>
            <w:tcW w:w="1969"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highlight w:val="none"/>
              </w:rPr>
            </w:pPr>
            <w:r>
              <w:rPr>
                <w:rFonts w:hint="eastAsia" w:ascii="宋体" w:hAnsi="宋体" w:cs="宋体"/>
                <w:szCs w:val="21"/>
                <w:highlight w:val="none"/>
              </w:rPr>
              <w:t>【</w:t>
            </w:r>
            <w:bookmarkStart w:id="34" w:name="_Toc23634"/>
            <w:bookmarkStart w:id="35" w:name="_Toc12423"/>
            <w:r>
              <w:rPr>
                <w:rFonts w:hint="eastAsia" w:ascii="宋体" w:hAnsi="宋体" w:cs="宋体"/>
                <w:szCs w:val="21"/>
                <w:highlight w:val="none"/>
              </w:rPr>
              <w:t>★</w:t>
            </w:r>
            <w:r>
              <w:rPr>
                <w:rFonts w:hint="eastAsia" w:ascii="宋体" w:hAnsi="宋体" w:cs="宋体"/>
                <w:sz w:val="18"/>
                <w:szCs w:val="18"/>
                <w:highlight w:val="none"/>
              </w:rPr>
              <w:t>挂牌五星级且携程评分</w:t>
            </w:r>
            <w:r>
              <w:rPr>
                <w:rFonts w:hint="eastAsia" w:ascii="宋体" w:hAnsi="宋体" w:cs="宋体"/>
                <w:szCs w:val="21"/>
                <w:highlight w:val="none"/>
              </w:rPr>
              <w:t>【】</w:t>
            </w:r>
            <w:r>
              <w:rPr>
                <w:rFonts w:hint="eastAsia" w:ascii="宋体" w:hAnsi="宋体" w:cs="宋体"/>
                <w:sz w:val="18"/>
                <w:szCs w:val="18"/>
                <w:highlight w:val="none"/>
              </w:rPr>
              <w:t>分（含）以上酒店或携程评级5钻/豪华型（含）以上且携程评分</w:t>
            </w:r>
            <w:r>
              <w:rPr>
                <w:rFonts w:hint="eastAsia" w:ascii="宋体" w:hAnsi="宋体" w:cs="宋体"/>
                <w:szCs w:val="21"/>
                <w:highlight w:val="none"/>
              </w:rPr>
              <w:t>【】</w:t>
            </w:r>
            <w:r>
              <w:rPr>
                <w:rFonts w:hint="eastAsia" w:ascii="宋体" w:hAnsi="宋体" w:cs="宋体"/>
                <w:sz w:val="18"/>
                <w:szCs w:val="18"/>
                <w:highlight w:val="none"/>
              </w:rPr>
              <w:t>分（含）以上酒店（提供酒店星级评定证书或携程评级、评分截图作为证明材料）</w:t>
            </w:r>
            <w:bookmarkEnd w:id="34"/>
            <w:bookmarkEnd w:id="35"/>
            <w:r>
              <w:rPr>
                <w:rFonts w:hint="eastAsia" w:ascii="宋体" w:hAnsi="宋体" w:cs="宋体"/>
                <w:szCs w:val="21"/>
                <w:highlight w:val="none"/>
              </w:rPr>
              <w:t>】</w:t>
            </w:r>
          </w:p>
        </w:tc>
        <w:tc>
          <w:tcPr>
            <w:tcW w:w="1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highlight w:val="none"/>
              </w:rPr>
            </w:pPr>
            <w:r>
              <w:rPr>
                <w:rFonts w:hint="eastAsia" w:ascii="宋体" w:hAnsi="宋体" w:cs="宋体"/>
                <w:szCs w:val="21"/>
                <w:highlight w:val="none"/>
              </w:rPr>
              <w:t>【</w:t>
            </w:r>
            <w:bookmarkStart w:id="36" w:name="_Toc5578"/>
            <w:bookmarkStart w:id="37" w:name="_Toc1788"/>
            <w:r>
              <w:rPr>
                <w:rFonts w:hint="eastAsia" w:ascii="宋体" w:hAnsi="宋体" w:cs="宋体"/>
                <w:sz w:val="18"/>
                <w:szCs w:val="18"/>
                <w:highlight w:val="none"/>
              </w:rPr>
              <w:t>中转(含早)：不高于</w:t>
            </w:r>
            <w:r>
              <w:rPr>
                <w:rFonts w:hint="eastAsia" w:ascii="宋体" w:hAnsi="宋体" w:cs="宋体"/>
                <w:szCs w:val="21"/>
                <w:highlight w:val="none"/>
              </w:rPr>
              <w:t>【】</w:t>
            </w:r>
            <w:r>
              <w:rPr>
                <w:rFonts w:hint="eastAsia" w:ascii="宋体" w:hAnsi="宋体" w:cs="宋体"/>
                <w:sz w:val="18"/>
                <w:szCs w:val="18"/>
                <w:highlight w:val="none"/>
              </w:rPr>
              <w:t>元/间/天</w:t>
            </w:r>
            <w:bookmarkEnd w:id="36"/>
            <w:bookmarkEnd w:id="37"/>
            <w:r>
              <w:rPr>
                <w:rFonts w:hint="eastAsia" w:ascii="宋体" w:hAnsi="宋体" w:cs="宋体"/>
                <w:szCs w:val="21"/>
                <w:highlight w:val="none"/>
              </w:rPr>
              <w:t>】</w:t>
            </w:r>
          </w:p>
        </w:tc>
        <w:tc>
          <w:tcPr>
            <w:tcW w:w="23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highlight w:val="none"/>
              </w:rPr>
            </w:pPr>
            <w:r>
              <w:rPr>
                <w:rFonts w:hint="eastAsia" w:ascii="宋体" w:hAnsi="宋体" w:cs="宋体"/>
                <w:szCs w:val="21"/>
                <w:highlight w:val="none"/>
              </w:rPr>
              <w:t>【</w:t>
            </w:r>
            <w:bookmarkStart w:id="38" w:name="_Toc7084"/>
            <w:bookmarkStart w:id="39" w:name="_Toc32"/>
            <w:r>
              <w:rPr>
                <w:rFonts w:hint="eastAsia" w:ascii="宋体" w:hAnsi="宋体" w:cs="宋体"/>
                <w:sz w:val="18"/>
                <w:szCs w:val="18"/>
                <w:highlight w:val="none"/>
              </w:rPr>
              <w:t>中转旅客餐食：含入住人数早餐，每间房每天最多不超2份。</w:t>
            </w:r>
            <w:bookmarkEnd w:id="38"/>
            <w:bookmarkEnd w:id="39"/>
            <w:r>
              <w:rPr>
                <w:rFonts w:hint="eastAsia" w:ascii="宋体" w:hAnsi="宋体" w:cs="宋体"/>
                <w:szCs w:val="21"/>
                <w:highlight w:val="none"/>
              </w:rPr>
              <w:t>】</w:t>
            </w:r>
          </w:p>
        </w:tc>
        <w:tc>
          <w:tcPr>
            <w:tcW w:w="1260"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highlight w:val="none"/>
              </w:rPr>
            </w:pPr>
            <w:r>
              <w:rPr>
                <w:rFonts w:hint="eastAsia" w:ascii="宋体" w:hAnsi="宋体" w:cs="宋体"/>
                <w:szCs w:val="21"/>
                <w:highlight w:val="none"/>
              </w:rPr>
              <w:t>【】</w:t>
            </w:r>
          </w:p>
        </w:tc>
        <w:tc>
          <w:tcPr>
            <w:tcW w:w="1207" w:type="dxa"/>
            <w:vMerge w:val="restart"/>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方正仿宋_GBK" w:cs="宋体"/>
                <w:szCs w:val="21"/>
                <w:highlight w:val="none"/>
                <w:lang w:val="en-US" w:eastAsia="zh-CN"/>
              </w:rPr>
            </w:pPr>
            <w:r>
              <w:rPr>
                <w:rFonts w:hint="eastAsia" w:ascii="宋体" w:hAnsi="宋体" w:cs="宋体"/>
                <w:szCs w:val="21"/>
                <w:highlight w:val="none"/>
              </w:rPr>
              <w:t>【</w:t>
            </w:r>
            <w:bookmarkStart w:id="40" w:name="_Toc2314"/>
            <w:bookmarkStart w:id="41" w:name="_Toc26584"/>
            <w:r>
              <w:rPr>
                <w:rFonts w:hint="eastAsia" w:ascii="宋体" w:hAnsi="宋体" w:cs="宋体"/>
                <w:szCs w:val="21"/>
                <w:highlight w:val="none"/>
              </w:rPr>
              <w:t>】</w:t>
            </w:r>
            <w:r>
              <w:rPr>
                <w:rFonts w:hint="eastAsia" w:ascii="宋体" w:hAnsi="宋体" w:cs="宋体"/>
                <w:sz w:val="18"/>
                <w:szCs w:val="18"/>
                <w:highlight w:val="none"/>
              </w:rPr>
              <w:t>元/人/往返程，报价含车辆全险。</w:t>
            </w:r>
            <w:bookmarkEnd w:id="40"/>
            <w:bookmarkEnd w:id="41"/>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0" w:hRule="atLeast"/>
          <w:jc w:val="center"/>
        </w:trPr>
        <w:tc>
          <w:tcPr>
            <w:tcW w:w="799" w:type="dxa"/>
            <w:vMerge w:val="continue"/>
            <w:tcBorders>
              <w:left w:val="single" w:color="auto" w:sz="4" w:space="0"/>
              <w:bottom w:val="single" w:color="auto" w:sz="4" w:space="0"/>
              <w:right w:val="single" w:color="auto" w:sz="4" w:space="0"/>
            </w:tcBorders>
            <w:vAlign w:val="center"/>
          </w:tcPr>
          <w:p>
            <w:pPr>
              <w:jc w:val="center"/>
              <w:textAlignment w:val="center"/>
              <w:rPr>
                <w:rFonts w:hint="eastAsia" w:ascii="宋体" w:hAnsi="宋体" w:cs="宋体"/>
                <w:sz w:val="18"/>
                <w:szCs w:val="18"/>
                <w:highlight w:val="none"/>
              </w:rPr>
            </w:pPr>
          </w:p>
        </w:tc>
        <w:tc>
          <w:tcPr>
            <w:tcW w:w="1969" w:type="dxa"/>
            <w:vMerge w:val="continue"/>
            <w:tcBorders>
              <w:left w:val="single" w:color="auto" w:sz="4" w:space="0"/>
              <w:bottom w:val="single" w:color="auto" w:sz="4" w:space="0"/>
              <w:right w:val="single" w:color="auto" w:sz="4" w:space="0"/>
            </w:tcBorders>
            <w:vAlign w:val="center"/>
          </w:tcPr>
          <w:p>
            <w:pPr>
              <w:jc w:val="center"/>
              <w:rPr>
                <w:rFonts w:hint="eastAsia" w:ascii="宋体" w:hAnsi="宋体" w:cs="宋体"/>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highlight w:val="none"/>
              </w:rPr>
            </w:pPr>
            <w:r>
              <w:rPr>
                <w:rFonts w:hint="eastAsia" w:ascii="宋体" w:hAnsi="宋体" w:cs="宋体"/>
                <w:szCs w:val="21"/>
                <w:highlight w:val="none"/>
              </w:rPr>
              <w:t>【</w:t>
            </w:r>
            <w:bookmarkStart w:id="42" w:name="_Toc31102"/>
            <w:bookmarkStart w:id="43" w:name="_Toc16261"/>
            <w:r>
              <w:rPr>
                <w:rFonts w:hint="eastAsia" w:ascii="宋体" w:hAnsi="宋体" w:cs="宋体"/>
                <w:sz w:val="18"/>
                <w:szCs w:val="18"/>
                <w:highlight w:val="none"/>
              </w:rPr>
              <w:t>航延(不含早)：不高于</w:t>
            </w:r>
            <w:r>
              <w:rPr>
                <w:rFonts w:hint="eastAsia" w:ascii="宋体" w:hAnsi="宋体" w:cs="宋体"/>
                <w:szCs w:val="21"/>
                <w:highlight w:val="none"/>
              </w:rPr>
              <w:t>【】</w:t>
            </w:r>
            <w:r>
              <w:rPr>
                <w:rFonts w:hint="eastAsia" w:ascii="宋体" w:hAnsi="宋体" w:cs="宋体"/>
                <w:sz w:val="18"/>
                <w:szCs w:val="18"/>
                <w:highlight w:val="none"/>
              </w:rPr>
              <w:t>元/间/天</w:t>
            </w:r>
            <w:bookmarkEnd w:id="42"/>
            <w:bookmarkEnd w:id="43"/>
            <w:r>
              <w:rPr>
                <w:rFonts w:hint="eastAsia" w:ascii="宋体" w:hAnsi="宋体" w:cs="宋体"/>
                <w:szCs w:val="21"/>
                <w:highlight w:val="none"/>
              </w:rPr>
              <w:t>】</w:t>
            </w:r>
          </w:p>
        </w:tc>
        <w:tc>
          <w:tcPr>
            <w:tcW w:w="236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sz w:val="18"/>
                <w:szCs w:val="18"/>
                <w:highlight w:val="none"/>
              </w:rPr>
            </w:pPr>
            <w:r>
              <w:rPr>
                <w:rFonts w:hint="eastAsia" w:ascii="宋体" w:hAnsi="宋体" w:cs="宋体"/>
                <w:szCs w:val="21"/>
                <w:highlight w:val="none"/>
              </w:rPr>
              <w:t>【</w:t>
            </w:r>
            <w:bookmarkStart w:id="44" w:name="_Toc10108"/>
            <w:bookmarkStart w:id="45" w:name="_Toc25044"/>
            <w:r>
              <w:rPr>
                <w:rFonts w:hint="eastAsia" w:ascii="宋体" w:hAnsi="宋体" w:cs="宋体"/>
                <w:sz w:val="18"/>
                <w:szCs w:val="18"/>
                <w:highlight w:val="none"/>
              </w:rPr>
              <w:t>航延旅客餐食不高于：</w:t>
            </w:r>
            <w:bookmarkEnd w:id="44"/>
            <w:bookmarkEnd w:id="45"/>
          </w:p>
          <w:p>
            <w:pPr>
              <w:rPr>
                <w:rFonts w:hint="eastAsia" w:ascii="宋体" w:hAnsi="宋体" w:cs="宋体"/>
                <w:sz w:val="18"/>
                <w:szCs w:val="18"/>
                <w:highlight w:val="none"/>
              </w:rPr>
            </w:pPr>
            <w:bookmarkStart w:id="46" w:name="_Toc20243"/>
            <w:bookmarkStart w:id="47" w:name="_Toc843"/>
            <w:r>
              <w:rPr>
                <w:rFonts w:hint="eastAsia" w:ascii="宋体" w:hAnsi="宋体" w:cs="宋体"/>
                <w:sz w:val="18"/>
                <w:szCs w:val="18"/>
                <w:highlight w:val="none"/>
              </w:rPr>
              <w:t>早餐50元</w:t>
            </w:r>
            <w:bookmarkEnd w:id="46"/>
            <w:bookmarkEnd w:id="47"/>
          </w:p>
          <w:p>
            <w:pPr>
              <w:rPr>
                <w:rFonts w:hint="eastAsia" w:ascii="宋体" w:hAnsi="宋体" w:cs="宋体"/>
                <w:sz w:val="18"/>
                <w:szCs w:val="18"/>
                <w:highlight w:val="none"/>
              </w:rPr>
            </w:pPr>
            <w:bookmarkStart w:id="48" w:name="_Toc23104"/>
            <w:bookmarkStart w:id="49" w:name="_Toc12092"/>
            <w:r>
              <w:rPr>
                <w:rFonts w:hint="eastAsia" w:ascii="宋体" w:hAnsi="宋体" w:cs="宋体"/>
                <w:sz w:val="18"/>
                <w:szCs w:val="18"/>
                <w:highlight w:val="none"/>
              </w:rPr>
              <w:t>午餐、晚餐80元</w:t>
            </w:r>
            <w:bookmarkEnd w:id="48"/>
            <w:bookmarkEnd w:id="49"/>
          </w:p>
          <w:p>
            <w:pPr>
              <w:jc w:val="left"/>
              <w:rPr>
                <w:rFonts w:hint="eastAsia" w:ascii="宋体" w:hAnsi="宋体" w:cs="宋体"/>
                <w:szCs w:val="21"/>
                <w:highlight w:val="none"/>
              </w:rPr>
            </w:pPr>
            <w:bookmarkStart w:id="50" w:name="_Toc31292"/>
            <w:bookmarkStart w:id="51" w:name="_Toc4526"/>
            <w:r>
              <w:rPr>
                <w:rFonts w:hint="eastAsia" w:ascii="宋体" w:hAnsi="宋体" w:cs="宋体"/>
                <w:sz w:val="18"/>
                <w:szCs w:val="18"/>
                <w:highlight w:val="none"/>
              </w:rPr>
              <w:t>宵夜50元</w:t>
            </w:r>
            <w:bookmarkEnd w:id="50"/>
            <w:bookmarkEnd w:id="51"/>
            <w:r>
              <w:rPr>
                <w:rFonts w:hint="eastAsia" w:ascii="宋体" w:hAnsi="宋体" w:cs="宋体"/>
                <w:szCs w:val="21"/>
                <w:highlight w:val="none"/>
              </w:rPr>
              <w:t>】</w:t>
            </w:r>
          </w:p>
        </w:tc>
        <w:tc>
          <w:tcPr>
            <w:tcW w:w="1260" w:type="dxa"/>
            <w:vMerge w:val="continue"/>
            <w:tcBorders>
              <w:left w:val="single" w:color="auto" w:sz="4" w:space="0"/>
              <w:bottom w:val="single" w:color="auto" w:sz="4" w:space="0"/>
              <w:right w:val="single" w:color="auto" w:sz="4" w:space="0"/>
            </w:tcBorders>
            <w:vAlign w:val="center"/>
          </w:tcPr>
          <w:p>
            <w:pPr>
              <w:jc w:val="center"/>
              <w:rPr>
                <w:rFonts w:hint="eastAsia" w:ascii="宋体" w:hAnsi="宋体" w:cs="宋体"/>
                <w:szCs w:val="21"/>
                <w:highlight w:val="none"/>
              </w:rPr>
            </w:pPr>
          </w:p>
        </w:tc>
        <w:tc>
          <w:tcPr>
            <w:tcW w:w="1207" w:type="dxa"/>
            <w:vMerge w:val="continue"/>
            <w:tcBorders>
              <w:left w:val="single" w:color="auto" w:sz="4" w:space="0"/>
              <w:right w:val="single" w:color="auto" w:sz="4" w:space="0"/>
            </w:tcBorders>
            <w:vAlign w:val="center"/>
          </w:tcPr>
          <w:p>
            <w:pPr>
              <w:jc w:val="center"/>
              <w:rPr>
                <w:rFonts w:hint="eastAsia"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79" w:hRule="atLeast"/>
          <w:jc w:val="center"/>
        </w:trPr>
        <w:tc>
          <w:tcPr>
            <w:tcW w:w="799" w:type="dxa"/>
            <w:vMerge w:val="restart"/>
            <w:tcBorders>
              <w:top w:val="single" w:color="auto" w:sz="4" w:space="0"/>
              <w:left w:val="single" w:color="auto" w:sz="4" w:space="0"/>
              <w:bottom w:val="single" w:color="auto" w:sz="4" w:space="0"/>
              <w:right w:val="single" w:color="auto" w:sz="4" w:space="0"/>
            </w:tcBorders>
            <w:vAlign w:val="center"/>
          </w:tcPr>
          <w:p>
            <w:pPr>
              <w:jc w:val="center"/>
              <w:textAlignment w:val="center"/>
              <w:rPr>
                <w:rFonts w:hint="eastAsia" w:ascii="宋体" w:hAnsi="宋体" w:cs="宋体"/>
                <w:szCs w:val="21"/>
                <w:highlight w:val="none"/>
              </w:rPr>
            </w:pPr>
            <w:bookmarkStart w:id="52" w:name="_Toc11123"/>
            <w:bookmarkStart w:id="53" w:name="_Toc17904"/>
            <w:r>
              <w:rPr>
                <w:rFonts w:hint="eastAsia" w:ascii="宋体" w:hAnsi="宋体" w:cs="宋体"/>
                <w:sz w:val="18"/>
                <w:szCs w:val="18"/>
                <w:highlight w:val="none"/>
              </w:rPr>
              <w:t>子包2：B类</w:t>
            </w:r>
            <w:bookmarkEnd w:id="52"/>
            <w:bookmarkEnd w:id="53"/>
          </w:p>
        </w:tc>
        <w:tc>
          <w:tcPr>
            <w:tcW w:w="1969"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highlight w:val="none"/>
              </w:rPr>
            </w:pPr>
            <w:r>
              <w:rPr>
                <w:rFonts w:hint="eastAsia" w:ascii="宋体" w:hAnsi="宋体" w:cs="宋体"/>
                <w:szCs w:val="21"/>
                <w:highlight w:val="none"/>
              </w:rPr>
              <w:t>【</w:t>
            </w:r>
            <w:bookmarkStart w:id="54" w:name="_Toc32042"/>
            <w:bookmarkStart w:id="55" w:name="_Toc20781"/>
            <w:r>
              <w:rPr>
                <w:rFonts w:hint="eastAsia" w:ascii="宋体" w:hAnsi="宋体" w:cs="宋体"/>
                <w:szCs w:val="21"/>
                <w:highlight w:val="none"/>
              </w:rPr>
              <w:t>★</w:t>
            </w:r>
            <w:r>
              <w:rPr>
                <w:rFonts w:hint="eastAsia" w:ascii="宋体" w:hAnsi="宋体" w:cs="宋体"/>
                <w:sz w:val="18"/>
                <w:szCs w:val="18"/>
                <w:highlight w:val="none"/>
              </w:rPr>
              <w:t>挂牌四星（含）以上且携程评分</w:t>
            </w:r>
            <w:r>
              <w:rPr>
                <w:rFonts w:hint="eastAsia" w:ascii="宋体" w:hAnsi="宋体" w:cs="宋体"/>
                <w:szCs w:val="21"/>
                <w:highlight w:val="none"/>
              </w:rPr>
              <w:t>【】</w:t>
            </w:r>
            <w:r>
              <w:rPr>
                <w:rFonts w:hint="eastAsia" w:ascii="宋体" w:hAnsi="宋体" w:cs="宋体"/>
                <w:sz w:val="18"/>
                <w:szCs w:val="18"/>
                <w:highlight w:val="none"/>
              </w:rPr>
              <w:t>分（含）以上酒店或携程评级4钻/高档型（含）以上且携程评分</w:t>
            </w:r>
            <w:r>
              <w:rPr>
                <w:rFonts w:hint="eastAsia" w:ascii="宋体" w:hAnsi="宋体" w:cs="宋体"/>
                <w:szCs w:val="21"/>
                <w:highlight w:val="none"/>
              </w:rPr>
              <w:t>【】</w:t>
            </w:r>
            <w:r>
              <w:rPr>
                <w:rFonts w:hint="eastAsia" w:ascii="宋体" w:hAnsi="宋体" w:cs="宋体"/>
                <w:sz w:val="18"/>
                <w:szCs w:val="18"/>
                <w:highlight w:val="none"/>
              </w:rPr>
              <w:t>分（含）以上酒店（提供酒店星级评定证书或携程评级、评分截图作为证明材料）</w:t>
            </w:r>
            <w:bookmarkEnd w:id="54"/>
            <w:bookmarkEnd w:id="55"/>
            <w:r>
              <w:rPr>
                <w:rFonts w:hint="eastAsia" w:ascii="宋体" w:hAnsi="宋体" w:cs="宋体"/>
                <w:szCs w:val="21"/>
                <w:highlight w:val="none"/>
              </w:rPr>
              <w:t>】</w:t>
            </w:r>
          </w:p>
        </w:tc>
        <w:tc>
          <w:tcPr>
            <w:tcW w:w="1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highlight w:val="none"/>
              </w:rPr>
            </w:pPr>
            <w:r>
              <w:rPr>
                <w:rFonts w:hint="eastAsia" w:ascii="宋体" w:hAnsi="宋体" w:cs="宋体"/>
                <w:szCs w:val="21"/>
                <w:highlight w:val="none"/>
              </w:rPr>
              <w:t>【</w:t>
            </w:r>
            <w:bookmarkStart w:id="56" w:name="_Toc18204"/>
            <w:bookmarkStart w:id="57" w:name="_Toc19811"/>
            <w:r>
              <w:rPr>
                <w:rFonts w:hint="eastAsia" w:ascii="宋体" w:hAnsi="宋体" w:cs="宋体"/>
                <w:sz w:val="18"/>
                <w:szCs w:val="18"/>
                <w:highlight w:val="none"/>
              </w:rPr>
              <w:t>中转(含早)：不高于</w:t>
            </w:r>
            <w:r>
              <w:rPr>
                <w:rFonts w:hint="eastAsia" w:ascii="宋体" w:hAnsi="宋体" w:cs="宋体"/>
                <w:szCs w:val="21"/>
                <w:highlight w:val="none"/>
              </w:rPr>
              <w:t>【】</w:t>
            </w:r>
            <w:r>
              <w:rPr>
                <w:rFonts w:hint="eastAsia" w:ascii="宋体" w:hAnsi="宋体" w:cs="宋体"/>
                <w:sz w:val="18"/>
                <w:szCs w:val="18"/>
                <w:highlight w:val="none"/>
              </w:rPr>
              <w:t>元/间/天</w:t>
            </w:r>
            <w:bookmarkEnd w:id="56"/>
            <w:bookmarkEnd w:id="57"/>
            <w:r>
              <w:rPr>
                <w:rFonts w:hint="eastAsia" w:ascii="宋体" w:hAnsi="宋体" w:cs="宋体"/>
                <w:szCs w:val="21"/>
                <w:highlight w:val="none"/>
              </w:rPr>
              <w:t>】</w:t>
            </w:r>
          </w:p>
        </w:tc>
        <w:tc>
          <w:tcPr>
            <w:tcW w:w="23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highlight w:val="none"/>
              </w:rPr>
            </w:pPr>
            <w:r>
              <w:rPr>
                <w:rFonts w:hint="eastAsia" w:ascii="宋体" w:hAnsi="宋体" w:cs="宋体"/>
                <w:szCs w:val="21"/>
                <w:highlight w:val="none"/>
              </w:rPr>
              <w:t>【</w:t>
            </w:r>
            <w:bookmarkStart w:id="58" w:name="_Toc25932"/>
            <w:bookmarkStart w:id="59" w:name="_Toc28131"/>
            <w:r>
              <w:rPr>
                <w:rFonts w:hint="eastAsia" w:ascii="宋体" w:hAnsi="宋体" w:cs="宋体"/>
                <w:sz w:val="18"/>
                <w:szCs w:val="18"/>
                <w:highlight w:val="none"/>
              </w:rPr>
              <w:t>中转旅客餐食：含入住人数早餐，每间房每天最多不超2份。</w:t>
            </w:r>
            <w:bookmarkEnd w:id="58"/>
            <w:bookmarkEnd w:id="59"/>
            <w:r>
              <w:rPr>
                <w:rFonts w:hint="eastAsia" w:ascii="宋体" w:hAnsi="宋体" w:cs="宋体"/>
                <w:szCs w:val="21"/>
                <w:highlight w:val="none"/>
              </w:rPr>
              <w:t>】</w:t>
            </w:r>
          </w:p>
        </w:tc>
        <w:tc>
          <w:tcPr>
            <w:tcW w:w="1260"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highlight w:val="none"/>
              </w:rPr>
            </w:pPr>
            <w:r>
              <w:rPr>
                <w:rFonts w:hint="eastAsia" w:ascii="宋体" w:hAnsi="宋体" w:cs="宋体"/>
                <w:szCs w:val="21"/>
                <w:highlight w:val="none"/>
              </w:rPr>
              <w:t>【】</w:t>
            </w:r>
          </w:p>
        </w:tc>
        <w:tc>
          <w:tcPr>
            <w:tcW w:w="1207"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0" w:hRule="atLeast"/>
          <w:jc w:val="center"/>
        </w:trPr>
        <w:tc>
          <w:tcPr>
            <w:tcW w:w="799" w:type="dxa"/>
            <w:vMerge w:val="continue"/>
            <w:tcBorders>
              <w:left w:val="single" w:color="auto" w:sz="4" w:space="0"/>
              <w:bottom w:val="single" w:color="auto" w:sz="4" w:space="0"/>
              <w:right w:val="single" w:color="auto" w:sz="4" w:space="0"/>
            </w:tcBorders>
            <w:vAlign w:val="center"/>
          </w:tcPr>
          <w:p>
            <w:pPr>
              <w:jc w:val="center"/>
              <w:textAlignment w:val="center"/>
              <w:rPr>
                <w:rFonts w:hint="eastAsia" w:ascii="宋体" w:hAnsi="宋体" w:cs="宋体"/>
                <w:sz w:val="18"/>
                <w:szCs w:val="18"/>
                <w:highlight w:val="none"/>
              </w:rPr>
            </w:pPr>
          </w:p>
        </w:tc>
        <w:tc>
          <w:tcPr>
            <w:tcW w:w="1969" w:type="dxa"/>
            <w:vMerge w:val="continue"/>
            <w:tcBorders>
              <w:left w:val="single" w:color="auto" w:sz="4" w:space="0"/>
              <w:bottom w:val="single" w:color="auto" w:sz="4" w:space="0"/>
              <w:right w:val="single" w:color="auto" w:sz="4" w:space="0"/>
            </w:tcBorders>
            <w:vAlign w:val="center"/>
          </w:tcPr>
          <w:p>
            <w:pPr>
              <w:jc w:val="center"/>
              <w:rPr>
                <w:rFonts w:hint="eastAsia" w:ascii="宋体" w:hAnsi="宋体" w:cs="宋体"/>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highlight w:val="none"/>
              </w:rPr>
            </w:pPr>
            <w:r>
              <w:rPr>
                <w:rFonts w:hint="eastAsia" w:ascii="宋体" w:hAnsi="宋体" w:cs="宋体"/>
                <w:szCs w:val="21"/>
                <w:highlight w:val="none"/>
              </w:rPr>
              <w:t>【</w:t>
            </w:r>
            <w:bookmarkStart w:id="60" w:name="_Toc1529"/>
            <w:bookmarkStart w:id="61" w:name="_Toc3482"/>
            <w:r>
              <w:rPr>
                <w:rFonts w:hint="eastAsia" w:ascii="宋体" w:hAnsi="宋体" w:cs="宋体"/>
                <w:sz w:val="18"/>
                <w:szCs w:val="18"/>
                <w:highlight w:val="none"/>
              </w:rPr>
              <w:t>航延(不含早)：不高于</w:t>
            </w:r>
            <w:r>
              <w:rPr>
                <w:rFonts w:hint="eastAsia" w:ascii="宋体" w:hAnsi="宋体" w:cs="宋体"/>
                <w:szCs w:val="21"/>
                <w:highlight w:val="none"/>
              </w:rPr>
              <w:t>【】</w:t>
            </w:r>
            <w:r>
              <w:rPr>
                <w:rFonts w:hint="eastAsia" w:ascii="宋体" w:hAnsi="宋体" w:cs="宋体"/>
                <w:sz w:val="18"/>
                <w:szCs w:val="18"/>
                <w:highlight w:val="none"/>
              </w:rPr>
              <w:t>元/间/天</w:t>
            </w:r>
            <w:bookmarkEnd w:id="60"/>
            <w:bookmarkEnd w:id="61"/>
            <w:r>
              <w:rPr>
                <w:rFonts w:hint="eastAsia" w:ascii="宋体" w:hAnsi="宋体" w:cs="宋体"/>
                <w:szCs w:val="21"/>
                <w:highlight w:val="none"/>
              </w:rPr>
              <w:t>】</w:t>
            </w:r>
          </w:p>
        </w:tc>
        <w:tc>
          <w:tcPr>
            <w:tcW w:w="236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sz w:val="18"/>
                <w:szCs w:val="18"/>
                <w:highlight w:val="none"/>
              </w:rPr>
            </w:pPr>
            <w:r>
              <w:rPr>
                <w:rFonts w:hint="eastAsia" w:ascii="宋体" w:hAnsi="宋体" w:cs="宋体"/>
                <w:szCs w:val="21"/>
                <w:highlight w:val="none"/>
              </w:rPr>
              <w:t>【</w:t>
            </w:r>
            <w:bookmarkStart w:id="62" w:name="_Toc10744"/>
            <w:bookmarkStart w:id="63" w:name="_Toc32455"/>
            <w:r>
              <w:rPr>
                <w:rFonts w:hint="eastAsia" w:ascii="宋体" w:hAnsi="宋体" w:cs="宋体"/>
                <w:sz w:val="18"/>
                <w:szCs w:val="18"/>
                <w:highlight w:val="none"/>
              </w:rPr>
              <w:t>航延旅客餐食不高于：</w:t>
            </w:r>
            <w:bookmarkEnd w:id="62"/>
            <w:bookmarkEnd w:id="63"/>
          </w:p>
          <w:p>
            <w:pPr>
              <w:rPr>
                <w:rFonts w:hint="eastAsia" w:ascii="宋体" w:hAnsi="宋体" w:cs="宋体"/>
                <w:sz w:val="18"/>
                <w:szCs w:val="18"/>
                <w:highlight w:val="none"/>
              </w:rPr>
            </w:pPr>
            <w:bookmarkStart w:id="64" w:name="_Toc13256"/>
            <w:bookmarkStart w:id="65" w:name="_Toc27624"/>
            <w:r>
              <w:rPr>
                <w:rFonts w:hint="eastAsia" w:ascii="宋体" w:hAnsi="宋体" w:cs="宋体"/>
                <w:sz w:val="18"/>
                <w:szCs w:val="18"/>
                <w:highlight w:val="none"/>
              </w:rPr>
              <w:t>早餐30元</w:t>
            </w:r>
            <w:bookmarkEnd w:id="64"/>
            <w:bookmarkEnd w:id="65"/>
          </w:p>
          <w:p>
            <w:pPr>
              <w:rPr>
                <w:rFonts w:hint="eastAsia" w:ascii="宋体" w:hAnsi="宋体" w:cs="宋体"/>
                <w:sz w:val="18"/>
                <w:szCs w:val="18"/>
                <w:highlight w:val="none"/>
              </w:rPr>
            </w:pPr>
            <w:bookmarkStart w:id="66" w:name="_Toc17882"/>
            <w:bookmarkStart w:id="67" w:name="_Toc3325"/>
            <w:r>
              <w:rPr>
                <w:rFonts w:hint="eastAsia" w:ascii="宋体" w:hAnsi="宋体" w:cs="宋体"/>
                <w:sz w:val="18"/>
                <w:szCs w:val="18"/>
                <w:highlight w:val="none"/>
              </w:rPr>
              <w:t>午餐、晚餐40元</w:t>
            </w:r>
            <w:bookmarkEnd w:id="66"/>
            <w:bookmarkEnd w:id="67"/>
          </w:p>
          <w:p>
            <w:pPr>
              <w:jc w:val="left"/>
              <w:rPr>
                <w:rFonts w:hint="eastAsia" w:ascii="宋体" w:hAnsi="宋体" w:cs="宋体"/>
                <w:szCs w:val="21"/>
                <w:highlight w:val="none"/>
              </w:rPr>
            </w:pPr>
            <w:bookmarkStart w:id="68" w:name="_Toc12548"/>
            <w:bookmarkStart w:id="69" w:name="_Toc3664"/>
            <w:r>
              <w:rPr>
                <w:rFonts w:hint="eastAsia" w:ascii="宋体" w:hAnsi="宋体" w:cs="宋体"/>
                <w:sz w:val="18"/>
                <w:szCs w:val="18"/>
                <w:highlight w:val="none"/>
              </w:rPr>
              <w:t>宵夜30元</w:t>
            </w:r>
            <w:bookmarkEnd w:id="68"/>
            <w:bookmarkEnd w:id="69"/>
            <w:r>
              <w:rPr>
                <w:rFonts w:hint="eastAsia" w:ascii="宋体" w:hAnsi="宋体" w:cs="宋体"/>
                <w:sz w:val="18"/>
                <w:szCs w:val="18"/>
                <w:highlight w:val="none"/>
              </w:rPr>
              <w:t xml:space="preserve">  </w:t>
            </w:r>
            <w:r>
              <w:rPr>
                <w:rFonts w:hint="eastAsia" w:ascii="宋体" w:hAnsi="宋体" w:cs="宋体"/>
                <w:szCs w:val="21"/>
                <w:highlight w:val="none"/>
              </w:rPr>
              <w:t>】</w:t>
            </w:r>
          </w:p>
        </w:tc>
        <w:tc>
          <w:tcPr>
            <w:tcW w:w="1260" w:type="dxa"/>
            <w:vMerge w:val="continue"/>
            <w:tcBorders>
              <w:left w:val="single" w:color="auto" w:sz="4" w:space="0"/>
              <w:bottom w:val="single" w:color="auto" w:sz="4" w:space="0"/>
              <w:right w:val="single" w:color="auto" w:sz="4" w:space="0"/>
            </w:tcBorders>
            <w:vAlign w:val="center"/>
          </w:tcPr>
          <w:p>
            <w:pPr>
              <w:jc w:val="center"/>
              <w:rPr>
                <w:rFonts w:hint="eastAsia" w:ascii="宋体" w:hAnsi="宋体" w:cs="宋体"/>
                <w:szCs w:val="21"/>
                <w:highlight w:val="none"/>
              </w:rPr>
            </w:pPr>
          </w:p>
        </w:tc>
        <w:tc>
          <w:tcPr>
            <w:tcW w:w="1207" w:type="dxa"/>
            <w:vMerge w:val="continue"/>
            <w:tcBorders>
              <w:left w:val="single" w:color="auto" w:sz="4" w:space="0"/>
              <w:right w:val="single" w:color="auto" w:sz="4" w:space="0"/>
            </w:tcBorders>
            <w:vAlign w:val="center"/>
          </w:tcPr>
          <w:p>
            <w:pPr>
              <w:jc w:val="center"/>
              <w:rPr>
                <w:rFonts w:hint="eastAsia"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84" w:hRule="atLeast"/>
          <w:jc w:val="center"/>
        </w:trPr>
        <w:tc>
          <w:tcPr>
            <w:tcW w:w="799" w:type="dxa"/>
            <w:vMerge w:val="restart"/>
            <w:tcBorders>
              <w:top w:val="single" w:color="auto" w:sz="4" w:space="0"/>
              <w:left w:val="single" w:color="auto" w:sz="4" w:space="0"/>
              <w:bottom w:val="single" w:color="auto" w:sz="4" w:space="0"/>
              <w:right w:val="single" w:color="auto" w:sz="4" w:space="0"/>
            </w:tcBorders>
            <w:vAlign w:val="center"/>
          </w:tcPr>
          <w:p>
            <w:pPr>
              <w:jc w:val="center"/>
              <w:textAlignment w:val="center"/>
              <w:rPr>
                <w:rFonts w:hint="eastAsia" w:ascii="宋体" w:hAnsi="宋体" w:cs="宋体"/>
                <w:color w:val="000000"/>
                <w:kern w:val="0"/>
                <w:szCs w:val="21"/>
                <w:highlight w:val="none"/>
                <w:lang w:bidi="ar"/>
              </w:rPr>
            </w:pPr>
            <w:bookmarkStart w:id="70" w:name="_Toc20827"/>
            <w:bookmarkStart w:id="71" w:name="_Toc11531"/>
            <w:r>
              <w:rPr>
                <w:rFonts w:hint="eastAsia" w:ascii="宋体" w:hAnsi="宋体" w:cs="宋体"/>
                <w:sz w:val="18"/>
                <w:szCs w:val="18"/>
                <w:highlight w:val="none"/>
              </w:rPr>
              <w:t>子包3：C类</w:t>
            </w:r>
            <w:bookmarkEnd w:id="70"/>
            <w:bookmarkEnd w:id="71"/>
          </w:p>
        </w:tc>
        <w:tc>
          <w:tcPr>
            <w:tcW w:w="1969"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highlight w:val="none"/>
              </w:rPr>
            </w:pPr>
            <w:r>
              <w:rPr>
                <w:rFonts w:hint="eastAsia" w:ascii="宋体" w:hAnsi="宋体" w:cs="宋体"/>
                <w:szCs w:val="21"/>
                <w:highlight w:val="none"/>
              </w:rPr>
              <w:t>【</w:t>
            </w:r>
            <w:bookmarkStart w:id="72" w:name="_Toc18130"/>
            <w:bookmarkStart w:id="73" w:name="_Toc10658"/>
            <w:r>
              <w:rPr>
                <w:rFonts w:hint="eastAsia" w:ascii="宋体" w:hAnsi="宋体" w:cs="宋体"/>
                <w:szCs w:val="21"/>
                <w:highlight w:val="none"/>
              </w:rPr>
              <w:t>★</w:t>
            </w:r>
            <w:r>
              <w:rPr>
                <w:rFonts w:hint="eastAsia" w:ascii="宋体" w:hAnsi="宋体" w:cs="宋体"/>
                <w:sz w:val="18"/>
                <w:szCs w:val="18"/>
                <w:highlight w:val="none"/>
              </w:rPr>
              <w:t>挂牌三星（含）以上且携程评分</w:t>
            </w:r>
            <w:r>
              <w:rPr>
                <w:rFonts w:hint="eastAsia" w:ascii="宋体" w:hAnsi="宋体" w:cs="宋体"/>
                <w:szCs w:val="21"/>
                <w:highlight w:val="none"/>
              </w:rPr>
              <w:t>【】</w:t>
            </w:r>
            <w:r>
              <w:rPr>
                <w:rFonts w:hint="eastAsia" w:ascii="宋体" w:hAnsi="宋体" w:cs="宋体"/>
                <w:sz w:val="18"/>
                <w:szCs w:val="18"/>
                <w:highlight w:val="none"/>
              </w:rPr>
              <w:t>分（含）以上酒店或携程评级3钻/舒适型（含）以上且携程评分</w:t>
            </w:r>
            <w:r>
              <w:rPr>
                <w:rFonts w:hint="eastAsia" w:ascii="宋体" w:hAnsi="宋体" w:cs="宋体"/>
                <w:szCs w:val="21"/>
                <w:highlight w:val="none"/>
              </w:rPr>
              <w:t>【】</w:t>
            </w:r>
            <w:r>
              <w:rPr>
                <w:rFonts w:hint="eastAsia" w:ascii="宋体" w:hAnsi="宋体" w:cs="宋体"/>
                <w:sz w:val="18"/>
                <w:szCs w:val="18"/>
                <w:highlight w:val="none"/>
              </w:rPr>
              <w:t>分（含）以上酒店（提供酒店星级评定证书或携程评级、评分截图作为证明材料）</w:t>
            </w:r>
            <w:bookmarkEnd w:id="72"/>
            <w:bookmarkEnd w:id="73"/>
            <w:r>
              <w:rPr>
                <w:rFonts w:hint="eastAsia" w:ascii="宋体" w:hAnsi="宋体" w:cs="宋体"/>
                <w:szCs w:val="21"/>
                <w:highlight w:val="none"/>
              </w:rPr>
              <w:t>】</w:t>
            </w:r>
          </w:p>
        </w:tc>
        <w:tc>
          <w:tcPr>
            <w:tcW w:w="1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highlight w:val="none"/>
              </w:rPr>
            </w:pPr>
            <w:r>
              <w:rPr>
                <w:rFonts w:hint="eastAsia" w:ascii="宋体" w:hAnsi="宋体" w:cs="宋体"/>
                <w:szCs w:val="21"/>
                <w:highlight w:val="none"/>
              </w:rPr>
              <w:t>【</w:t>
            </w:r>
            <w:bookmarkStart w:id="74" w:name="_Toc6281"/>
            <w:bookmarkStart w:id="75" w:name="_Toc15703"/>
            <w:r>
              <w:rPr>
                <w:rFonts w:hint="eastAsia" w:ascii="宋体" w:hAnsi="宋体" w:cs="宋体"/>
                <w:sz w:val="18"/>
                <w:szCs w:val="18"/>
                <w:highlight w:val="none"/>
              </w:rPr>
              <w:t>中转(含早)：不高于</w:t>
            </w:r>
            <w:r>
              <w:rPr>
                <w:rFonts w:hint="eastAsia" w:ascii="宋体" w:hAnsi="宋体" w:cs="宋体"/>
                <w:szCs w:val="21"/>
                <w:highlight w:val="none"/>
              </w:rPr>
              <w:t>【】</w:t>
            </w:r>
            <w:r>
              <w:rPr>
                <w:rFonts w:hint="eastAsia" w:ascii="宋体" w:hAnsi="宋体" w:cs="宋体"/>
                <w:sz w:val="18"/>
                <w:szCs w:val="18"/>
                <w:highlight w:val="none"/>
              </w:rPr>
              <w:t>元/间/天</w:t>
            </w:r>
            <w:bookmarkEnd w:id="74"/>
            <w:bookmarkEnd w:id="75"/>
            <w:r>
              <w:rPr>
                <w:rFonts w:hint="eastAsia" w:ascii="宋体" w:hAnsi="宋体" w:cs="宋体"/>
                <w:szCs w:val="21"/>
                <w:highlight w:val="none"/>
              </w:rPr>
              <w:t>】</w:t>
            </w:r>
          </w:p>
        </w:tc>
        <w:tc>
          <w:tcPr>
            <w:tcW w:w="23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highlight w:val="none"/>
              </w:rPr>
            </w:pPr>
            <w:r>
              <w:rPr>
                <w:rFonts w:hint="eastAsia" w:ascii="宋体" w:hAnsi="宋体" w:cs="宋体"/>
                <w:szCs w:val="21"/>
                <w:highlight w:val="none"/>
              </w:rPr>
              <w:t>【</w:t>
            </w:r>
            <w:r>
              <w:rPr>
                <w:rFonts w:hint="eastAsia" w:ascii="宋体" w:hAnsi="宋体" w:cs="宋体"/>
                <w:sz w:val="18"/>
                <w:szCs w:val="18"/>
                <w:highlight w:val="none"/>
              </w:rPr>
              <w:t>中转旅客餐食：含入住人数早餐，每间房每天最多不超2份。</w:t>
            </w:r>
            <w:r>
              <w:rPr>
                <w:rFonts w:hint="eastAsia" w:ascii="宋体" w:hAnsi="宋体" w:cs="宋体"/>
                <w:szCs w:val="21"/>
                <w:highlight w:val="none"/>
              </w:rPr>
              <w:t>】</w:t>
            </w:r>
          </w:p>
        </w:tc>
        <w:tc>
          <w:tcPr>
            <w:tcW w:w="1260"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highlight w:val="none"/>
              </w:rPr>
            </w:pPr>
            <w:r>
              <w:rPr>
                <w:rFonts w:hint="eastAsia" w:ascii="宋体" w:hAnsi="宋体" w:cs="宋体"/>
                <w:szCs w:val="21"/>
                <w:highlight w:val="none"/>
              </w:rPr>
              <w:t>【】</w:t>
            </w:r>
          </w:p>
        </w:tc>
        <w:tc>
          <w:tcPr>
            <w:tcW w:w="1207"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0" w:hRule="atLeast"/>
          <w:jc w:val="center"/>
        </w:trPr>
        <w:tc>
          <w:tcPr>
            <w:tcW w:w="799" w:type="dxa"/>
            <w:vMerge w:val="continue"/>
            <w:tcBorders>
              <w:left w:val="single" w:color="auto" w:sz="4" w:space="0"/>
              <w:bottom w:val="single" w:color="auto" w:sz="4" w:space="0"/>
              <w:right w:val="single" w:color="auto" w:sz="4" w:space="0"/>
            </w:tcBorders>
            <w:vAlign w:val="center"/>
          </w:tcPr>
          <w:p>
            <w:pPr>
              <w:jc w:val="center"/>
              <w:textAlignment w:val="center"/>
              <w:rPr>
                <w:rFonts w:hint="eastAsia" w:ascii="宋体" w:hAnsi="宋体" w:cs="宋体"/>
                <w:sz w:val="18"/>
                <w:szCs w:val="18"/>
                <w:highlight w:val="none"/>
              </w:rPr>
            </w:pPr>
          </w:p>
        </w:tc>
        <w:tc>
          <w:tcPr>
            <w:tcW w:w="1969" w:type="dxa"/>
            <w:vMerge w:val="continue"/>
            <w:tcBorders>
              <w:left w:val="single" w:color="auto" w:sz="4" w:space="0"/>
              <w:bottom w:val="single" w:color="auto" w:sz="4" w:space="0"/>
              <w:right w:val="single" w:color="auto" w:sz="4" w:space="0"/>
            </w:tcBorders>
            <w:vAlign w:val="center"/>
          </w:tcPr>
          <w:p>
            <w:pPr>
              <w:jc w:val="center"/>
              <w:rPr>
                <w:rFonts w:hint="eastAsia" w:ascii="宋体" w:hAnsi="宋体" w:cs="宋体"/>
                <w:szCs w:val="21"/>
                <w:highlight w:val="none"/>
              </w:rPr>
            </w:pPr>
          </w:p>
        </w:tc>
        <w:tc>
          <w:tcPr>
            <w:tcW w:w="1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highlight w:val="none"/>
              </w:rPr>
            </w:pPr>
            <w:r>
              <w:rPr>
                <w:rFonts w:hint="eastAsia" w:ascii="宋体" w:hAnsi="宋体" w:cs="宋体"/>
                <w:szCs w:val="21"/>
                <w:highlight w:val="none"/>
              </w:rPr>
              <w:t>【</w:t>
            </w:r>
            <w:bookmarkStart w:id="76" w:name="_Toc20835"/>
            <w:bookmarkStart w:id="77" w:name="_Toc27763"/>
            <w:r>
              <w:rPr>
                <w:rFonts w:hint="eastAsia" w:ascii="宋体" w:hAnsi="宋体" w:cs="宋体"/>
                <w:sz w:val="18"/>
                <w:szCs w:val="18"/>
                <w:highlight w:val="none"/>
              </w:rPr>
              <w:t>航延(不含早)：不高于</w:t>
            </w:r>
            <w:r>
              <w:rPr>
                <w:rFonts w:hint="eastAsia" w:ascii="宋体" w:hAnsi="宋体" w:cs="宋体"/>
                <w:szCs w:val="21"/>
                <w:highlight w:val="none"/>
              </w:rPr>
              <w:t>【】</w:t>
            </w:r>
            <w:r>
              <w:rPr>
                <w:rFonts w:hint="eastAsia" w:ascii="宋体" w:hAnsi="宋体" w:cs="宋体"/>
                <w:sz w:val="18"/>
                <w:szCs w:val="18"/>
                <w:highlight w:val="none"/>
              </w:rPr>
              <w:t>元/间/天</w:t>
            </w:r>
            <w:bookmarkEnd w:id="76"/>
            <w:bookmarkEnd w:id="77"/>
            <w:r>
              <w:rPr>
                <w:rFonts w:hint="eastAsia" w:ascii="宋体" w:hAnsi="宋体" w:cs="宋体"/>
                <w:szCs w:val="21"/>
                <w:highlight w:val="none"/>
              </w:rPr>
              <w:t>】</w:t>
            </w:r>
          </w:p>
        </w:tc>
        <w:tc>
          <w:tcPr>
            <w:tcW w:w="236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sz w:val="18"/>
                <w:szCs w:val="18"/>
                <w:highlight w:val="none"/>
              </w:rPr>
            </w:pPr>
            <w:r>
              <w:rPr>
                <w:rFonts w:hint="eastAsia" w:ascii="宋体" w:hAnsi="宋体" w:cs="宋体"/>
                <w:szCs w:val="21"/>
                <w:highlight w:val="none"/>
              </w:rPr>
              <w:t>【</w:t>
            </w:r>
            <w:bookmarkStart w:id="78" w:name="_Toc22917"/>
            <w:bookmarkStart w:id="79" w:name="_Toc28623"/>
            <w:r>
              <w:rPr>
                <w:rFonts w:hint="eastAsia" w:ascii="宋体" w:hAnsi="宋体" w:cs="宋体"/>
                <w:sz w:val="18"/>
                <w:szCs w:val="18"/>
                <w:highlight w:val="none"/>
              </w:rPr>
              <w:t>航延旅客餐食不高于：</w:t>
            </w:r>
            <w:bookmarkEnd w:id="78"/>
            <w:bookmarkEnd w:id="79"/>
          </w:p>
          <w:p>
            <w:pPr>
              <w:rPr>
                <w:rFonts w:hint="eastAsia" w:ascii="宋体" w:hAnsi="宋体" w:cs="宋体"/>
                <w:sz w:val="18"/>
                <w:szCs w:val="18"/>
                <w:highlight w:val="none"/>
              </w:rPr>
            </w:pPr>
            <w:bookmarkStart w:id="80" w:name="_Toc13732"/>
            <w:bookmarkStart w:id="81" w:name="_Toc96"/>
            <w:r>
              <w:rPr>
                <w:rFonts w:hint="eastAsia" w:ascii="宋体" w:hAnsi="宋体" w:cs="宋体"/>
                <w:sz w:val="18"/>
                <w:szCs w:val="18"/>
                <w:highlight w:val="none"/>
              </w:rPr>
              <w:t>早餐20元</w:t>
            </w:r>
            <w:bookmarkEnd w:id="80"/>
            <w:bookmarkEnd w:id="81"/>
          </w:p>
          <w:p>
            <w:pPr>
              <w:rPr>
                <w:rFonts w:hint="eastAsia" w:ascii="宋体" w:hAnsi="宋体" w:cs="宋体"/>
                <w:sz w:val="18"/>
                <w:szCs w:val="18"/>
                <w:highlight w:val="none"/>
              </w:rPr>
            </w:pPr>
            <w:bookmarkStart w:id="82" w:name="_Toc7291"/>
            <w:bookmarkStart w:id="83" w:name="_Toc18590"/>
            <w:r>
              <w:rPr>
                <w:rFonts w:hint="eastAsia" w:ascii="宋体" w:hAnsi="宋体" w:cs="宋体"/>
                <w:sz w:val="18"/>
                <w:szCs w:val="18"/>
                <w:highlight w:val="none"/>
              </w:rPr>
              <w:t>午餐、晚餐35元</w:t>
            </w:r>
            <w:bookmarkEnd w:id="82"/>
            <w:bookmarkEnd w:id="83"/>
          </w:p>
          <w:p>
            <w:pPr>
              <w:jc w:val="left"/>
              <w:rPr>
                <w:rFonts w:hint="eastAsia" w:ascii="宋体" w:hAnsi="宋体" w:cs="宋体"/>
                <w:szCs w:val="21"/>
                <w:highlight w:val="none"/>
              </w:rPr>
            </w:pPr>
            <w:bookmarkStart w:id="84" w:name="_Toc27347"/>
            <w:r>
              <w:rPr>
                <w:rFonts w:hint="eastAsia" w:ascii="宋体" w:hAnsi="宋体" w:cs="宋体"/>
                <w:sz w:val="18"/>
                <w:szCs w:val="18"/>
                <w:highlight w:val="none"/>
              </w:rPr>
              <w:t>宵夜20元</w:t>
            </w:r>
            <w:bookmarkEnd w:id="84"/>
            <w:r>
              <w:rPr>
                <w:rFonts w:hint="eastAsia" w:ascii="宋体" w:hAnsi="宋体" w:cs="宋体"/>
                <w:szCs w:val="21"/>
                <w:highlight w:val="none"/>
              </w:rPr>
              <w:t>】</w:t>
            </w:r>
          </w:p>
        </w:tc>
        <w:tc>
          <w:tcPr>
            <w:tcW w:w="1260" w:type="dxa"/>
            <w:vMerge w:val="continue"/>
            <w:tcBorders>
              <w:left w:val="single" w:color="auto" w:sz="4" w:space="0"/>
              <w:bottom w:val="single" w:color="auto" w:sz="4" w:space="0"/>
              <w:right w:val="single" w:color="auto" w:sz="4" w:space="0"/>
            </w:tcBorders>
            <w:vAlign w:val="center"/>
          </w:tcPr>
          <w:p>
            <w:pPr>
              <w:jc w:val="center"/>
              <w:rPr>
                <w:rFonts w:hint="eastAsia" w:ascii="宋体" w:hAnsi="宋体" w:cs="宋体"/>
                <w:szCs w:val="21"/>
                <w:highlight w:val="none"/>
              </w:rPr>
            </w:pPr>
          </w:p>
        </w:tc>
        <w:tc>
          <w:tcPr>
            <w:tcW w:w="1207" w:type="dxa"/>
            <w:vMerge w:val="continue"/>
            <w:tcBorders>
              <w:left w:val="single" w:color="auto" w:sz="4" w:space="0"/>
              <w:bottom w:val="single" w:color="auto" w:sz="4" w:space="0"/>
              <w:right w:val="single" w:color="auto" w:sz="4" w:space="0"/>
            </w:tcBorders>
            <w:vAlign w:val="center"/>
          </w:tcPr>
          <w:p>
            <w:pPr>
              <w:jc w:val="center"/>
              <w:rPr>
                <w:rFonts w:hint="eastAsia"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0" w:hRule="atLeast"/>
          <w:jc w:val="center"/>
        </w:trPr>
        <w:tc>
          <w:tcPr>
            <w:tcW w:w="7099" w:type="dxa"/>
            <w:gridSpan w:val="4"/>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color w:val="000000"/>
                <w:kern w:val="0"/>
                <w:szCs w:val="21"/>
                <w:highlight w:val="none"/>
                <w:lang w:bidi="ar"/>
              </w:rPr>
            </w:pPr>
            <w:r>
              <w:rPr>
                <w:rFonts w:hint="eastAsia" w:ascii="宋体" w:hAnsi="宋体" w:cs="宋体"/>
                <w:b/>
                <w:color w:val="000000"/>
                <w:kern w:val="0"/>
                <w:szCs w:val="21"/>
                <w:highlight w:val="none"/>
                <w:lang w:bidi="ar"/>
              </w:rPr>
              <w:t>合计</w:t>
            </w:r>
          </w:p>
        </w:tc>
        <w:tc>
          <w:tcPr>
            <w:tcW w:w="126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highlight w:val="none"/>
              </w:rPr>
            </w:pPr>
            <w:r>
              <w:rPr>
                <w:rFonts w:hint="eastAsia" w:ascii="宋体" w:hAnsi="宋体" w:cs="宋体"/>
                <w:szCs w:val="21"/>
                <w:highlight w:val="none"/>
              </w:rPr>
              <w:t>【】</w:t>
            </w:r>
          </w:p>
        </w:tc>
        <w:tc>
          <w:tcPr>
            <w:tcW w:w="120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highlight w:val="none"/>
              </w:rPr>
            </w:pPr>
          </w:p>
        </w:tc>
      </w:tr>
      <w:permEnd w:id="10"/>
    </w:tbl>
    <w:p>
      <w:pPr>
        <w:widowControl/>
        <w:spacing w:line="360" w:lineRule="auto"/>
        <w:ind w:firstLine="422" w:firstLineChars="200"/>
        <w:jc w:val="left"/>
        <w:rPr>
          <w:rFonts w:hint="eastAsia" w:ascii="宋体" w:hAnsi="宋体" w:cs="宋体"/>
          <w:kern w:val="0"/>
          <w:szCs w:val="21"/>
          <w:highlight w:val="none"/>
        </w:rPr>
      </w:pPr>
      <w:r>
        <w:rPr>
          <w:rFonts w:hint="eastAsia" w:ascii="宋体" w:hAnsi="宋体" w:cs="宋体"/>
          <w:b/>
          <w:bCs/>
          <w:szCs w:val="21"/>
          <w:highlight w:val="none"/>
        </w:rPr>
        <w:t>注</w:t>
      </w:r>
      <w:r>
        <w:rPr>
          <w:rFonts w:hint="eastAsia" w:ascii="宋体" w:hAnsi="宋体" w:cs="宋体"/>
          <w:kern w:val="0"/>
          <w:szCs w:val="21"/>
          <w:highlight w:val="none"/>
        </w:rPr>
        <w:t>：1、以上均为</w:t>
      </w:r>
      <w:r>
        <w:rPr>
          <w:rFonts w:hint="eastAsia" w:ascii="宋体" w:hAnsi="宋体" w:cs="宋体"/>
          <w:b/>
          <w:bCs/>
          <w:kern w:val="0"/>
          <w:szCs w:val="21"/>
          <w:highlight w:val="none"/>
        </w:rPr>
        <w:t>含税</w:t>
      </w:r>
      <w:r>
        <w:rPr>
          <w:rFonts w:hint="eastAsia" w:ascii="宋体" w:hAnsi="宋体" w:cs="宋体"/>
          <w:kern w:val="0"/>
          <w:szCs w:val="21"/>
          <w:highlight w:val="none"/>
        </w:rPr>
        <w:t>价。因国家税务政策变化导致增值税率发生变化时，按新的增值税率执行，协议价=协议签订时的不含税价*(1+新税率)，协议签订时的不含税价＝(协议约定的含税价、价外费用)/(1+协议签订时适用的税率)。</w:t>
      </w:r>
    </w:p>
    <w:p>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2、本项目采用框架（无固定总金额）采购模式。谈判人必须对全部内容进行报价，</w:t>
      </w:r>
      <w:r>
        <w:rPr>
          <w:rFonts w:hint="eastAsia" w:ascii="宋体" w:hAnsi="宋体" w:cs="宋体"/>
          <w:b/>
          <w:bCs/>
          <w:kern w:val="0"/>
          <w:szCs w:val="21"/>
          <w:highlight w:val="none"/>
        </w:rPr>
        <w:t>如有缺漏或超过最高限价（单价）的报价，将导致报价无效。</w:t>
      </w:r>
      <w:r>
        <w:rPr>
          <w:rFonts w:hint="eastAsia" w:ascii="宋体" w:hAnsi="宋体" w:cs="宋体"/>
          <w:kern w:val="0"/>
          <w:szCs w:val="21"/>
          <w:highlight w:val="none"/>
        </w:rPr>
        <w:t>本次采购数量和对应的总价仅为初步的预估上限，不视为采购人对成交供应商作出任何必然采购或采购金额的承诺，合同期内的采购数量可能会有所增减，采购人有权按实际需要调整，最终采购数量以采购人实际采购需求、订单为准，并按实际交易数量进行结算。除符合法律、法规、政府政策等规定的以外，采购单价不再进行调整。</w:t>
      </w:r>
    </w:p>
    <w:p>
      <w:pPr>
        <w:spacing w:line="360" w:lineRule="auto"/>
        <w:ind w:firstLine="420" w:firstLineChars="200"/>
        <w:rPr>
          <w:highlight w:val="none"/>
        </w:rPr>
      </w:pPr>
      <w:r>
        <w:rPr>
          <w:rFonts w:hint="eastAsia" w:ascii="宋体" w:hAnsi="宋体" w:cs="宋体"/>
          <w:kern w:val="0"/>
          <w:szCs w:val="21"/>
          <w:highlight w:val="none"/>
        </w:rPr>
        <w:t>3、</w:t>
      </w:r>
      <w:r>
        <w:rPr>
          <w:rFonts w:hint="eastAsia" w:ascii="宋体" w:hAnsi="宋体" w:cs="宋体"/>
          <w:bCs/>
          <w:szCs w:val="21"/>
          <w:highlight w:val="none"/>
        </w:rPr>
        <w:t>本次谈判采购项目为框架采购，采购人发出的预算金额仅为在框架有效期内可能发生项目的预计数，并非完全确定的需求</w:t>
      </w:r>
      <w:r>
        <w:rPr>
          <w:rFonts w:hint="eastAsia" w:ascii="宋体" w:hAnsi="宋体"/>
          <w:szCs w:val="21"/>
          <w:highlight w:val="none"/>
        </w:rPr>
        <w:t>，并不作为采购人向供应商作出的具体项目承诺</w:t>
      </w:r>
      <w:r>
        <w:rPr>
          <w:rFonts w:hint="eastAsia" w:ascii="宋体" w:hAnsi="宋体" w:cs="宋体"/>
          <w:bCs/>
          <w:szCs w:val="21"/>
          <w:highlight w:val="none"/>
        </w:rPr>
        <w:t>；如供应商在本次框架采购中中选，供应商须确认：同意本框架合同不作为采购人向供应商作出的具体项目承诺，如采购人在框架有效期内未下达采购订单或未足额下达采购订单，不构成采购人违约，供应商不得追究采购人违约责任。</w:t>
      </w:r>
    </w:p>
    <w:p>
      <w:pPr>
        <w:spacing w:line="360" w:lineRule="auto"/>
        <w:ind w:firstLine="420" w:firstLineChars="200"/>
        <w:rPr>
          <w:rFonts w:hint="eastAsia" w:ascii="宋体" w:hAnsi="宋体" w:cs="宋体"/>
          <w:color w:val="0000FF"/>
          <w:szCs w:val="21"/>
          <w:highlight w:val="none"/>
          <w:lang w:eastAsia="zh"/>
        </w:rPr>
      </w:pPr>
      <w:r>
        <w:rPr>
          <w:rFonts w:hint="eastAsia" w:ascii="宋体" w:hAnsi="宋体" w:cs="宋体"/>
          <w:bCs/>
          <w:szCs w:val="21"/>
          <w:highlight w:val="none"/>
        </w:rPr>
        <w:t>4</w:t>
      </w:r>
      <w:r>
        <w:rPr>
          <w:rFonts w:hint="eastAsia"/>
          <w:highlight w:val="none"/>
        </w:rPr>
        <w:t>、</w:t>
      </w:r>
      <w:r>
        <w:rPr>
          <w:rFonts w:hint="eastAsia"/>
          <w:highlight w:val="none"/>
          <w:lang w:eastAsia="zh"/>
        </w:rPr>
        <w:t>分配原则</w:t>
      </w:r>
      <w:r>
        <w:rPr>
          <w:rFonts w:hint="eastAsia" w:ascii="宋体" w:hAnsi="宋体" w:cs="宋体"/>
          <w:szCs w:val="21"/>
          <w:highlight w:val="none"/>
        </w:rPr>
        <w:t>：详见</w:t>
      </w:r>
      <w:r>
        <w:rPr>
          <w:rFonts w:hint="eastAsia" w:ascii="宋体" w:hAnsi="宋体" w:cs="宋体"/>
          <w:szCs w:val="21"/>
          <w:highlight w:val="none"/>
          <w:lang w:eastAsia="zh"/>
        </w:rPr>
        <w:t>第四章用户需求。</w:t>
      </w:r>
    </w:p>
    <w:p>
      <w:pPr>
        <w:spacing w:line="360" w:lineRule="auto"/>
        <w:ind w:firstLine="422" w:firstLineChars="200"/>
        <w:rPr>
          <w:rFonts w:hint="eastAsia" w:ascii="宋体" w:hAnsi="宋体" w:cs="宋体"/>
          <w:szCs w:val="21"/>
          <w:highlight w:val="none"/>
        </w:rPr>
      </w:pPr>
      <w:r>
        <w:rPr>
          <w:rFonts w:hint="eastAsia" w:ascii="宋体" w:hAnsi="宋体" w:cs="宋体"/>
          <w:b/>
          <w:szCs w:val="21"/>
          <w:highlight w:val="none"/>
        </w:rPr>
        <w:t>1.6</w:t>
      </w:r>
      <w:r>
        <w:rPr>
          <w:rFonts w:hint="eastAsia" w:ascii="宋体" w:hAnsi="宋体" w:cs="宋体"/>
          <w:szCs w:val="21"/>
          <w:highlight w:val="none"/>
        </w:rPr>
        <w:t xml:space="preserve"> 服务地点及服务期限：</w:t>
      </w:r>
    </w:p>
    <w:tbl>
      <w:tblPr>
        <w:tblStyle w:val="25"/>
        <w:tblW w:w="90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2569"/>
        <w:gridCol w:w="2350"/>
        <w:gridCol w:w="33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pPr>
              <w:jc w:val="center"/>
              <w:rPr>
                <w:rFonts w:hint="eastAsia" w:ascii="宋体" w:hAnsi="宋体" w:cs="宋体"/>
                <w:szCs w:val="21"/>
                <w:highlight w:val="none"/>
              </w:rPr>
            </w:pPr>
            <w:r>
              <w:rPr>
                <w:rFonts w:hint="eastAsia" w:ascii="宋体" w:hAnsi="宋体" w:cs="宋体"/>
                <w:szCs w:val="21"/>
                <w:highlight w:val="none"/>
              </w:rPr>
              <w:t>序号</w:t>
            </w:r>
          </w:p>
        </w:tc>
        <w:tc>
          <w:tcPr>
            <w:tcW w:w="2569" w:type="dxa"/>
          </w:tcPr>
          <w:p>
            <w:pPr>
              <w:jc w:val="center"/>
              <w:rPr>
                <w:rFonts w:hint="eastAsia" w:ascii="宋体" w:hAnsi="宋体" w:cs="宋体"/>
                <w:szCs w:val="21"/>
                <w:highlight w:val="none"/>
              </w:rPr>
            </w:pPr>
            <w:r>
              <w:rPr>
                <w:rFonts w:hint="eastAsia" w:ascii="宋体" w:hAnsi="宋体" w:cs="宋体"/>
                <w:kern w:val="0"/>
                <w:szCs w:val="21"/>
                <w:highlight w:val="none"/>
              </w:rPr>
              <w:t>服务</w:t>
            </w:r>
            <w:r>
              <w:rPr>
                <w:rFonts w:hint="eastAsia" w:ascii="宋体" w:hAnsi="宋体" w:cs="宋体"/>
                <w:szCs w:val="21"/>
                <w:highlight w:val="none"/>
              </w:rPr>
              <w:t>内容</w:t>
            </w:r>
          </w:p>
        </w:tc>
        <w:tc>
          <w:tcPr>
            <w:tcW w:w="2350" w:type="dxa"/>
          </w:tcPr>
          <w:p>
            <w:pPr>
              <w:jc w:val="center"/>
              <w:rPr>
                <w:rFonts w:hint="eastAsia" w:ascii="宋体" w:hAnsi="宋体" w:cs="宋体"/>
                <w:szCs w:val="21"/>
                <w:highlight w:val="none"/>
              </w:rPr>
            </w:pPr>
            <w:r>
              <w:rPr>
                <w:rFonts w:hint="eastAsia" w:ascii="宋体" w:hAnsi="宋体" w:cs="宋体"/>
                <w:kern w:val="0"/>
                <w:szCs w:val="21"/>
                <w:highlight w:val="none"/>
              </w:rPr>
              <w:t>服务</w:t>
            </w:r>
            <w:r>
              <w:rPr>
                <w:rFonts w:hint="eastAsia" w:ascii="宋体" w:hAnsi="宋体" w:cs="宋体"/>
                <w:szCs w:val="21"/>
                <w:highlight w:val="none"/>
              </w:rPr>
              <w:t>地点</w:t>
            </w:r>
          </w:p>
        </w:tc>
        <w:tc>
          <w:tcPr>
            <w:tcW w:w="3318" w:type="dxa"/>
          </w:tcPr>
          <w:p>
            <w:pPr>
              <w:jc w:val="center"/>
              <w:rPr>
                <w:rFonts w:hint="eastAsia" w:ascii="宋体" w:hAnsi="宋体" w:cs="宋体"/>
                <w:szCs w:val="21"/>
                <w:highlight w:val="none"/>
              </w:rPr>
            </w:pPr>
            <w:r>
              <w:rPr>
                <w:rFonts w:hint="eastAsia" w:ascii="宋体" w:hAnsi="宋体" w:cs="宋体"/>
                <w:kern w:val="0"/>
                <w:szCs w:val="21"/>
                <w:highlight w:val="none"/>
              </w:rPr>
              <w:t>服务</w:t>
            </w:r>
            <w:r>
              <w:rPr>
                <w:rFonts w:hint="eastAsia" w:ascii="宋体" w:hAnsi="宋体" w:cs="宋体"/>
                <w:szCs w:val="21"/>
                <w:highlight w:val="none"/>
              </w:rPr>
              <w:t>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pPr>
              <w:jc w:val="center"/>
              <w:rPr>
                <w:rFonts w:hint="eastAsia" w:ascii="宋体" w:hAnsi="宋体" w:cs="宋体"/>
                <w:szCs w:val="21"/>
                <w:highlight w:val="none"/>
              </w:rPr>
            </w:pPr>
            <w:permStart w:id="11" w:edGrp="everyone" w:colFirst="1" w:colLast="1"/>
            <w:permStart w:id="12" w:edGrp="everyone" w:colFirst="2" w:colLast="2"/>
            <w:permStart w:id="13" w:edGrp="everyone" w:colFirst="3" w:colLast="3"/>
            <w:r>
              <w:rPr>
                <w:rFonts w:hint="eastAsia" w:ascii="宋体" w:hAnsi="宋体" w:cs="宋体"/>
                <w:szCs w:val="21"/>
                <w:highlight w:val="none"/>
              </w:rPr>
              <w:t>1</w:t>
            </w:r>
          </w:p>
        </w:tc>
        <w:tc>
          <w:tcPr>
            <w:tcW w:w="2569" w:type="dxa"/>
          </w:tcPr>
          <w:p>
            <w:pPr>
              <w:jc w:val="center"/>
              <w:rPr>
                <w:rFonts w:hint="eastAsia" w:ascii="宋体" w:hAnsi="宋体" w:cs="宋体"/>
                <w:szCs w:val="21"/>
                <w:highlight w:val="none"/>
              </w:rPr>
            </w:pPr>
            <w:r>
              <w:rPr>
                <w:rFonts w:hint="eastAsia" w:ascii="宋体" w:hAnsi="宋体" w:cs="宋体"/>
                <w:szCs w:val="21"/>
                <w:highlight w:val="none"/>
              </w:rPr>
              <w:t>中转、航延旅客保障酒店</w:t>
            </w:r>
          </w:p>
        </w:tc>
        <w:tc>
          <w:tcPr>
            <w:tcW w:w="2350" w:type="dxa"/>
          </w:tcPr>
          <w:p>
            <w:pPr>
              <w:jc w:val="center"/>
              <w:rPr>
                <w:rFonts w:hint="eastAsia" w:ascii="宋体" w:hAnsi="宋体" w:cs="宋体"/>
                <w:szCs w:val="21"/>
                <w:highlight w:val="none"/>
              </w:rPr>
            </w:pPr>
            <w:r>
              <w:rPr>
                <w:rFonts w:hint="eastAsia" w:ascii="宋体" w:hAnsi="宋体" w:cs="宋体"/>
                <w:szCs w:val="21"/>
                <w:highlight w:val="none"/>
              </w:rPr>
              <w:t>【】</w:t>
            </w:r>
          </w:p>
        </w:tc>
        <w:tc>
          <w:tcPr>
            <w:tcW w:w="3318" w:type="dxa"/>
          </w:tcPr>
          <w:p>
            <w:pPr>
              <w:jc w:val="center"/>
              <w:rPr>
                <w:rFonts w:hint="eastAsia" w:ascii="宋体" w:hAnsi="宋体" w:cs="宋体"/>
                <w:szCs w:val="21"/>
                <w:highlight w:val="none"/>
              </w:rPr>
            </w:pPr>
            <w:r>
              <w:rPr>
                <w:rFonts w:hint="eastAsia" w:ascii="宋体" w:hAnsi="宋体" w:cs="宋体"/>
                <w:szCs w:val="21"/>
                <w:highlight w:val="none"/>
              </w:rPr>
              <w:t>自合同生效之日起【】年</w:t>
            </w:r>
          </w:p>
        </w:tc>
      </w:tr>
      <w:permEnd w:id="11"/>
      <w:permEnd w:id="12"/>
      <w:permEnd w:id="13"/>
    </w:tbl>
    <w:p>
      <w:pPr>
        <w:spacing w:line="360" w:lineRule="auto"/>
        <w:ind w:firstLine="422" w:firstLineChars="200"/>
        <w:rPr>
          <w:rFonts w:hint="eastAsia" w:ascii="宋体" w:hAnsi="宋体" w:cs="宋体"/>
          <w:szCs w:val="21"/>
          <w:highlight w:val="none"/>
        </w:rPr>
      </w:pPr>
      <w:r>
        <w:rPr>
          <w:rFonts w:hint="eastAsia" w:ascii="宋体" w:hAnsi="宋体" w:cs="宋体"/>
          <w:b/>
          <w:szCs w:val="21"/>
          <w:highlight w:val="none"/>
        </w:rPr>
        <w:t xml:space="preserve">1.7 </w:t>
      </w:r>
      <w:r>
        <w:rPr>
          <w:rFonts w:hint="eastAsia" w:ascii="宋体" w:hAnsi="宋体" w:cs="宋体"/>
          <w:szCs w:val="21"/>
          <w:highlight w:val="none"/>
        </w:rPr>
        <w:t>合同期限：自合同生效之日起</w:t>
      </w:r>
      <w:permStart w:id="14" w:edGrp="everyone"/>
      <w:r>
        <w:rPr>
          <w:rFonts w:hint="eastAsia" w:ascii="宋体" w:hAnsi="宋体" w:cs="宋体"/>
          <w:szCs w:val="21"/>
          <w:highlight w:val="none"/>
        </w:rPr>
        <w:t>【】年</w:t>
      </w:r>
      <w:permEnd w:id="14"/>
      <w:r>
        <w:rPr>
          <w:rFonts w:hint="eastAsia" w:ascii="宋体" w:hAnsi="宋体" w:cs="宋体"/>
          <w:szCs w:val="21"/>
          <w:highlight w:val="none"/>
        </w:rPr>
        <w:t>，具体起始时间以双方签署合同内容为准。</w:t>
      </w:r>
    </w:p>
    <w:p>
      <w:pPr>
        <w:spacing w:line="360" w:lineRule="auto"/>
        <w:ind w:firstLine="422" w:firstLineChars="200"/>
        <w:rPr>
          <w:rFonts w:hint="eastAsia" w:ascii="宋体" w:hAnsi="宋体" w:cs="宋体"/>
          <w:szCs w:val="21"/>
          <w:highlight w:val="none"/>
        </w:rPr>
      </w:pPr>
      <w:r>
        <w:rPr>
          <w:rFonts w:hint="eastAsia" w:ascii="宋体" w:hAnsi="宋体" w:cs="宋体"/>
          <w:b/>
          <w:szCs w:val="21"/>
          <w:highlight w:val="none"/>
        </w:rPr>
        <w:t xml:space="preserve">1.8 </w:t>
      </w:r>
      <w:r>
        <w:rPr>
          <w:rFonts w:hint="eastAsia" w:ascii="宋体" w:hAnsi="宋体" w:cs="宋体"/>
          <w:szCs w:val="21"/>
          <w:highlight w:val="none"/>
        </w:rPr>
        <w:t>本项目只接受在中国南方航空采购招标网或采购人于本文件中指定的网站下载本谈判文件的供应商提交响应文件。</w:t>
      </w:r>
    </w:p>
    <w:p>
      <w:pPr>
        <w:spacing w:line="360" w:lineRule="auto"/>
        <w:ind w:firstLine="422" w:firstLineChars="200"/>
        <w:rPr>
          <w:rFonts w:hint="eastAsia" w:ascii="宋体" w:hAnsi="宋体" w:cs="宋体"/>
          <w:szCs w:val="21"/>
          <w:highlight w:val="none"/>
        </w:rPr>
      </w:pPr>
      <w:r>
        <w:rPr>
          <w:rFonts w:hint="eastAsia" w:ascii="宋体" w:hAnsi="宋体" w:cs="宋体"/>
          <w:b/>
          <w:szCs w:val="21"/>
          <w:highlight w:val="none"/>
        </w:rPr>
        <w:t>1.9本项目提供的服务应符合中国现行各项安全管理相关法律、法规、规章、政策和管理规范等规定及要求。本项目鼓励使用低碳、新能源、节能、环保产品。</w:t>
      </w:r>
    </w:p>
    <w:p>
      <w:pPr>
        <w:pStyle w:val="4"/>
        <w:numPr>
          <w:ilvl w:val="0"/>
          <w:numId w:val="2"/>
        </w:numPr>
        <w:spacing w:line="360" w:lineRule="auto"/>
        <w:ind w:left="0"/>
        <w:jc w:val="left"/>
        <w:rPr>
          <w:rFonts w:hint="eastAsia"/>
          <w:b/>
          <w:highlight w:val="none"/>
        </w:rPr>
      </w:pPr>
      <w:bookmarkStart w:id="85" w:name="_Toc504657602"/>
      <w:bookmarkStart w:id="86" w:name="_Toc12663"/>
      <w:bookmarkStart w:id="87" w:name="_Toc19334"/>
      <w:bookmarkStart w:id="88" w:name="_Toc2204"/>
      <w:bookmarkStart w:id="89" w:name="_Toc25001"/>
      <w:bookmarkStart w:id="90" w:name="_Toc23461"/>
      <w:bookmarkStart w:id="91" w:name="_Toc4051"/>
      <w:bookmarkStart w:id="92" w:name="_Toc31981"/>
      <w:bookmarkStart w:id="93" w:name="_Toc3410"/>
      <w:bookmarkStart w:id="94" w:name="_Toc26807"/>
      <w:r>
        <w:rPr>
          <w:rFonts w:hint="eastAsia"/>
          <w:b/>
          <w:highlight w:val="none"/>
        </w:rPr>
        <w:t>供应商资格要求</w:t>
      </w:r>
      <w:bookmarkEnd w:id="85"/>
      <w:bookmarkEnd w:id="86"/>
      <w:bookmarkEnd w:id="87"/>
      <w:bookmarkEnd w:id="88"/>
      <w:bookmarkEnd w:id="89"/>
      <w:bookmarkEnd w:id="90"/>
      <w:bookmarkEnd w:id="91"/>
      <w:bookmarkEnd w:id="92"/>
      <w:bookmarkEnd w:id="93"/>
      <w:bookmarkEnd w:id="94"/>
    </w:p>
    <w:p>
      <w:pPr>
        <w:spacing w:line="360" w:lineRule="auto"/>
        <w:ind w:firstLine="422" w:firstLineChars="200"/>
        <w:rPr>
          <w:b/>
          <w:highlight w:val="none"/>
        </w:rPr>
      </w:pPr>
      <w:r>
        <w:rPr>
          <w:rFonts w:hint="eastAsia" w:ascii="宋体" w:hAnsi="宋体" w:cs="宋体"/>
          <w:b/>
          <w:color w:val="0000FF"/>
          <w:highlight w:val="none"/>
          <w:lang w:eastAsia="zh"/>
        </w:rPr>
        <w:t>（通用条款对照公司范本修改，2.8-2.15可以根据本单位实际情况选择性保留或修改）</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参加本项目报价的供应商必须符合下列要求：</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2.1 被列入南航集团“限制交易供应商名单”且仍在限制期内的法人或其他组织不得参与本次谈判。</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2.2 被列入南航集团“禁止交易企业名单”的企业，不得参与本次谈判。</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2.3 递交文件的供应商之间在本项目过程中登录平台，下载、递交、解密相应文件等任何一个环节存在IP地址异常一致的，或者支付平台服务费、提交各类保证金等付款行为的银行账户一致的，不得通过符合性审查，且采购人有权对供应商涉嫌违规的这些行为按第二章第二节《供应商须知》中第3.3.5的规定，以及依据本谈判文件的其他规定和法律法规进一步审查，追究责任。</w:t>
      </w:r>
    </w:p>
    <w:p>
      <w:pPr>
        <w:widowControl/>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2.4 与采购人存在利害关系可能影响采购公正性的法人、其他组织或个人，以及单位负责人为同一人或者存在控股、管理关系的不同实体，应当主动回避，不得参加本次谈判。分支机构（分公司）与法人（总公司）、同一法人（总公司）下设的多家分支机构（分公司）不得同时参加本次谈判项目。</w:t>
      </w:r>
    </w:p>
    <w:p>
      <w:pPr>
        <w:widowControl/>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2.5 分支机构（分公司）以自己名义参加本次谈判的，不得使用法人（总公司）的资质与业绩。</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2.6 供应商必须是具有独立承担民事责任能力的在中华人民共和国境内（不含港澳台）注册的法人或其他组织</w:t>
      </w:r>
      <w:r>
        <w:rPr>
          <w:rFonts w:hint="eastAsia" w:ascii="宋体" w:hAnsi="宋体"/>
          <w:szCs w:val="21"/>
          <w:highlight w:val="none"/>
        </w:rPr>
        <w:t>，</w:t>
      </w:r>
      <w:r>
        <w:rPr>
          <w:rFonts w:hint="eastAsia" w:ascii="宋体" w:hAnsi="宋体" w:cs="宋体"/>
          <w:szCs w:val="21"/>
          <w:highlight w:val="none"/>
        </w:rPr>
        <w:t>具备合法有效的营业执照。（注意：须提供营业执照扫描件，如营业执照不能体现完整经营范围的，还须提供工商行政管理部门公示的企业信用信息网页截图；二者均应加盖公章。）</w:t>
      </w:r>
    </w:p>
    <w:p>
      <w:pPr>
        <w:widowControl/>
        <w:spacing w:line="360" w:lineRule="auto"/>
        <w:ind w:firstLine="420" w:firstLineChars="200"/>
        <w:rPr>
          <w:rFonts w:hint="eastAsia" w:ascii="宋体" w:hAnsi="宋体" w:cs="宋体"/>
          <w:color w:val="000000"/>
          <w:szCs w:val="21"/>
          <w:highlight w:val="none"/>
          <w:shd w:val="clear" w:color="auto" w:fill="FFFFFF"/>
        </w:rPr>
      </w:pPr>
      <w:r>
        <w:rPr>
          <w:rFonts w:hint="eastAsia" w:ascii="宋体" w:hAnsi="宋体" w:cs="宋体"/>
          <w:highlight w:val="none"/>
        </w:rPr>
        <w:t xml:space="preserve">2.7 </w:t>
      </w:r>
      <w:r>
        <w:rPr>
          <w:rFonts w:hint="eastAsia"/>
          <w:highlight w:val="none"/>
        </w:rPr>
        <w:t>供应商在经营活动中未列入“严重违法失信企业名单（黑名单）信息”（注意：须提供国家企业信用信息公示系统中此项完整内容截图或报告）或“严重失信主体名单”（注意：须提供信用中国网站中此项完整内容截图或报告）”，或者在响应文件递交截止日前已被移除出黑名单或失信主体名单。（采购人</w:t>
      </w:r>
      <w:r>
        <w:rPr>
          <w:rFonts w:hint="eastAsia" w:ascii="宋体" w:hAnsi="宋体" w:cs="宋体"/>
          <w:szCs w:val="21"/>
          <w:highlight w:val="none"/>
        </w:rPr>
        <w:t>或采购代理机构</w:t>
      </w:r>
      <w:r>
        <w:rPr>
          <w:rFonts w:hint="eastAsia" w:ascii="宋体" w:hAnsi="宋体" w:cs="宋体"/>
          <w:color w:val="000000"/>
          <w:szCs w:val="21"/>
          <w:highlight w:val="none"/>
          <w:shd w:val="clear" w:color="auto" w:fill="FFFFFF"/>
        </w:rPr>
        <w:t>仅以国家企业信用信息公示系统或信用中国网站显示信息为准进行形式审查并作为认定依据，其他网站或文件不作为认定依据。</w:t>
      </w:r>
      <w:r>
        <w:rPr>
          <w:rFonts w:hint="eastAsia"/>
          <w:highlight w:val="none"/>
        </w:rPr>
        <w:t>）</w:t>
      </w:r>
      <w:r>
        <w:rPr>
          <w:rFonts w:hint="eastAsia" w:ascii="宋体" w:hAnsi="宋体" w:cs="宋体"/>
          <w:color w:val="000000"/>
          <w:szCs w:val="21"/>
          <w:highlight w:val="none"/>
          <w:shd w:val="clear" w:color="auto" w:fill="FFFFFF"/>
        </w:rPr>
        <w:t>以上两项证明材料可一并提供或择一提供。如择一提供，视为供应商承诺均不在两项名单中；任何时候，如经采购人或采购代理机构查询发现供应商在任一名单内的，视为供应商提供虚假材料。境外企业、港澳台地区企业及国内事业单位无需提供本款规定的材料。</w:t>
      </w:r>
    </w:p>
    <w:p>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 xml:space="preserve">2.8 </w:t>
      </w:r>
      <w:r>
        <w:rPr>
          <w:rFonts w:hint="eastAsia" w:ascii="宋体" w:hAnsi="宋体" w:cs="宋体"/>
          <w:szCs w:val="21"/>
          <w:highlight w:val="none"/>
        </w:rPr>
        <w:t>供应商能开具符合国家规定的增值税专用发票。</w:t>
      </w:r>
      <w:permStart w:id="15" w:edGrp="everyone"/>
      <w:r>
        <w:rPr>
          <w:rFonts w:hint="eastAsia" w:ascii="宋体" w:hAnsi="宋体" w:cs="宋体"/>
          <w:szCs w:val="21"/>
          <w:highlight w:val="none"/>
          <w:lang w:eastAsia="zh"/>
        </w:rPr>
        <w:t>【</w:t>
      </w:r>
      <w:r>
        <w:rPr>
          <w:rFonts w:hint="eastAsia" w:ascii="宋体" w:hAnsi="宋体" w:cs="宋体"/>
          <w:szCs w:val="21"/>
          <w:highlight w:val="none"/>
        </w:rPr>
        <w:t>其中，供应商无运输资质无法开具运输项目9%专用发票的，可以接受其主业税目对应税率的专用发票（如酒店开具住宿6%的专用发票）。另外，餐饮服务不可抵扣，应继续开具普通发票</w:t>
      </w:r>
      <w:r>
        <w:rPr>
          <w:rFonts w:hint="eastAsia" w:ascii="宋体" w:hAnsi="宋体" w:cs="宋体"/>
          <w:szCs w:val="21"/>
          <w:highlight w:val="none"/>
          <w:lang w:eastAsia="zh"/>
        </w:rPr>
        <w:t>。】</w:t>
      </w:r>
      <w:permEnd w:id="15"/>
      <w:r>
        <w:rPr>
          <w:rFonts w:hint="eastAsia" w:ascii="宋体" w:hAnsi="宋体" w:cs="宋体"/>
          <w:szCs w:val="21"/>
          <w:highlight w:val="none"/>
        </w:rPr>
        <w:t>【注意：须</w:t>
      </w:r>
      <w:r>
        <w:rPr>
          <w:rFonts w:hint="eastAsia" w:ascii="宋体" w:hAnsi="宋体" w:cs="宋体"/>
          <w:color w:val="000000"/>
          <w:szCs w:val="21"/>
          <w:highlight w:val="none"/>
          <w:shd w:val="clear" w:color="auto" w:fill="FFFFFF"/>
        </w:rPr>
        <w:t>提供</w:t>
      </w:r>
      <w:r>
        <w:rPr>
          <w:rFonts w:hint="eastAsia" w:ascii="宋体" w:hAnsi="宋体" w:cs="宋体"/>
          <w:szCs w:val="21"/>
          <w:highlight w:val="none"/>
          <w:shd w:val="clear" w:color="auto" w:fill="FFFFFF"/>
        </w:rPr>
        <w:t>近【】年内（【】年【】月【】日至响应截止日）</w:t>
      </w:r>
      <w:r>
        <w:rPr>
          <w:rFonts w:hint="eastAsia" w:ascii="宋体" w:hAnsi="宋体" w:cs="宋体"/>
          <w:color w:val="000000"/>
          <w:szCs w:val="21"/>
          <w:highlight w:val="none"/>
          <w:shd w:val="clear" w:color="auto" w:fill="FFFFFF"/>
        </w:rPr>
        <w:t>开具</w:t>
      </w:r>
      <w:r>
        <w:rPr>
          <w:rFonts w:hint="eastAsia" w:ascii="宋体" w:hAnsi="宋体" w:cs="宋体"/>
          <w:szCs w:val="21"/>
          <w:highlight w:val="none"/>
          <w:shd w:val="clear" w:color="auto" w:fill="FFFFFF"/>
        </w:rPr>
        <w:t>的对应项目</w:t>
      </w:r>
      <w:r>
        <w:rPr>
          <w:rFonts w:hint="eastAsia" w:ascii="宋体" w:hAnsi="宋体" w:cs="宋体"/>
          <w:color w:val="000000"/>
          <w:szCs w:val="21"/>
          <w:highlight w:val="none"/>
          <w:shd w:val="clear" w:color="auto" w:fill="FFFFFF"/>
        </w:rPr>
        <w:t>增值税专用发票扫描件，及该发票在“国家税务总局全国增值税发票检验平台”上的检验截图并加盖公章</w:t>
      </w:r>
      <w:r>
        <w:rPr>
          <w:rFonts w:hint="eastAsia" w:ascii="宋体" w:hAnsi="宋体" w:cs="宋体"/>
          <w:color w:val="000000"/>
          <w:szCs w:val="21"/>
          <w:highlight w:val="none"/>
          <w:shd w:val="clear" w:color="auto" w:fill="FFFFFF"/>
          <w:lang w:eastAsia="zh"/>
        </w:rPr>
        <w:t>。</w:t>
      </w:r>
      <w:r>
        <w:rPr>
          <w:rFonts w:hint="eastAsia" w:ascii="宋体" w:hAnsi="宋体" w:cs="宋体"/>
          <w:szCs w:val="21"/>
          <w:highlight w:val="none"/>
        </w:rPr>
        <w:t>】</w:t>
      </w:r>
    </w:p>
    <w:p>
      <w:pPr>
        <w:spacing w:line="360" w:lineRule="auto"/>
        <w:ind w:firstLine="422" w:firstLineChars="200"/>
        <w:rPr>
          <w:rFonts w:hint="eastAsia" w:ascii="宋体" w:hAnsi="宋体"/>
          <w:bCs/>
          <w:szCs w:val="21"/>
          <w:highlight w:val="none"/>
        </w:rPr>
      </w:pPr>
      <w:r>
        <w:rPr>
          <w:rFonts w:hint="eastAsia" w:ascii="宋体" w:hAnsi="宋体" w:cs="宋体"/>
          <w:b/>
          <w:bCs/>
          <w:szCs w:val="21"/>
          <w:highlight w:val="none"/>
        </w:rPr>
        <w:t xml:space="preserve">2.9 </w:t>
      </w:r>
      <w:r>
        <w:rPr>
          <w:rFonts w:hint="eastAsia" w:ascii="宋体" w:hAnsi="宋体" w:cs="宋体"/>
          <w:szCs w:val="21"/>
          <w:highlight w:val="none"/>
        </w:rPr>
        <w:t>供应商距离</w:t>
      </w:r>
      <w:permStart w:id="16" w:edGrp="everyone"/>
      <w:r>
        <w:rPr>
          <w:rFonts w:hint="eastAsia" w:ascii="宋体" w:hAnsi="宋体" w:cs="宋体"/>
          <w:szCs w:val="21"/>
          <w:highlight w:val="none"/>
          <w:lang w:eastAsia="zh"/>
        </w:rPr>
        <w:t>【×××】机场【T×</w:t>
      </w:r>
      <w:r>
        <w:rPr>
          <w:rFonts w:hint="eastAsia" w:ascii="宋体" w:hAnsi="宋体" w:cs="宋体"/>
          <w:szCs w:val="21"/>
          <w:highlight w:val="none"/>
        </w:rPr>
        <w:t>航站楼</w:t>
      </w:r>
      <w:r>
        <w:rPr>
          <w:rFonts w:hint="eastAsia" w:ascii="宋体" w:hAnsi="宋体" w:cs="宋体"/>
          <w:szCs w:val="21"/>
          <w:highlight w:val="none"/>
          <w:lang w:eastAsia="zh"/>
        </w:rPr>
        <w:t>】</w:t>
      </w:r>
      <w:r>
        <w:rPr>
          <w:rFonts w:hint="eastAsia" w:ascii="宋体" w:hAnsi="宋体" w:cs="宋体"/>
          <w:color w:val="0000FF"/>
          <w:szCs w:val="21"/>
          <w:highlight w:val="none"/>
        </w:rPr>
        <w:t>（若</w:t>
      </w:r>
      <w:r>
        <w:rPr>
          <w:rFonts w:hint="eastAsia" w:ascii="宋体" w:hAnsi="宋体" w:cs="宋体"/>
          <w:color w:val="0000FF"/>
          <w:szCs w:val="21"/>
          <w:highlight w:val="none"/>
          <w:lang w:eastAsia="zh"/>
        </w:rPr>
        <w:t>没有多个航站楼可删除</w:t>
      </w:r>
      <w:r>
        <w:rPr>
          <w:rFonts w:hint="eastAsia" w:ascii="宋体" w:hAnsi="宋体" w:cs="宋体"/>
          <w:color w:val="0000FF"/>
          <w:szCs w:val="21"/>
          <w:highlight w:val="none"/>
        </w:rPr>
        <w:t>），</w:t>
      </w:r>
      <w:r>
        <w:rPr>
          <w:rFonts w:hint="eastAsia" w:ascii="宋体" w:hAnsi="宋体" w:cs="宋体"/>
          <w:szCs w:val="21"/>
          <w:highlight w:val="none"/>
          <w:shd w:val="clear" w:color="auto" w:fill="FFFFFF"/>
        </w:rPr>
        <w:t>单程</w:t>
      </w:r>
      <w:r>
        <w:rPr>
          <w:rFonts w:hint="eastAsia" w:ascii="宋体" w:hAnsi="宋体" w:cs="宋体"/>
          <w:szCs w:val="21"/>
          <w:highlight w:val="none"/>
        </w:rPr>
        <w:t>车程时间在</w:t>
      </w:r>
      <w:r>
        <w:rPr>
          <w:rFonts w:hint="eastAsia" w:ascii="宋体" w:hAnsi="宋体" w:cs="宋体"/>
          <w:szCs w:val="21"/>
          <w:highlight w:val="none"/>
          <w:shd w:val="clear" w:color="auto" w:fill="FFFFFF"/>
        </w:rPr>
        <w:t>【30】</w:t>
      </w:r>
      <w:r>
        <w:rPr>
          <w:rFonts w:hint="eastAsia" w:ascii="宋体" w:hAnsi="宋体" w:cs="宋体"/>
          <w:szCs w:val="21"/>
          <w:highlight w:val="none"/>
        </w:rPr>
        <w:t>分钟（含）以内</w:t>
      </w:r>
      <w:r>
        <w:rPr>
          <w:rFonts w:hint="eastAsia" w:ascii="宋体" w:hAnsi="宋体" w:cs="宋体"/>
          <w:szCs w:val="21"/>
          <w:highlight w:val="none"/>
          <w:lang w:eastAsia="zh"/>
        </w:rPr>
        <w:t>。</w:t>
      </w:r>
      <w:r>
        <w:rPr>
          <w:rFonts w:hint="eastAsia" w:ascii="宋体" w:hAnsi="宋体" w:cs="宋体"/>
          <w:szCs w:val="21"/>
          <w:highlight w:val="none"/>
        </w:rPr>
        <w:t>（注意：依据“百度地图”进行测算，须提供响应文件递交截止日前</w:t>
      </w:r>
      <w:r>
        <w:rPr>
          <w:rFonts w:hint="eastAsia" w:ascii="宋体" w:hAnsi="宋体" w:cs="宋体"/>
          <w:color w:val="000000"/>
          <w:szCs w:val="21"/>
          <w:highlight w:val="none"/>
          <w:shd w:val="clear" w:color="auto" w:fill="FFFFFF"/>
        </w:rPr>
        <w:t>【】</w:t>
      </w:r>
      <w:r>
        <w:rPr>
          <w:rFonts w:hint="eastAsia" w:ascii="宋体" w:hAnsi="宋体" w:cs="宋体"/>
          <w:szCs w:val="21"/>
          <w:highlight w:val="none"/>
        </w:rPr>
        <w:t>天</w:t>
      </w:r>
      <w:r>
        <w:rPr>
          <w:rFonts w:hint="eastAsia" w:ascii="宋体" w:hAnsi="宋体" w:cs="宋体"/>
          <w:color w:val="000000"/>
          <w:szCs w:val="21"/>
          <w:highlight w:val="none"/>
          <w:shd w:val="clear" w:color="auto" w:fill="FFFFFF"/>
        </w:rPr>
        <w:t>任意时间段</w:t>
      </w:r>
      <w:r>
        <w:rPr>
          <w:rFonts w:hint="eastAsia" w:ascii="宋体" w:hAnsi="宋体" w:cs="宋体"/>
          <w:szCs w:val="21"/>
          <w:highlight w:val="none"/>
        </w:rPr>
        <w:t>酒店至</w:t>
      </w:r>
      <w:r>
        <w:rPr>
          <w:rFonts w:hint="eastAsia" w:ascii="宋体" w:hAnsi="宋体" w:cs="宋体"/>
          <w:color w:val="000000"/>
          <w:szCs w:val="21"/>
          <w:highlight w:val="none"/>
          <w:shd w:val="clear" w:color="auto" w:fill="FFFFFF"/>
        </w:rPr>
        <w:t>【】</w:t>
      </w:r>
      <w:r>
        <w:rPr>
          <w:rFonts w:hint="eastAsia" w:ascii="宋体" w:hAnsi="宋体" w:cs="宋体"/>
          <w:szCs w:val="21"/>
          <w:highlight w:val="none"/>
        </w:rPr>
        <w:t>的最短时间距离截图，并加盖公章</w:t>
      </w:r>
      <w:r>
        <w:rPr>
          <w:rFonts w:hint="eastAsia" w:ascii="宋体" w:hAnsi="宋体" w:cs="宋体"/>
          <w:szCs w:val="21"/>
          <w:highlight w:val="none"/>
          <w:lang w:eastAsia="zh"/>
        </w:rPr>
        <w:t>。</w:t>
      </w:r>
      <w:r>
        <w:rPr>
          <w:rFonts w:hint="eastAsia" w:ascii="宋体" w:hAnsi="宋体" w:cs="宋体"/>
          <w:szCs w:val="21"/>
          <w:highlight w:val="none"/>
        </w:rPr>
        <w:t>）</w:t>
      </w:r>
      <w:permEnd w:id="16"/>
    </w:p>
    <w:p>
      <w:pPr>
        <w:tabs>
          <w:tab w:val="left" w:pos="0"/>
        </w:tabs>
        <w:spacing w:line="460" w:lineRule="exact"/>
        <w:ind w:firstLine="422" w:firstLineChars="200"/>
        <w:jc w:val="left"/>
        <w:rPr>
          <w:rFonts w:hint="eastAsia" w:ascii="宋体" w:hAnsi="宋体"/>
          <w:bCs/>
          <w:szCs w:val="21"/>
          <w:highlight w:val="none"/>
        </w:rPr>
      </w:pPr>
      <w:r>
        <w:rPr>
          <w:rFonts w:hint="eastAsia" w:ascii="宋体" w:hAnsi="宋体" w:cs="宋体"/>
          <w:b/>
          <w:bCs/>
          <w:szCs w:val="21"/>
          <w:highlight w:val="none"/>
        </w:rPr>
        <w:t xml:space="preserve">2.10 </w:t>
      </w:r>
      <w:r>
        <w:rPr>
          <w:rFonts w:hint="eastAsia" w:ascii="宋体" w:hAnsi="宋体" w:cs="宋体"/>
          <w:szCs w:val="21"/>
          <w:highlight w:val="none"/>
        </w:rPr>
        <w:t>供应商报价不得高于携程网同等房型售卖价（特价房除外），要求在履约期间不得以任何形式在谈判报价基础上提出溢价，包括但不限于国家法定节假日（春节、元旦、国庆、五一等）、旅游旺季、特殊展会等旺季期间。在履约过程中，要求优先保障南航航延旅客、中转旅客。</w:t>
      </w:r>
      <w:permStart w:id="17" w:edGrp="everyone"/>
      <w:r>
        <w:rPr>
          <w:rFonts w:hint="eastAsia" w:ascii="宋体" w:hAnsi="宋体" w:cs="宋体"/>
          <w:szCs w:val="21"/>
          <w:highlight w:val="none"/>
        </w:rPr>
        <w:t>【注意：须提供①响应文件递交截止日前【】天携程网价格查询截图、②携程网平均售卖数据（携程后台-数据中心-经营数据-经营概况，特殊活动价除外）及③服务响应函（格式内容自拟），如有违反上述情况的，采购人有权取消中选供应商的成交资格或对中选供应商进行处罚。】</w:t>
      </w:r>
      <w:permEnd w:id="17"/>
    </w:p>
    <w:p>
      <w:pPr>
        <w:spacing w:line="360" w:lineRule="auto"/>
        <w:ind w:firstLine="422" w:firstLineChars="200"/>
        <w:rPr>
          <w:rFonts w:hint="eastAsia" w:ascii="宋体" w:hAnsi="宋体" w:cs="宋体"/>
          <w:szCs w:val="21"/>
          <w:highlight w:val="none"/>
          <w:lang w:bidi="ar"/>
        </w:rPr>
      </w:pPr>
      <w:r>
        <w:rPr>
          <w:rFonts w:hint="eastAsia" w:ascii="宋体" w:hAnsi="宋体" w:cs="宋体"/>
          <w:b/>
          <w:bCs/>
          <w:szCs w:val="21"/>
          <w:highlight w:val="none"/>
        </w:rPr>
        <w:t xml:space="preserve">2.11 </w:t>
      </w:r>
      <w:r>
        <w:rPr>
          <w:rFonts w:hint="eastAsia" w:ascii="宋体" w:hAnsi="宋体" w:cs="宋体"/>
          <w:szCs w:val="21"/>
          <w:highlight w:val="none"/>
          <w:lang w:bidi="ar"/>
        </w:rPr>
        <w:t>供应商具有①《卫生许可证》</w:t>
      </w:r>
      <w:r>
        <w:rPr>
          <w:rFonts w:hint="eastAsia" w:ascii="宋体" w:hAnsi="宋体" w:cs="宋体"/>
          <w:szCs w:val="21"/>
          <w:highlight w:val="none"/>
          <w:lang w:eastAsia="zh" w:bidi="ar"/>
        </w:rPr>
        <w:t>②</w:t>
      </w:r>
      <w:r>
        <w:rPr>
          <w:rFonts w:hint="eastAsia" w:ascii="宋体" w:hAnsi="宋体" w:cs="宋体"/>
          <w:szCs w:val="21"/>
          <w:highlight w:val="none"/>
          <w:lang w:bidi="ar"/>
        </w:rPr>
        <w:t>《特种行业许可证》</w:t>
      </w:r>
      <w:r>
        <w:rPr>
          <w:rFonts w:hint="eastAsia" w:ascii="宋体" w:hAnsi="宋体" w:cs="宋体"/>
          <w:szCs w:val="21"/>
          <w:highlight w:val="none"/>
          <w:lang w:eastAsia="zh" w:bidi="ar"/>
        </w:rPr>
        <w:t>③</w:t>
      </w:r>
      <w:r>
        <w:rPr>
          <w:rFonts w:hint="eastAsia" w:ascii="宋体" w:hAnsi="宋体" w:cs="宋体"/>
          <w:szCs w:val="21"/>
          <w:highlight w:val="none"/>
          <w:lang w:bidi="ar"/>
        </w:rPr>
        <w:t>《公众聚集场所投入使用、营业前消防安全检查合格证》或消防验收意见书或酒店当地消防管理部门颁发的有效合格证明材料。【注意：1.须提供有效期内的以上证件扫描件，如《特种行业许可证》由所属地公安部门所一次性发放，证件上未注明有效期，视为该证件有效；</w:t>
      </w:r>
      <w:r>
        <w:rPr>
          <w:rFonts w:hint="eastAsia" w:ascii="宋体" w:hAnsi="宋体" w:cs="宋体"/>
          <w:szCs w:val="21"/>
          <w:highlight w:val="none"/>
          <w:lang w:eastAsia="zh" w:bidi="ar"/>
        </w:rPr>
        <w:t>2.</w:t>
      </w:r>
      <w:r>
        <w:rPr>
          <w:rFonts w:hint="eastAsia" w:ascii="宋体" w:hAnsi="宋体" w:cs="宋体"/>
          <w:szCs w:val="21"/>
          <w:highlight w:val="none"/>
          <w:shd w:val="clear" w:color="auto" w:fill="FFFFFF"/>
          <w:lang w:bidi="ar"/>
        </w:rPr>
        <w:t>位于国境口岸区域的供应商，可提供《国境口岸卫生许可》代替《</w:t>
      </w:r>
      <w:r>
        <w:rPr>
          <w:rFonts w:hint="eastAsia" w:ascii="宋体" w:hAnsi="宋体" w:cs="宋体"/>
          <w:szCs w:val="21"/>
          <w:highlight w:val="none"/>
          <w:shd w:val="clear" w:color="auto" w:fill="FFFFFF"/>
          <w:lang w:eastAsia="zh" w:bidi="ar"/>
        </w:rPr>
        <w:t>卫生</w:t>
      </w:r>
      <w:r>
        <w:rPr>
          <w:rFonts w:hint="eastAsia" w:ascii="宋体" w:hAnsi="宋体" w:cs="宋体"/>
          <w:szCs w:val="21"/>
          <w:highlight w:val="none"/>
          <w:shd w:val="clear" w:color="auto" w:fill="FFFFFF"/>
          <w:lang w:bidi="ar"/>
        </w:rPr>
        <w:t>许可证》</w:t>
      </w:r>
      <w:r>
        <w:rPr>
          <w:rFonts w:hint="eastAsia" w:ascii="宋体" w:hAnsi="宋体" w:cs="宋体"/>
          <w:szCs w:val="21"/>
          <w:highlight w:val="none"/>
          <w:shd w:val="clear" w:color="auto" w:fill="FFFFFF"/>
          <w:lang w:eastAsia="zh" w:bidi="ar"/>
        </w:rPr>
        <w:t>；3</w:t>
      </w:r>
      <w:r>
        <w:rPr>
          <w:rFonts w:hint="eastAsia" w:ascii="宋体" w:hAnsi="宋体" w:cs="宋体"/>
          <w:szCs w:val="21"/>
          <w:highlight w:val="none"/>
          <w:lang w:bidi="ar"/>
        </w:rPr>
        <w:t>.如上述证件中的企业名称与报名供应商名称不一致，须提供关系说明（证明）并加盖公章。】</w:t>
      </w:r>
    </w:p>
    <w:p>
      <w:pPr>
        <w:spacing w:line="360" w:lineRule="auto"/>
        <w:ind w:firstLine="422" w:firstLineChars="200"/>
        <w:rPr>
          <w:rFonts w:hint="eastAsia" w:ascii="宋体" w:hAnsi="宋体" w:cs="宋体"/>
          <w:highlight w:val="none"/>
        </w:rPr>
      </w:pPr>
      <w:r>
        <w:rPr>
          <w:rFonts w:hint="eastAsia" w:ascii="宋体" w:hAnsi="宋体" w:cs="宋体"/>
          <w:b/>
          <w:bCs/>
          <w:szCs w:val="21"/>
          <w:highlight w:val="none"/>
        </w:rPr>
        <w:t>2.12</w:t>
      </w:r>
      <w:r>
        <w:rPr>
          <w:rFonts w:hint="eastAsia" w:ascii="宋体" w:hAnsi="宋体" w:cs="宋体"/>
          <w:szCs w:val="21"/>
          <w:highlight w:val="none"/>
        </w:rPr>
        <w:t xml:space="preserve"> 供应商须配备</w:t>
      </w:r>
      <w:r>
        <w:rPr>
          <w:rFonts w:hint="eastAsia" w:ascii="宋体" w:hAnsi="宋体" w:cs="宋体"/>
          <w:szCs w:val="21"/>
          <w:highlight w:val="none"/>
          <w:shd w:val="clear" w:color="auto" w:fill="FFFFFF"/>
        </w:rPr>
        <w:t>【</w:t>
      </w:r>
      <w:r>
        <w:rPr>
          <w:rFonts w:hint="eastAsia" w:ascii="宋体" w:hAnsi="宋体" w:cs="宋体"/>
          <w:szCs w:val="21"/>
          <w:highlight w:val="none"/>
        </w:rPr>
        <w:t>中餐厅或西餐厅或自助餐厅】，其所有食品生产标准符合《中华人民共和国食品安全法》等相关规定，能提供早、午、晚餐及夜宵服务，餐食标准详见合同范本中的服务标准。（注意：</w:t>
      </w:r>
      <w:r>
        <w:rPr>
          <w:rFonts w:hint="eastAsia" w:ascii="宋体" w:hAnsi="宋体" w:cs="宋体"/>
          <w:szCs w:val="21"/>
          <w:highlight w:val="none"/>
          <w:lang w:bidi="ar"/>
        </w:rPr>
        <w:t>1.若为自营餐厅，须提供《食品经营许可证》及现场照片；2.若为合作经营的餐厅，须提供相关的合作证明、合作方《卫生许可证》</w:t>
      </w:r>
      <w:r>
        <w:rPr>
          <w:rFonts w:hint="eastAsia" w:ascii="宋体" w:hAnsi="宋体" w:cs="宋体"/>
          <w:szCs w:val="21"/>
          <w:highlight w:val="none"/>
          <w:lang w:eastAsia="zh" w:bidi="ar"/>
        </w:rPr>
        <w:t>和</w:t>
      </w:r>
      <w:r>
        <w:rPr>
          <w:rFonts w:hint="eastAsia" w:ascii="宋体" w:hAnsi="宋体" w:cs="宋体"/>
          <w:szCs w:val="21"/>
          <w:highlight w:val="none"/>
          <w:lang w:bidi="ar"/>
        </w:rPr>
        <w:t>《食品经营许可证》及现场照片。采购结束后采购人有权核查实际情况。</w:t>
      </w:r>
      <w:r>
        <w:rPr>
          <w:rFonts w:hint="eastAsia" w:ascii="宋体" w:hAnsi="宋体" w:cs="宋体"/>
          <w:szCs w:val="21"/>
          <w:highlight w:val="none"/>
        </w:rPr>
        <w:t>）</w:t>
      </w:r>
    </w:p>
    <w:p>
      <w:pPr>
        <w:spacing w:line="360" w:lineRule="auto"/>
        <w:ind w:firstLine="422" w:firstLineChars="200"/>
        <w:rPr>
          <w:rFonts w:hint="eastAsia" w:ascii="宋体" w:hAnsi="宋体" w:cs="宋体"/>
          <w:highlight w:val="none"/>
        </w:rPr>
      </w:pPr>
      <w:r>
        <w:rPr>
          <w:rFonts w:hint="eastAsia" w:ascii="宋体" w:hAnsi="宋体" w:cs="宋体"/>
          <w:b/>
          <w:bCs/>
          <w:szCs w:val="21"/>
          <w:highlight w:val="none"/>
        </w:rPr>
        <w:t>2.13</w:t>
      </w:r>
      <w:r>
        <w:rPr>
          <w:rFonts w:hint="eastAsia" w:ascii="宋体" w:hAnsi="宋体" w:cs="宋体"/>
          <w:szCs w:val="21"/>
          <w:highlight w:val="none"/>
        </w:rPr>
        <w:t xml:space="preserve"> 供应商履行协议期间</w:t>
      </w:r>
      <w:permStart w:id="18" w:edGrp="everyone"/>
      <w:r>
        <w:rPr>
          <w:rFonts w:hint="eastAsia" w:ascii="宋体" w:hAnsi="宋体" w:cs="宋体"/>
          <w:szCs w:val="21"/>
          <w:highlight w:val="none"/>
          <w:lang w:bidi="ar"/>
        </w:rPr>
        <w:t>客房总量须达到</w:t>
      </w:r>
      <w:r>
        <w:rPr>
          <w:rFonts w:hint="eastAsia" w:ascii="宋体" w:hAnsi="宋体" w:cs="宋体"/>
          <w:szCs w:val="21"/>
          <w:highlight w:val="none"/>
          <w:lang w:eastAsia="zh" w:bidi="ar"/>
        </w:rPr>
        <w:t>【】</w:t>
      </w:r>
      <w:r>
        <w:rPr>
          <w:rFonts w:hint="eastAsia" w:ascii="宋体" w:hAnsi="宋体" w:cs="宋体"/>
          <w:szCs w:val="21"/>
          <w:highlight w:val="none"/>
          <w:lang w:bidi="ar"/>
        </w:rPr>
        <w:t>间（含）以</w:t>
      </w:r>
      <w:r>
        <w:rPr>
          <w:rFonts w:hint="eastAsia" w:ascii="宋体" w:hAnsi="宋体" w:cs="宋体"/>
          <w:szCs w:val="21"/>
          <w:highlight w:val="none"/>
          <w:lang w:eastAsia="zh" w:bidi="ar"/>
        </w:rPr>
        <w:t>上</w:t>
      </w:r>
      <w:r>
        <w:rPr>
          <w:rFonts w:hint="eastAsia" w:ascii="宋体" w:hAnsi="宋体" w:cs="宋体"/>
          <w:szCs w:val="21"/>
          <w:highlight w:val="none"/>
        </w:rPr>
        <w:t>，其中双人间客房不少于【】间</w:t>
      </w:r>
      <w:r>
        <w:rPr>
          <w:rFonts w:hint="eastAsia" w:ascii="宋体" w:hAnsi="宋体" w:cs="宋体"/>
          <w:szCs w:val="21"/>
          <w:highlight w:val="none"/>
          <w:lang w:eastAsia="zh"/>
        </w:rPr>
        <w:t>（含）。</w:t>
      </w:r>
      <w:r>
        <w:rPr>
          <w:rFonts w:hint="eastAsia" w:ascii="宋体" w:hAnsi="宋体" w:cs="宋体"/>
          <w:szCs w:val="21"/>
          <w:highlight w:val="none"/>
        </w:rPr>
        <w:t>（</w:t>
      </w:r>
      <w:permEnd w:id="18"/>
      <w:r>
        <w:rPr>
          <w:rFonts w:hint="eastAsia" w:ascii="宋体" w:hAnsi="宋体" w:cs="宋体"/>
          <w:szCs w:val="21"/>
          <w:highlight w:val="none"/>
        </w:rPr>
        <w:t>注意：须提供酒店管理系统房态截图或携程网客房数量截图或其他证明材料，采购结束后采购人有权核查实际情况。）</w:t>
      </w:r>
    </w:p>
    <w:p>
      <w:pPr>
        <w:spacing w:line="360" w:lineRule="auto"/>
        <w:ind w:firstLine="422" w:firstLineChars="200"/>
        <w:rPr>
          <w:rFonts w:hint="eastAsia" w:ascii="宋体" w:hAnsi="宋体" w:cs="宋体"/>
          <w:szCs w:val="21"/>
          <w:highlight w:val="none"/>
        </w:rPr>
      </w:pPr>
      <w:r>
        <w:rPr>
          <w:rFonts w:hint="eastAsia" w:ascii="宋体" w:hAnsi="宋体" w:cs="宋体"/>
          <w:b/>
          <w:bCs/>
          <w:szCs w:val="21"/>
          <w:highlight w:val="none"/>
        </w:rPr>
        <w:t>2.14</w:t>
      </w:r>
      <w:r>
        <w:rPr>
          <w:rFonts w:hint="eastAsia" w:ascii="宋体" w:hAnsi="宋体" w:cs="宋体"/>
          <w:szCs w:val="21"/>
          <w:highlight w:val="none"/>
        </w:rPr>
        <w:t xml:space="preserve"> 供应商须提供全天24小时车辆接送服务，车辆满足以下要求并服从采购人调配使用。</w:t>
      </w:r>
      <w:permStart w:id="19" w:edGrp="everyone"/>
      <w:r>
        <w:rPr>
          <w:rFonts w:hint="eastAsia" w:ascii="宋体" w:hAnsi="宋体" w:cs="宋体"/>
          <w:szCs w:val="21"/>
          <w:highlight w:val="none"/>
        </w:rPr>
        <w:sym w:font="Wingdings" w:char="F081"/>
      </w:r>
      <w:r>
        <w:rPr>
          <w:rFonts w:hint="eastAsia" w:ascii="宋体" w:hAnsi="宋体" w:cs="宋体"/>
          <w:szCs w:val="21"/>
          <w:highlight w:val="none"/>
        </w:rPr>
        <w:t>A类、B类酒店供应商须配备</w:t>
      </w:r>
      <w:r>
        <w:rPr>
          <w:rFonts w:hint="eastAsia" w:ascii="宋体" w:hAnsi="宋体" w:cs="宋体"/>
          <w:szCs w:val="21"/>
          <w:highlight w:val="none"/>
          <w:shd w:val="clear" w:color="auto" w:fill="FFFFFF"/>
        </w:rPr>
        <w:t>【】</w:t>
      </w:r>
      <w:r>
        <w:rPr>
          <w:rFonts w:hint="eastAsia" w:ascii="宋体" w:hAnsi="宋体" w:cs="宋体"/>
          <w:szCs w:val="21"/>
          <w:highlight w:val="none"/>
        </w:rPr>
        <w:t>台（含）以上车辆（含自购或租赁</w:t>
      </w:r>
      <w:r>
        <w:rPr>
          <w:rFonts w:hint="eastAsia" w:ascii="宋体" w:hAnsi="宋体" w:cs="宋体"/>
          <w:szCs w:val="21"/>
          <w:highlight w:val="none"/>
          <w:shd w:val="clear" w:color="auto" w:fill="FFFFFF"/>
        </w:rPr>
        <w:t>车辆</w:t>
      </w:r>
      <w:r>
        <w:rPr>
          <w:rFonts w:hint="eastAsia" w:ascii="宋体" w:hAnsi="宋体" w:cs="宋体"/>
          <w:szCs w:val="21"/>
          <w:highlight w:val="none"/>
        </w:rPr>
        <w:t>）；②C类酒店供应商须配备</w:t>
      </w:r>
      <w:r>
        <w:rPr>
          <w:rFonts w:hint="eastAsia" w:ascii="宋体" w:hAnsi="宋体" w:cs="宋体"/>
          <w:szCs w:val="21"/>
          <w:highlight w:val="none"/>
          <w:shd w:val="clear" w:color="auto" w:fill="FFFFFF"/>
        </w:rPr>
        <w:t>【】</w:t>
      </w:r>
      <w:r>
        <w:rPr>
          <w:rFonts w:hint="eastAsia" w:ascii="宋体" w:hAnsi="宋体" w:cs="宋体"/>
          <w:szCs w:val="21"/>
          <w:highlight w:val="none"/>
        </w:rPr>
        <w:t>台（含）以上车辆（含自购或租赁车辆），车辆总座位数之和不少于</w:t>
      </w:r>
      <w:r>
        <w:rPr>
          <w:rFonts w:hint="eastAsia" w:ascii="宋体" w:hAnsi="宋体" w:cs="宋体"/>
          <w:szCs w:val="21"/>
          <w:highlight w:val="none"/>
          <w:shd w:val="clear" w:color="auto" w:fill="FFFFFF"/>
        </w:rPr>
        <w:t>【】</w:t>
      </w:r>
      <w:r>
        <w:rPr>
          <w:rFonts w:hint="eastAsia" w:ascii="宋体" w:hAnsi="宋体" w:cs="宋体"/>
          <w:szCs w:val="21"/>
          <w:highlight w:val="none"/>
        </w:rPr>
        <w:t>个，且至少包含</w:t>
      </w:r>
      <w:r>
        <w:rPr>
          <w:rFonts w:hint="eastAsia" w:ascii="宋体" w:hAnsi="宋体" w:cs="宋体"/>
          <w:szCs w:val="21"/>
          <w:highlight w:val="none"/>
          <w:shd w:val="clear" w:color="auto" w:fill="FFFFFF"/>
        </w:rPr>
        <w:t>【】</w:t>
      </w:r>
      <w:r>
        <w:rPr>
          <w:rFonts w:hint="eastAsia" w:ascii="宋体" w:hAnsi="宋体" w:cs="宋体"/>
          <w:szCs w:val="21"/>
          <w:highlight w:val="none"/>
        </w:rPr>
        <w:t>辆</w:t>
      </w:r>
      <w:r>
        <w:rPr>
          <w:rFonts w:hint="eastAsia" w:ascii="宋体" w:hAnsi="宋体" w:cs="宋体"/>
          <w:szCs w:val="21"/>
          <w:highlight w:val="none"/>
          <w:shd w:val="clear" w:color="auto" w:fill="FFFFFF"/>
        </w:rPr>
        <w:t>【】</w:t>
      </w:r>
      <w:r>
        <w:rPr>
          <w:rFonts w:hint="eastAsia" w:ascii="宋体" w:hAnsi="宋体" w:cs="宋体"/>
          <w:szCs w:val="21"/>
          <w:highlight w:val="none"/>
        </w:rPr>
        <w:t>座（含）以上的大巴（配备不少于【】个具有A1驾照资格的司机）。（注意：1.自购车辆：车辆所有人应是该供应商，须提供行驶证扫描件、车辆照片及车辆座位数量证明材料加盖公章；租赁车辆：</w:t>
      </w:r>
      <w:r>
        <w:rPr>
          <w:rFonts w:hint="eastAsia"/>
          <w:highlight w:val="none"/>
        </w:rPr>
        <w:t>车辆承租方应是该供应商，</w:t>
      </w:r>
      <w:r>
        <w:rPr>
          <w:rFonts w:hint="eastAsia" w:ascii="宋体" w:hAnsi="宋体" w:cs="宋体"/>
          <w:szCs w:val="21"/>
          <w:highlight w:val="none"/>
        </w:rPr>
        <w:t>车辆所有人应是租赁公司，须提供车辆租赁合同扫描件加盖公章、行驶证扫描件、车辆照片及车辆座位数量证明材料加盖公章。2.提供A1驾照资格司机驾驶证及劳动关系证明加盖公章。3.须提供24小时车辆服务响应材料，内容格式自拟并加盖公章。）</w:t>
      </w:r>
    </w:p>
    <w:permEnd w:id="19"/>
    <w:p>
      <w:pPr>
        <w:widowControl/>
        <w:spacing w:line="360" w:lineRule="auto"/>
        <w:ind w:firstLine="422" w:firstLineChars="200"/>
        <w:rPr>
          <w:rFonts w:hint="eastAsia" w:ascii="宋体" w:hAnsi="宋体" w:cs="宋体"/>
          <w:szCs w:val="21"/>
          <w:highlight w:val="none"/>
        </w:rPr>
      </w:pPr>
      <w:r>
        <w:rPr>
          <w:rFonts w:hint="eastAsia" w:ascii="宋体" w:hAnsi="宋体" w:cs="宋体"/>
          <w:b/>
          <w:bCs/>
          <w:szCs w:val="21"/>
          <w:highlight w:val="none"/>
        </w:rPr>
        <w:t>2.15</w:t>
      </w:r>
      <w:r>
        <w:rPr>
          <w:rFonts w:hint="eastAsia" w:ascii="宋体" w:hAnsi="宋体" w:cs="宋体"/>
          <w:szCs w:val="21"/>
          <w:highlight w:val="none"/>
        </w:rPr>
        <w:t xml:space="preserve"> 供应商须配备至少</w:t>
      </w:r>
      <w:permStart w:id="20" w:edGrp="everyone"/>
      <w:r>
        <w:rPr>
          <w:rFonts w:hint="eastAsia" w:ascii="宋体" w:hAnsi="宋体" w:cs="宋体"/>
          <w:szCs w:val="21"/>
          <w:highlight w:val="none"/>
          <w:shd w:val="clear" w:color="auto" w:fill="FFFFFF"/>
        </w:rPr>
        <w:t>【】</w:t>
      </w:r>
      <w:r>
        <w:rPr>
          <w:rFonts w:hint="eastAsia" w:ascii="宋体" w:hAnsi="宋体" w:cs="宋体"/>
          <w:szCs w:val="21"/>
          <w:highlight w:val="none"/>
        </w:rPr>
        <w:t>名专职驻场（XX航站楼）</w:t>
      </w:r>
      <w:permEnd w:id="20"/>
      <w:r>
        <w:rPr>
          <w:rFonts w:hint="eastAsia" w:ascii="宋体" w:hAnsi="宋体" w:cs="宋体"/>
          <w:szCs w:val="21"/>
          <w:highlight w:val="none"/>
        </w:rPr>
        <w:t>业务接待人员，且全天24小时服从采购人业务部门工作人员调配。采购人业务部门根据中转、航延业务实际情况，灵活调配驻场人数</w:t>
      </w:r>
      <w:permStart w:id="21" w:edGrp="everyone"/>
      <w:r>
        <w:rPr>
          <w:rFonts w:hint="eastAsia" w:ascii="宋体" w:hAnsi="宋体" w:cs="宋体"/>
          <w:szCs w:val="21"/>
          <w:highlight w:val="none"/>
        </w:rPr>
        <w:t>，原则上不少于1名专职业务接待人员驻场保障</w:t>
      </w:r>
      <w:permEnd w:id="21"/>
      <w:r>
        <w:rPr>
          <w:rFonts w:hint="eastAsia" w:ascii="宋体" w:hAnsi="宋体" w:cs="宋体"/>
          <w:szCs w:val="21"/>
          <w:highlight w:val="none"/>
        </w:rPr>
        <w:t>；另外，供应商拟投入本项目的所有服务人员（包括但不限于机场接待、前台接待人员等）须具备英语沟通服务能力，能够解决旅客在酒店前台服务、客房服务、餐饮服务等方面的问题。（注意：须提供服务响应材料，内容格式自拟并加盖公章。）</w:t>
      </w:r>
    </w:p>
    <w:p>
      <w:pPr>
        <w:widowControl/>
        <w:spacing w:line="360" w:lineRule="auto"/>
        <w:ind w:firstLine="422" w:firstLineChars="200"/>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2.16 </w:t>
      </w:r>
      <w:r>
        <w:rPr>
          <w:rFonts w:hint="eastAsia" w:ascii="宋体" w:hAnsi="宋体" w:cs="宋体"/>
          <w:color w:val="000000"/>
          <w:szCs w:val="21"/>
          <w:highlight w:val="none"/>
        </w:rPr>
        <w:t>其他要求。</w:t>
      </w:r>
      <w:r>
        <w:rPr>
          <w:rFonts w:hint="eastAsia" w:ascii="宋体" w:hAnsi="宋体" w:cs="宋体"/>
          <w:b/>
          <w:bCs/>
          <w:color w:val="0000FF"/>
          <w:szCs w:val="21"/>
          <w:highlight w:val="none"/>
        </w:rPr>
        <w:t>（请补充，若无请删除此项）</w:t>
      </w:r>
    </w:p>
    <w:p>
      <w:pPr>
        <w:widowControl/>
        <w:spacing w:line="360" w:lineRule="auto"/>
        <w:ind w:firstLine="422" w:firstLineChars="200"/>
        <w:rPr>
          <w:rFonts w:hint="eastAsia" w:ascii="宋体" w:hAnsi="宋体" w:cs="宋体"/>
          <w:highlight w:val="none"/>
        </w:rPr>
      </w:pPr>
      <w:r>
        <w:rPr>
          <w:rFonts w:hint="eastAsia" w:ascii="宋体" w:hAnsi="宋体" w:cs="宋体"/>
          <w:b/>
          <w:bCs/>
          <w:color w:val="000000"/>
          <w:szCs w:val="21"/>
          <w:highlight w:val="none"/>
        </w:rPr>
        <w:t>未通过上述资格要求审查的供应商不具备谈判资格，（谈判小组）评审委员会有权认定其不具备谈判参与资格；任何时候发现供应商提交的相关</w:t>
      </w:r>
      <w:bookmarkStart w:id="95" w:name="OLE_LINK3"/>
      <w:r>
        <w:rPr>
          <w:rFonts w:hint="eastAsia" w:ascii="宋体" w:hAnsi="宋体" w:cs="宋体"/>
          <w:b/>
          <w:bCs/>
          <w:color w:val="000000"/>
          <w:szCs w:val="21"/>
          <w:highlight w:val="none"/>
        </w:rPr>
        <w:t>文件、证明材料或承诺系伪造、变造或捏造的，将取消其成交供应商资格并列入南航集团限制交易供应商名单——视为其已主动放弃自本次谈判采购之日起</w:t>
      </w:r>
      <w:bookmarkStart w:id="96" w:name="OLE_LINK1"/>
      <w:r>
        <w:rPr>
          <w:rFonts w:hint="eastAsia" w:ascii="宋体" w:hAnsi="宋体" w:cs="宋体"/>
          <w:b/>
          <w:bCs/>
          <w:color w:val="000000"/>
          <w:szCs w:val="21"/>
          <w:highlight w:val="none"/>
        </w:rPr>
        <w:t>3年内参加南航</w:t>
      </w:r>
      <w:bookmarkStart w:id="97" w:name="OLE_LINK2"/>
      <w:r>
        <w:rPr>
          <w:rFonts w:hint="eastAsia" w:ascii="宋体" w:hAnsi="宋体" w:cs="宋体"/>
          <w:b/>
          <w:bCs/>
          <w:color w:val="000000"/>
          <w:szCs w:val="21"/>
          <w:highlight w:val="none"/>
        </w:rPr>
        <w:t>集团任何采购方式下任何</w:t>
      </w:r>
      <w:bookmarkEnd w:id="97"/>
      <w:r>
        <w:rPr>
          <w:rFonts w:hint="eastAsia" w:ascii="宋体" w:hAnsi="宋体" w:cs="宋体"/>
          <w:b/>
          <w:bCs/>
          <w:color w:val="000000"/>
          <w:szCs w:val="21"/>
          <w:highlight w:val="none"/>
        </w:rPr>
        <w:t>项目的采购活动。</w:t>
      </w:r>
      <w:bookmarkEnd w:id="95"/>
      <w:bookmarkEnd w:id="96"/>
    </w:p>
    <w:p>
      <w:pPr>
        <w:pStyle w:val="4"/>
        <w:ind w:left="0"/>
        <w:jc w:val="left"/>
        <w:rPr>
          <w:b/>
          <w:highlight w:val="none"/>
        </w:rPr>
      </w:pPr>
      <w:bookmarkStart w:id="98" w:name="_Toc29547"/>
      <w:bookmarkStart w:id="99" w:name="_Toc6194"/>
      <w:bookmarkStart w:id="100" w:name="_Toc4631"/>
      <w:bookmarkStart w:id="101" w:name="_Toc26477"/>
      <w:bookmarkStart w:id="102" w:name="_Toc29303"/>
      <w:bookmarkStart w:id="103" w:name="_Toc25417"/>
      <w:bookmarkStart w:id="104" w:name="_Toc22730"/>
      <w:bookmarkStart w:id="105" w:name="_Toc26169"/>
      <w:bookmarkStart w:id="106" w:name="_Toc16931"/>
      <w:r>
        <w:rPr>
          <w:rFonts w:hint="eastAsia"/>
          <w:b/>
          <w:highlight w:val="none"/>
        </w:rPr>
        <w:t>3、</w:t>
      </w:r>
      <w:bookmarkStart w:id="107" w:name="_Toc504657603"/>
      <w:r>
        <w:rPr>
          <w:rFonts w:hint="eastAsia" w:ascii="宋体" w:hAnsi="宋体" w:cs="宋体"/>
          <w:b/>
          <w:highlight w:val="none"/>
        </w:rPr>
        <w:t>谈判文件</w:t>
      </w:r>
      <w:r>
        <w:rPr>
          <w:rFonts w:hint="eastAsia"/>
          <w:b/>
          <w:highlight w:val="none"/>
        </w:rPr>
        <w:t>的获取</w:t>
      </w:r>
      <w:bookmarkEnd w:id="98"/>
      <w:bookmarkEnd w:id="99"/>
      <w:bookmarkEnd w:id="100"/>
      <w:bookmarkEnd w:id="101"/>
      <w:bookmarkEnd w:id="102"/>
      <w:bookmarkEnd w:id="103"/>
      <w:bookmarkEnd w:id="104"/>
      <w:bookmarkEnd w:id="105"/>
      <w:bookmarkEnd w:id="106"/>
      <w:bookmarkEnd w:id="107"/>
    </w:p>
    <w:p>
      <w:pPr>
        <w:tabs>
          <w:tab w:val="left" w:pos="3700"/>
        </w:tabs>
        <w:spacing w:line="360" w:lineRule="auto"/>
        <w:ind w:firstLine="422" w:firstLineChars="200"/>
        <w:rPr>
          <w:rFonts w:hint="eastAsia" w:ascii="宋体" w:hAnsi="宋体" w:cs="宋体"/>
          <w:b/>
          <w:bCs/>
          <w:szCs w:val="21"/>
          <w:highlight w:val="none"/>
        </w:rPr>
      </w:pPr>
      <w:bookmarkStart w:id="108" w:name="_Toc504657604"/>
      <w:bookmarkStart w:id="109" w:name="_Toc21211"/>
      <w:r>
        <w:rPr>
          <w:rFonts w:hint="eastAsia" w:ascii="宋体" w:hAnsi="宋体" w:cs="宋体"/>
          <w:b/>
          <w:szCs w:val="21"/>
          <w:highlight w:val="none"/>
        </w:rPr>
        <w:t>3.1</w:t>
      </w:r>
      <w:r>
        <w:rPr>
          <w:rFonts w:hint="eastAsia" w:ascii="宋体" w:hAnsi="宋体" w:cs="宋体"/>
          <w:szCs w:val="21"/>
          <w:highlight w:val="none"/>
        </w:rPr>
        <w:t xml:space="preserve"> 获取谈判文件时间：</w:t>
      </w:r>
      <w:permStart w:id="22" w:edGrp="everyone"/>
      <w:r>
        <w:rPr>
          <w:rFonts w:hint="eastAsia" w:ascii="宋体" w:hAnsi="宋体" w:cs="宋体"/>
          <w:highlight w:val="none"/>
        </w:rPr>
        <w:t>【】</w:t>
      </w:r>
      <w:r>
        <w:rPr>
          <w:rFonts w:hint="eastAsia" w:ascii="宋体" w:hAnsi="宋体" w:cs="宋体"/>
          <w:szCs w:val="21"/>
          <w:highlight w:val="none"/>
        </w:rPr>
        <w:t>年</w:t>
      </w:r>
      <w:r>
        <w:rPr>
          <w:rFonts w:hint="eastAsia" w:ascii="宋体" w:hAnsi="宋体" w:cs="宋体"/>
          <w:highlight w:val="none"/>
        </w:rPr>
        <w:t>【】</w:t>
      </w:r>
      <w:r>
        <w:rPr>
          <w:rFonts w:hint="eastAsia" w:ascii="宋体" w:hAnsi="宋体" w:cs="宋体"/>
          <w:szCs w:val="21"/>
          <w:highlight w:val="none"/>
        </w:rPr>
        <w:t>月</w:t>
      </w:r>
      <w:r>
        <w:rPr>
          <w:rFonts w:hint="eastAsia" w:ascii="宋体" w:hAnsi="宋体" w:cs="宋体"/>
          <w:highlight w:val="none"/>
        </w:rPr>
        <w:t>【】</w:t>
      </w:r>
      <w:r>
        <w:rPr>
          <w:rFonts w:hint="eastAsia" w:ascii="宋体" w:hAnsi="宋体" w:cs="宋体"/>
          <w:szCs w:val="21"/>
          <w:highlight w:val="none"/>
        </w:rPr>
        <w:t>日至</w:t>
      </w:r>
      <w:r>
        <w:rPr>
          <w:rFonts w:hint="eastAsia" w:ascii="宋体" w:hAnsi="宋体" w:cs="宋体"/>
          <w:highlight w:val="none"/>
        </w:rPr>
        <w:t>【】</w:t>
      </w:r>
      <w:r>
        <w:rPr>
          <w:rFonts w:hint="eastAsia" w:ascii="宋体" w:hAnsi="宋体" w:cs="宋体"/>
          <w:szCs w:val="21"/>
          <w:highlight w:val="none"/>
        </w:rPr>
        <w:t>年</w:t>
      </w:r>
      <w:r>
        <w:rPr>
          <w:rFonts w:hint="eastAsia" w:ascii="宋体" w:hAnsi="宋体" w:cs="宋体"/>
          <w:highlight w:val="none"/>
        </w:rPr>
        <w:t>【】</w:t>
      </w:r>
      <w:r>
        <w:rPr>
          <w:rFonts w:hint="eastAsia" w:ascii="宋体" w:hAnsi="宋体" w:cs="宋体"/>
          <w:szCs w:val="21"/>
          <w:highlight w:val="none"/>
        </w:rPr>
        <w:t>月</w:t>
      </w:r>
      <w:r>
        <w:rPr>
          <w:rFonts w:hint="eastAsia" w:ascii="宋体" w:hAnsi="宋体" w:cs="宋体"/>
          <w:highlight w:val="none"/>
        </w:rPr>
        <w:t>【】</w:t>
      </w:r>
      <w:r>
        <w:rPr>
          <w:rFonts w:hint="eastAsia" w:ascii="宋体" w:hAnsi="宋体" w:cs="宋体"/>
          <w:szCs w:val="21"/>
          <w:highlight w:val="none"/>
        </w:rPr>
        <w:t>日</w:t>
      </w:r>
      <w:permEnd w:id="22"/>
      <w:r>
        <w:rPr>
          <w:rFonts w:hint="eastAsia" w:ascii="宋体" w:hAnsi="宋体" w:cs="宋体"/>
          <w:szCs w:val="21"/>
          <w:highlight w:val="none"/>
        </w:rPr>
        <w:t>；请务必在此期间登陆“中国南方航空采购招标网”，选择项目下载谈判文件；否则将无法参与本次谈判。</w:t>
      </w:r>
    </w:p>
    <w:p>
      <w:pPr>
        <w:widowControl/>
        <w:spacing w:line="360" w:lineRule="auto"/>
        <w:ind w:firstLine="422" w:firstLineChars="200"/>
        <w:rPr>
          <w:rFonts w:hint="eastAsia" w:ascii="宋体" w:hAnsi="宋体" w:cs="宋体"/>
          <w:szCs w:val="21"/>
          <w:highlight w:val="none"/>
        </w:rPr>
      </w:pPr>
      <w:r>
        <w:rPr>
          <w:rFonts w:hint="eastAsia" w:ascii="宋体" w:hAnsi="宋体" w:cs="宋体"/>
          <w:b/>
          <w:szCs w:val="21"/>
          <w:highlight w:val="none"/>
        </w:rPr>
        <w:t>3.2</w:t>
      </w:r>
      <w:r>
        <w:rPr>
          <w:rFonts w:hint="eastAsia" w:ascii="宋体" w:hAnsi="宋体" w:cs="宋体"/>
          <w:szCs w:val="21"/>
          <w:highlight w:val="none"/>
        </w:rPr>
        <w:t xml:space="preserve"> 谈判文件获取途径：</w:t>
      </w:r>
    </w:p>
    <w:p>
      <w:pPr>
        <w:widowControl/>
        <w:spacing w:line="360" w:lineRule="auto"/>
        <w:ind w:firstLine="420" w:firstLineChars="200"/>
        <w:rPr>
          <w:rFonts w:hint="eastAsia" w:ascii="宋体" w:hAnsi="宋体" w:cs="宋体"/>
          <w:color w:val="000000"/>
          <w:szCs w:val="21"/>
          <w:highlight w:val="none"/>
        </w:rPr>
      </w:pPr>
      <w:r>
        <w:rPr>
          <w:rFonts w:hint="eastAsia" w:ascii="宋体" w:hAnsi="宋体" w:cs="宋体"/>
          <w:szCs w:val="21"/>
          <w:highlight w:val="none"/>
        </w:rPr>
        <w:t>详见https://csbidding.csair.com/cms/channel/czzngys/96540.htm</w:t>
      </w:r>
    </w:p>
    <w:p>
      <w:pPr>
        <w:pStyle w:val="4"/>
        <w:spacing w:line="360" w:lineRule="auto"/>
        <w:ind w:left="0"/>
        <w:jc w:val="left"/>
        <w:rPr>
          <w:b/>
          <w:highlight w:val="none"/>
        </w:rPr>
      </w:pPr>
      <w:bookmarkStart w:id="110" w:name="_Toc9966"/>
      <w:bookmarkStart w:id="111" w:name="_Toc8323"/>
      <w:bookmarkStart w:id="112" w:name="_Toc27323"/>
      <w:bookmarkStart w:id="113" w:name="_Toc4184"/>
      <w:bookmarkStart w:id="114" w:name="_Toc22983"/>
      <w:bookmarkStart w:id="115" w:name="_Toc22861"/>
      <w:bookmarkStart w:id="116" w:name="_Toc13206"/>
      <w:bookmarkStart w:id="117" w:name="_Toc6861"/>
      <w:r>
        <w:rPr>
          <w:rFonts w:hint="eastAsia" w:ascii="宋体" w:hAnsi="宋体" w:cs="宋体"/>
          <w:b/>
          <w:highlight w:val="none"/>
        </w:rPr>
        <w:t>4、响应</w:t>
      </w:r>
      <w:r>
        <w:rPr>
          <w:rFonts w:hint="eastAsia"/>
          <w:b/>
          <w:highlight w:val="none"/>
        </w:rPr>
        <w:t>文件的递交</w:t>
      </w:r>
      <w:bookmarkEnd w:id="108"/>
      <w:bookmarkEnd w:id="109"/>
      <w:bookmarkEnd w:id="110"/>
      <w:bookmarkEnd w:id="111"/>
      <w:bookmarkEnd w:id="112"/>
      <w:bookmarkEnd w:id="113"/>
      <w:bookmarkEnd w:id="114"/>
      <w:bookmarkEnd w:id="115"/>
      <w:bookmarkEnd w:id="116"/>
      <w:bookmarkEnd w:id="117"/>
    </w:p>
    <w:p>
      <w:pPr>
        <w:widowControl/>
        <w:spacing w:line="360" w:lineRule="auto"/>
        <w:ind w:firstLine="422" w:firstLineChars="200"/>
        <w:jc w:val="left"/>
        <w:rPr>
          <w:rFonts w:hint="eastAsia" w:ascii="宋体" w:hAnsi="宋体" w:cs="宋体"/>
          <w:color w:val="000000"/>
          <w:szCs w:val="21"/>
          <w:highlight w:val="none"/>
        </w:rPr>
      </w:pPr>
      <w:bookmarkStart w:id="118" w:name="_Toc504657606"/>
      <w:bookmarkStart w:id="119" w:name="_Toc1746"/>
      <w:r>
        <w:rPr>
          <w:rFonts w:hint="eastAsia" w:ascii="宋体" w:hAnsi="宋体" w:cs="宋体"/>
          <w:b/>
          <w:szCs w:val="21"/>
          <w:highlight w:val="none"/>
        </w:rPr>
        <w:t>4.1</w:t>
      </w:r>
      <w:r>
        <w:rPr>
          <w:rFonts w:hint="eastAsia" w:ascii="宋体" w:hAnsi="宋体" w:cs="宋体"/>
          <w:bCs/>
          <w:szCs w:val="21"/>
          <w:highlight w:val="none"/>
        </w:rPr>
        <w:t xml:space="preserve"> </w:t>
      </w:r>
      <w:r>
        <w:rPr>
          <w:rFonts w:hint="eastAsia" w:ascii="宋体" w:hAnsi="宋体" w:cs="宋体"/>
          <w:b/>
          <w:szCs w:val="21"/>
          <w:highlight w:val="none"/>
        </w:rPr>
        <w:t>响应文件递交的截止时间（第一次报价截止时间）为</w:t>
      </w:r>
      <w:permStart w:id="23" w:edGrp="everyone"/>
      <w:r>
        <w:rPr>
          <w:rFonts w:hint="eastAsia" w:ascii="宋体" w:hAnsi="宋体" w:cs="宋体"/>
          <w:b/>
          <w:szCs w:val="21"/>
          <w:highlight w:val="none"/>
        </w:rPr>
        <w:t>【】年【】月【】日【】时【】分</w:t>
      </w:r>
      <w:permEnd w:id="23"/>
      <w:r>
        <w:rPr>
          <w:rFonts w:hint="eastAsia" w:ascii="宋体" w:hAnsi="宋体" w:cs="宋体"/>
          <w:color w:val="000000"/>
          <w:szCs w:val="21"/>
          <w:highlight w:val="none"/>
        </w:rPr>
        <w:t>，供应商应在截止时间前通过</w:t>
      </w:r>
      <w:r>
        <w:rPr>
          <w:rFonts w:hint="eastAsia" w:ascii="宋体" w:hAnsi="宋体" w:cs="宋体"/>
          <w:b/>
          <w:bCs/>
          <w:color w:val="000000"/>
          <w:szCs w:val="21"/>
          <w:highlight w:val="none"/>
        </w:rPr>
        <w:t>电子招标投标交易平台</w:t>
      </w:r>
      <w:r>
        <w:rPr>
          <w:rFonts w:hint="eastAsia" w:ascii="宋体" w:hAnsi="宋体" w:cs="宋体"/>
          <w:color w:val="000000"/>
          <w:szCs w:val="21"/>
          <w:highlight w:val="none"/>
        </w:rPr>
        <w:t>递交响应文件。</w:t>
      </w:r>
    </w:p>
    <w:p>
      <w:pPr>
        <w:widowControl/>
        <w:spacing w:line="360" w:lineRule="auto"/>
        <w:ind w:firstLine="422" w:firstLineChars="200"/>
        <w:jc w:val="left"/>
        <w:rPr>
          <w:rFonts w:hint="eastAsia" w:ascii="宋体" w:hAnsi="宋体" w:cs="宋体"/>
          <w:color w:val="FF0000"/>
          <w:szCs w:val="21"/>
          <w:highlight w:val="none"/>
        </w:rPr>
      </w:pPr>
      <w:r>
        <w:rPr>
          <w:rFonts w:hint="eastAsia" w:ascii="宋体" w:hAnsi="宋体" w:cs="宋体"/>
          <w:b/>
          <w:bCs/>
          <w:color w:val="000000"/>
          <w:szCs w:val="21"/>
          <w:highlight w:val="none"/>
        </w:rPr>
        <w:t xml:space="preserve">4.2 </w:t>
      </w:r>
      <w:r>
        <w:rPr>
          <w:rFonts w:hint="eastAsia" w:ascii="宋体" w:hAnsi="宋体" w:cs="宋体"/>
          <w:szCs w:val="21"/>
          <w:highlight w:val="none"/>
        </w:rPr>
        <w:t>逾期上传的响应文件，采购人将予以拒收。</w:t>
      </w:r>
    </w:p>
    <w:p>
      <w:pPr>
        <w:pStyle w:val="4"/>
        <w:spacing w:line="360" w:lineRule="auto"/>
        <w:ind w:left="0"/>
        <w:jc w:val="left"/>
        <w:rPr>
          <w:b/>
          <w:highlight w:val="none"/>
        </w:rPr>
      </w:pPr>
      <w:bookmarkStart w:id="120" w:name="_Toc10456"/>
      <w:bookmarkStart w:id="121" w:name="_Toc20289"/>
      <w:bookmarkStart w:id="122" w:name="_Toc16927"/>
      <w:bookmarkStart w:id="123" w:name="_Toc13224"/>
      <w:bookmarkStart w:id="124" w:name="_Toc10389"/>
      <w:bookmarkStart w:id="125" w:name="_Toc4316"/>
      <w:bookmarkStart w:id="126" w:name="_Toc7870"/>
      <w:bookmarkStart w:id="127" w:name="_Toc28725"/>
      <w:r>
        <w:rPr>
          <w:rFonts w:hint="eastAsia" w:ascii="宋体" w:hAnsi="宋体" w:cs="宋体"/>
          <w:b/>
          <w:highlight w:val="none"/>
        </w:rPr>
        <w:t>5、联系方式</w:t>
      </w:r>
      <w:bookmarkEnd w:id="118"/>
      <w:bookmarkEnd w:id="119"/>
      <w:bookmarkEnd w:id="120"/>
      <w:bookmarkEnd w:id="121"/>
      <w:bookmarkEnd w:id="122"/>
      <w:bookmarkEnd w:id="123"/>
      <w:bookmarkEnd w:id="124"/>
      <w:bookmarkEnd w:id="125"/>
      <w:bookmarkEnd w:id="126"/>
      <w:bookmarkEnd w:id="127"/>
    </w:p>
    <w:p>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采购人：【】</w:t>
      </w:r>
    </w:p>
    <w:p>
      <w:pPr>
        <w:spacing w:line="360" w:lineRule="auto"/>
        <w:ind w:firstLine="315" w:firstLineChars="150"/>
        <w:rPr>
          <w:rFonts w:hint="eastAsia" w:ascii="宋体" w:hAnsi="宋体" w:cs="宋体"/>
          <w:szCs w:val="21"/>
          <w:highlight w:val="none"/>
        </w:rPr>
      </w:pPr>
      <w:r>
        <w:rPr>
          <w:rFonts w:hint="eastAsia" w:ascii="宋体" w:hAnsi="宋体" w:cs="宋体"/>
          <w:szCs w:val="21"/>
          <w:highlight w:val="none"/>
        </w:rPr>
        <w:t xml:space="preserve"> 地址：【】 </w:t>
      </w:r>
    </w:p>
    <w:p>
      <w:pPr>
        <w:spacing w:line="360" w:lineRule="auto"/>
        <w:rPr>
          <w:rFonts w:hint="eastAsia" w:ascii="宋体" w:hAnsi="宋体" w:cs="宋体"/>
          <w:szCs w:val="21"/>
          <w:highlight w:val="none"/>
        </w:rPr>
      </w:pPr>
      <w:r>
        <w:rPr>
          <w:rFonts w:hint="eastAsia" w:ascii="宋体" w:hAnsi="宋体" w:cs="宋体"/>
          <w:szCs w:val="21"/>
          <w:highlight w:val="none"/>
        </w:rPr>
        <w:t xml:space="preserve">    联系人及联系电话：【】，【】  </w:t>
      </w:r>
    </w:p>
    <w:p>
      <w:pPr>
        <w:pStyle w:val="4"/>
        <w:spacing w:line="360" w:lineRule="auto"/>
        <w:ind w:left="0"/>
        <w:rPr>
          <w:rFonts w:hint="eastAsia" w:ascii="宋体" w:hAnsi="宋体" w:cs="宋体"/>
          <w:b/>
          <w:highlight w:val="none"/>
        </w:rPr>
      </w:pPr>
      <w:bookmarkStart w:id="128" w:name="_Toc11748"/>
      <w:bookmarkStart w:id="129" w:name="_Toc13262"/>
      <w:bookmarkStart w:id="130" w:name="_Toc29613"/>
      <w:bookmarkStart w:id="131" w:name="_Toc19056"/>
      <w:bookmarkStart w:id="132" w:name="_Toc24337"/>
      <w:bookmarkStart w:id="133" w:name="_Toc10022"/>
      <w:bookmarkStart w:id="134" w:name="_Toc71279127"/>
      <w:bookmarkStart w:id="135" w:name="_Toc25759"/>
      <w:bookmarkStart w:id="136" w:name="_Toc21280"/>
      <w:bookmarkStart w:id="137" w:name="_Toc8534"/>
      <w:bookmarkStart w:id="138" w:name="_Toc29256"/>
      <w:bookmarkStart w:id="139" w:name="_Toc22072"/>
      <w:bookmarkStart w:id="140" w:name="_Toc243"/>
      <w:bookmarkStart w:id="141" w:name="_Toc26424"/>
      <w:r>
        <w:rPr>
          <w:rFonts w:hint="eastAsia" w:ascii="宋体" w:hAnsi="宋体" w:cs="宋体"/>
          <w:b/>
          <w:highlight w:val="none"/>
        </w:rPr>
        <w:t>6、澄清、异议、投诉反馈路径</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pPr>
        <w:spacing w:line="360" w:lineRule="auto"/>
        <w:ind w:firstLine="422" w:firstLineChars="200"/>
        <w:rPr>
          <w:rFonts w:hint="eastAsia" w:ascii="宋体" w:hAnsi="宋体" w:cs="宋体"/>
          <w:szCs w:val="21"/>
          <w:highlight w:val="none"/>
        </w:rPr>
      </w:pPr>
      <w:r>
        <w:rPr>
          <w:rFonts w:hint="eastAsia" w:ascii="宋体" w:hAnsi="宋体" w:cs="宋体"/>
          <w:b/>
          <w:bCs/>
          <w:szCs w:val="21"/>
          <w:highlight w:val="none"/>
        </w:rPr>
        <w:t xml:space="preserve">6.1 </w:t>
      </w:r>
      <w:r>
        <w:rPr>
          <w:rFonts w:hint="eastAsia" w:ascii="宋体" w:hAnsi="宋体" w:cs="宋体"/>
          <w:szCs w:val="21"/>
          <w:highlight w:val="none"/>
        </w:rPr>
        <w:t>如供应商对采购文件有疑问，需采购人进行解释说明的，应按照采购文件第二章2.2.1项规定，进入中国南方航空采购招标网采购项目提问区域提出疑问。</w:t>
      </w:r>
    </w:p>
    <w:p>
      <w:pPr>
        <w:spacing w:line="360" w:lineRule="auto"/>
        <w:ind w:firstLine="422" w:firstLineChars="200"/>
        <w:rPr>
          <w:rFonts w:hint="eastAsia" w:ascii="宋体" w:hAnsi="宋体" w:cs="宋体"/>
          <w:szCs w:val="21"/>
          <w:highlight w:val="none"/>
        </w:rPr>
      </w:pPr>
      <w:r>
        <w:rPr>
          <w:rFonts w:hint="eastAsia" w:ascii="宋体" w:hAnsi="宋体" w:cs="宋体"/>
          <w:b/>
          <w:bCs/>
          <w:szCs w:val="21"/>
          <w:highlight w:val="none"/>
        </w:rPr>
        <w:t xml:space="preserve">6.2 </w:t>
      </w:r>
      <w:r>
        <w:rPr>
          <w:rFonts w:hint="eastAsia" w:ascii="宋体" w:hAnsi="宋体" w:cs="宋体"/>
          <w:szCs w:val="21"/>
          <w:highlight w:val="none"/>
        </w:rPr>
        <w:t>如供应商对采购文件有异议的，可在异议有效期内将有效的异议材料书面递交至采购人。</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异议材料唯一受理地址：【】</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采购人联系人：【】</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联系电话：【】</w:t>
      </w:r>
    </w:p>
    <w:p>
      <w:pPr>
        <w:spacing w:line="360" w:lineRule="auto"/>
        <w:ind w:firstLine="422" w:firstLineChars="200"/>
        <w:rPr>
          <w:rFonts w:hint="eastAsia" w:ascii="宋体" w:hAnsi="宋体" w:cs="宋体"/>
          <w:szCs w:val="21"/>
          <w:highlight w:val="none"/>
        </w:rPr>
      </w:pPr>
      <w:r>
        <w:rPr>
          <w:rFonts w:hint="eastAsia" w:ascii="宋体" w:hAnsi="宋体" w:cs="宋体"/>
          <w:b/>
          <w:bCs/>
          <w:szCs w:val="21"/>
          <w:highlight w:val="none"/>
        </w:rPr>
        <w:t xml:space="preserve">6.3 </w:t>
      </w:r>
      <w:r>
        <w:rPr>
          <w:rFonts w:hint="eastAsia" w:ascii="宋体" w:hAnsi="宋体" w:cs="宋体"/>
          <w:szCs w:val="21"/>
          <w:highlight w:val="none"/>
        </w:rPr>
        <w:t>如供应商对异议回复结果不满意，或认为本次采购活动违反法律、法规或规章制度的，可在收到异议回复之日起2个工作日内进行实名投诉。</w:t>
      </w:r>
    </w:p>
    <w:p>
      <w:pPr>
        <w:ind w:firstLine="420" w:firstLineChars="200"/>
        <w:rPr>
          <w:rFonts w:hint="eastAsia" w:ascii="宋体" w:hAnsi="宋体" w:cs="宋体"/>
          <w:szCs w:val="21"/>
          <w:highlight w:val="none"/>
          <w:shd w:val="clear" w:color="auto" w:fill="FFFFFF"/>
        </w:rPr>
      </w:pPr>
      <w:r>
        <w:rPr>
          <w:rFonts w:hint="eastAsia" w:ascii="宋体" w:hAnsi="宋体" w:cs="宋体"/>
          <w:szCs w:val="21"/>
          <w:highlight w:val="none"/>
        </w:rPr>
        <w:t>投诉材料唯一受理部门：【】</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联系地址：【】</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联 系 人：【】</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联系电话：【】</w:t>
      </w:r>
    </w:p>
    <w:p>
      <w:pPr>
        <w:spacing w:line="360" w:lineRule="auto"/>
        <w:ind w:firstLine="422" w:firstLineChars="200"/>
        <w:rPr>
          <w:rFonts w:hint="eastAsia" w:ascii="宋体" w:hAnsi="宋体" w:cs="宋体"/>
          <w:szCs w:val="21"/>
          <w:highlight w:val="none"/>
        </w:rPr>
      </w:pPr>
      <w:r>
        <w:rPr>
          <w:rFonts w:hint="eastAsia" w:ascii="宋体" w:hAnsi="宋体" w:cs="宋体"/>
          <w:b/>
          <w:bCs/>
          <w:szCs w:val="21"/>
          <w:highlight w:val="none"/>
        </w:rPr>
        <w:t xml:space="preserve">6.4 </w:t>
      </w:r>
      <w:r>
        <w:rPr>
          <w:rFonts w:hint="eastAsia" w:ascii="宋体" w:hAnsi="宋体" w:cs="宋体"/>
          <w:szCs w:val="21"/>
          <w:highlight w:val="none"/>
        </w:rPr>
        <w:t>供应商应按照规定的渠道路径维护自身合法利益，且提出内容和提供的相关证明材料应真实、客观、来源合法。调查过程中，若发现供应商有意捏造事实、伪造证明材料、以非法途径取得证明材料，或故意诋毁，造成不良影响的，一经查实，将按照采购人相关规定严肃处理；构成违法犯罪的，依法追究法律责任。</w:t>
      </w:r>
    </w:p>
    <w:p>
      <w:pPr>
        <w:spacing w:line="460" w:lineRule="exact"/>
        <w:ind w:firstLine="420"/>
        <w:rPr>
          <w:highlight w:val="none"/>
        </w:rPr>
      </w:pPr>
    </w:p>
    <w:tbl>
      <w:tblPr>
        <w:tblStyle w:val="25"/>
        <w:tblW w:w="9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3"/>
        <w:gridCol w:w="75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83" w:type="dxa"/>
            <w:vAlign w:val="center"/>
          </w:tcPr>
          <w:p>
            <w:pPr>
              <w:spacing w:line="360" w:lineRule="auto"/>
              <w:jc w:val="center"/>
              <w:rPr>
                <w:rFonts w:hint="eastAsia" w:ascii="宋体" w:hAnsi="宋体" w:cs="宋体"/>
                <w:szCs w:val="21"/>
                <w:highlight w:val="none"/>
              </w:rPr>
            </w:pPr>
            <w:bookmarkStart w:id="142" w:name="_Toc30227"/>
            <w:bookmarkStart w:id="143" w:name="_Toc7818"/>
            <w:bookmarkStart w:id="144" w:name="_Toc28555"/>
            <w:bookmarkStart w:id="145" w:name="_Toc2922"/>
            <w:bookmarkStart w:id="146" w:name="_Toc27400"/>
            <w:bookmarkStart w:id="147" w:name="_Toc2442"/>
            <w:bookmarkStart w:id="148" w:name="_Toc8405"/>
            <w:bookmarkStart w:id="149" w:name="_Toc25009"/>
            <w:bookmarkStart w:id="150" w:name="_Toc22308"/>
            <w:bookmarkStart w:id="151" w:name="_Toc6229"/>
            <w:bookmarkStart w:id="152" w:name="_Toc504657609"/>
            <w:bookmarkStart w:id="153" w:name="_Toc5848"/>
            <w:bookmarkStart w:id="154" w:name="_Toc22962"/>
            <w:bookmarkStart w:id="155" w:name="_Toc504657627"/>
            <w:r>
              <w:rPr>
                <w:rFonts w:hint="eastAsia" w:ascii="宋体" w:hAnsi="宋体" w:cs="宋体"/>
                <w:szCs w:val="21"/>
                <w:highlight w:val="none"/>
              </w:rPr>
              <w:t>阶段</w:t>
            </w:r>
          </w:p>
        </w:tc>
        <w:tc>
          <w:tcPr>
            <w:tcW w:w="7541" w:type="dxa"/>
            <w:vAlign w:val="center"/>
          </w:tcPr>
          <w:p>
            <w:pPr>
              <w:spacing w:line="360" w:lineRule="auto"/>
              <w:ind w:firstLine="420" w:firstLineChars="200"/>
              <w:jc w:val="center"/>
              <w:rPr>
                <w:rFonts w:hint="eastAsia" w:ascii="宋体" w:hAnsi="宋体" w:cs="宋体"/>
                <w:szCs w:val="21"/>
                <w:highlight w:val="none"/>
              </w:rPr>
            </w:pPr>
            <w:r>
              <w:rPr>
                <w:rFonts w:hint="eastAsia" w:ascii="宋体" w:hAnsi="宋体" w:cs="宋体"/>
                <w:szCs w:val="21"/>
                <w:highlight w:val="none"/>
              </w:rPr>
              <w:t>异议有效期时限要求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83" w:type="dxa"/>
            <w:vAlign w:val="center"/>
          </w:tcPr>
          <w:p>
            <w:pPr>
              <w:spacing w:line="360" w:lineRule="auto"/>
              <w:jc w:val="center"/>
              <w:rPr>
                <w:rFonts w:hint="eastAsia" w:ascii="宋体" w:hAnsi="宋体" w:cs="宋体"/>
                <w:szCs w:val="21"/>
                <w:highlight w:val="none"/>
              </w:rPr>
            </w:pPr>
            <w:r>
              <w:rPr>
                <w:rFonts w:hint="eastAsia" w:ascii="宋体" w:hAnsi="宋体" w:cs="宋体"/>
                <w:szCs w:val="21"/>
                <w:highlight w:val="none"/>
              </w:rPr>
              <w:t>资格预审阶段</w:t>
            </w:r>
          </w:p>
        </w:tc>
        <w:tc>
          <w:tcPr>
            <w:tcW w:w="7541" w:type="dxa"/>
            <w:vAlign w:val="center"/>
          </w:tcPr>
          <w:p>
            <w:pPr>
              <w:spacing w:line="360" w:lineRule="auto"/>
              <w:jc w:val="left"/>
              <w:rPr>
                <w:rFonts w:hint="eastAsia" w:ascii="宋体" w:hAnsi="宋体" w:cs="宋体"/>
                <w:szCs w:val="21"/>
                <w:highlight w:val="none"/>
              </w:rPr>
            </w:pPr>
            <w:r>
              <w:rPr>
                <w:rFonts w:hint="eastAsia" w:ascii="宋体" w:hAnsi="宋体" w:cs="宋体"/>
                <w:szCs w:val="21"/>
                <w:highlight w:val="none"/>
              </w:rPr>
              <w:t>截至“资格预审申请文件截止递交日期前”提出异议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83" w:type="dxa"/>
            <w:vMerge w:val="restart"/>
            <w:vAlign w:val="center"/>
          </w:tcPr>
          <w:p>
            <w:pPr>
              <w:spacing w:line="360" w:lineRule="auto"/>
              <w:jc w:val="center"/>
              <w:rPr>
                <w:rFonts w:hint="eastAsia" w:ascii="宋体" w:hAnsi="宋体" w:cs="宋体"/>
                <w:szCs w:val="21"/>
                <w:highlight w:val="none"/>
              </w:rPr>
            </w:pPr>
            <w:r>
              <w:rPr>
                <w:rFonts w:hint="eastAsia" w:ascii="宋体" w:hAnsi="宋体" w:cs="宋体"/>
                <w:szCs w:val="21"/>
                <w:highlight w:val="none"/>
              </w:rPr>
              <w:t>采购文件发布阶段</w:t>
            </w:r>
          </w:p>
        </w:tc>
        <w:tc>
          <w:tcPr>
            <w:tcW w:w="7541" w:type="dxa"/>
            <w:vAlign w:val="center"/>
          </w:tcPr>
          <w:p>
            <w:pPr>
              <w:spacing w:line="360" w:lineRule="auto"/>
              <w:rPr>
                <w:rFonts w:hint="eastAsia" w:ascii="宋体" w:hAnsi="宋体" w:cs="宋体"/>
                <w:szCs w:val="21"/>
                <w:highlight w:val="none"/>
              </w:rPr>
            </w:pPr>
            <w:r>
              <w:rPr>
                <w:rFonts w:hint="eastAsia" w:ascii="宋体" w:hAnsi="宋体" w:cs="宋体"/>
                <w:szCs w:val="21"/>
                <w:highlight w:val="none"/>
              </w:rPr>
              <w:t>（招标采购项目）截至“获取</w:t>
            </w:r>
            <w:r>
              <w:rPr>
                <w:rFonts w:hint="eastAsia"/>
                <w:highlight w:val="none"/>
              </w:rPr>
              <w:t>招标文件时间截止后48小时，或投标截止时间10日前（以较晚的期限为准）”</w:t>
            </w:r>
            <w:r>
              <w:rPr>
                <w:rFonts w:hint="eastAsia" w:ascii="宋体" w:hAnsi="宋体" w:cs="宋体"/>
                <w:szCs w:val="21"/>
                <w:highlight w:val="none"/>
              </w:rPr>
              <w:t>提出异议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83" w:type="dxa"/>
            <w:vMerge w:val="continue"/>
            <w:vAlign w:val="center"/>
          </w:tcPr>
          <w:p>
            <w:pPr>
              <w:spacing w:line="360" w:lineRule="auto"/>
              <w:jc w:val="center"/>
              <w:rPr>
                <w:rFonts w:hint="eastAsia" w:ascii="宋体" w:hAnsi="宋体" w:cs="宋体"/>
                <w:szCs w:val="21"/>
                <w:highlight w:val="none"/>
              </w:rPr>
            </w:pPr>
          </w:p>
        </w:tc>
        <w:tc>
          <w:tcPr>
            <w:tcW w:w="7541" w:type="dxa"/>
            <w:vAlign w:val="center"/>
          </w:tcPr>
          <w:p>
            <w:pPr>
              <w:spacing w:line="360" w:lineRule="auto"/>
              <w:jc w:val="left"/>
              <w:rPr>
                <w:rFonts w:hint="eastAsia" w:ascii="宋体" w:hAnsi="宋体" w:cs="宋体"/>
                <w:szCs w:val="21"/>
                <w:highlight w:val="none"/>
              </w:rPr>
            </w:pPr>
            <w:r>
              <w:rPr>
                <w:rFonts w:hint="eastAsia" w:ascii="宋体" w:hAnsi="宋体" w:cs="宋体"/>
                <w:szCs w:val="21"/>
                <w:highlight w:val="none"/>
              </w:rPr>
              <w:t>（非招标采购项目）截至“</w:t>
            </w:r>
            <w:r>
              <w:rPr>
                <w:rFonts w:hint="eastAsia"/>
                <w:highlight w:val="none"/>
              </w:rPr>
              <w:t>递交响应文件截止时间前24小时”</w:t>
            </w:r>
            <w:r>
              <w:rPr>
                <w:rFonts w:hint="eastAsia" w:ascii="宋体" w:hAnsi="宋体" w:cs="宋体"/>
                <w:szCs w:val="21"/>
                <w:highlight w:val="none"/>
              </w:rPr>
              <w:t>提出异议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83" w:type="dxa"/>
            <w:vAlign w:val="center"/>
          </w:tcPr>
          <w:p>
            <w:pPr>
              <w:spacing w:line="360" w:lineRule="auto"/>
              <w:jc w:val="center"/>
              <w:rPr>
                <w:rFonts w:hint="eastAsia" w:ascii="宋体" w:hAnsi="宋体" w:cs="宋体"/>
                <w:szCs w:val="21"/>
                <w:highlight w:val="none"/>
              </w:rPr>
            </w:pPr>
            <w:r>
              <w:rPr>
                <w:rFonts w:hint="eastAsia" w:ascii="宋体" w:hAnsi="宋体" w:cs="宋体"/>
                <w:szCs w:val="21"/>
                <w:highlight w:val="none"/>
              </w:rPr>
              <w:t>评审结果公示阶段</w:t>
            </w:r>
          </w:p>
        </w:tc>
        <w:tc>
          <w:tcPr>
            <w:tcW w:w="7541" w:type="dxa"/>
            <w:vAlign w:val="center"/>
          </w:tcPr>
          <w:p>
            <w:pPr>
              <w:spacing w:line="360" w:lineRule="auto"/>
              <w:jc w:val="left"/>
              <w:rPr>
                <w:rFonts w:hint="eastAsia" w:ascii="宋体" w:hAnsi="宋体" w:cs="宋体"/>
                <w:szCs w:val="21"/>
                <w:highlight w:val="none"/>
              </w:rPr>
            </w:pPr>
            <w:r>
              <w:rPr>
                <w:rFonts w:hint="eastAsia" w:ascii="宋体" w:hAnsi="宋体" w:cs="宋体"/>
                <w:szCs w:val="21"/>
                <w:highlight w:val="none"/>
              </w:rPr>
              <w:t>截至“评审公示期内”提出异议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4" w:type="dxa"/>
            <w:gridSpan w:val="2"/>
            <w:vAlign w:val="center"/>
          </w:tcPr>
          <w:p>
            <w:pPr>
              <w:spacing w:line="360" w:lineRule="auto"/>
              <w:jc w:val="center"/>
              <w:rPr>
                <w:rFonts w:hint="eastAsia" w:ascii="宋体" w:hAnsi="宋体" w:cs="宋体"/>
                <w:szCs w:val="21"/>
                <w:highlight w:val="none"/>
              </w:rPr>
            </w:pPr>
            <w:r>
              <w:rPr>
                <w:rFonts w:hint="eastAsia" w:ascii="宋体" w:hAnsi="宋体" w:cs="宋体"/>
                <w:szCs w:val="21"/>
                <w:highlight w:val="none"/>
              </w:rPr>
              <w:t>澄清、异议、投诉具体要求详见谈判文件第六章“响应文件格式”中《澄清/异议/投诉承诺及程序指引》</w:t>
            </w:r>
          </w:p>
        </w:tc>
      </w:tr>
    </w:tbl>
    <w:p>
      <w:pPr>
        <w:spacing w:before="156" w:beforeLines="50" w:after="156" w:afterLines="50" w:line="360" w:lineRule="auto"/>
        <w:jc w:val="center"/>
        <w:outlineLvl w:val="0"/>
        <w:rPr>
          <w:rStyle w:val="38"/>
          <w:highlight w:val="none"/>
        </w:rPr>
      </w:pPr>
      <w:r>
        <w:rPr>
          <w:rStyle w:val="38"/>
          <w:rFonts w:hint="eastAsia"/>
          <w:highlight w:val="none"/>
        </w:rPr>
        <w:br w:type="page"/>
      </w:r>
      <w:bookmarkStart w:id="156" w:name="_Toc7211"/>
      <w:bookmarkStart w:id="157" w:name="_Toc15430"/>
      <w:bookmarkStart w:id="158" w:name="_Toc26924"/>
      <w:bookmarkStart w:id="159" w:name="_Toc6028"/>
      <w:bookmarkStart w:id="160" w:name="_Toc8243"/>
      <w:r>
        <w:rPr>
          <w:rStyle w:val="38"/>
          <w:rFonts w:hint="eastAsia"/>
          <w:highlight w:val="none"/>
        </w:rPr>
        <w:t>第二章  供应商须知</w:t>
      </w:r>
      <w:bookmarkEnd w:id="156"/>
    </w:p>
    <w:bookmarkEnd w:id="142"/>
    <w:bookmarkEnd w:id="143"/>
    <w:bookmarkEnd w:id="144"/>
    <w:bookmarkEnd w:id="145"/>
    <w:bookmarkEnd w:id="157"/>
    <w:bookmarkEnd w:id="158"/>
    <w:bookmarkEnd w:id="159"/>
    <w:bookmarkEnd w:id="160"/>
    <w:p>
      <w:pPr>
        <w:pStyle w:val="4"/>
        <w:spacing w:line="360" w:lineRule="auto"/>
        <w:ind w:left="0"/>
        <w:jc w:val="left"/>
        <w:rPr>
          <w:b/>
          <w:highlight w:val="none"/>
        </w:rPr>
      </w:pPr>
      <w:bookmarkStart w:id="161" w:name="_Toc24125"/>
      <w:bookmarkStart w:id="162" w:name="_Toc29046"/>
      <w:bookmarkStart w:id="163" w:name="_Toc7679"/>
      <w:bookmarkStart w:id="164" w:name="_Toc27562"/>
      <w:bookmarkStart w:id="165" w:name="_Toc2795"/>
      <w:bookmarkStart w:id="166" w:name="_Toc28526"/>
      <w:bookmarkStart w:id="167" w:name="_Toc3510"/>
      <w:bookmarkStart w:id="168" w:name="_Toc7358"/>
      <w:bookmarkStart w:id="169" w:name="_Toc5503"/>
      <w:bookmarkStart w:id="170" w:name="_Toc28752"/>
      <w:r>
        <w:rPr>
          <w:rFonts w:hint="eastAsia" w:ascii="宋体" w:hAnsi="宋体" w:cs="宋体"/>
          <w:b/>
          <w:highlight w:val="none"/>
        </w:rPr>
        <w:t>1、</w:t>
      </w:r>
      <w:r>
        <w:rPr>
          <w:rFonts w:hint="eastAsia"/>
          <w:b/>
          <w:highlight w:val="none"/>
        </w:rPr>
        <w:t>总则</w:t>
      </w:r>
      <w:bookmarkEnd w:id="161"/>
      <w:bookmarkEnd w:id="162"/>
      <w:bookmarkEnd w:id="163"/>
      <w:bookmarkEnd w:id="164"/>
      <w:bookmarkEnd w:id="165"/>
      <w:bookmarkEnd w:id="166"/>
      <w:bookmarkEnd w:id="167"/>
      <w:bookmarkEnd w:id="168"/>
      <w:bookmarkEnd w:id="169"/>
      <w:bookmarkEnd w:id="170"/>
    </w:p>
    <w:p>
      <w:pPr>
        <w:spacing w:line="360" w:lineRule="auto"/>
        <w:ind w:firstLine="241" w:firstLineChars="100"/>
        <w:rPr>
          <w:rFonts w:hint="eastAsia" w:ascii="宋体" w:hAnsi="宋体"/>
          <w:b/>
          <w:sz w:val="28"/>
          <w:highlight w:val="none"/>
        </w:rPr>
      </w:pPr>
      <w:r>
        <w:rPr>
          <w:rFonts w:ascii="宋体" w:hAnsi="宋体"/>
          <w:b/>
          <w:sz w:val="24"/>
          <w:highlight w:val="none"/>
        </w:rPr>
        <w:t xml:space="preserve">1.1 </w:t>
      </w:r>
      <w:r>
        <w:rPr>
          <w:rFonts w:hint="eastAsia" w:ascii="宋体" w:hAnsi="宋体"/>
          <w:b/>
          <w:sz w:val="24"/>
          <w:highlight w:val="none"/>
        </w:rPr>
        <w:t>供应商知悉</w:t>
      </w:r>
    </w:p>
    <w:p>
      <w:pPr>
        <w:spacing w:line="360" w:lineRule="auto"/>
        <w:ind w:firstLine="422" w:firstLineChars="200"/>
        <w:rPr>
          <w:rFonts w:hint="eastAsia" w:ascii="宋体" w:hAnsi="宋体"/>
          <w:bCs/>
          <w:highlight w:val="none"/>
        </w:rPr>
      </w:pPr>
      <w:r>
        <w:rPr>
          <w:rFonts w:ascii="宋体" w:hAnsi="宋体"/>
          <w:b/>
          <w:highlight w:val="none"/>
        </w:rPr>
        <w:t>1.1.1</w:t>
      </w:r>
      <w:r>
        <w:rPr>
          <w:rFonts w:ascii="宋体" w:hAnsi="宋体"/>
          <w:highlight w:val="none"/>
        </w:rPr>
        <w:t xml:space="preserve"> </w:t>
      </w:r>
      <w:r>
        <w:rPr>
          <w:rFonts w:hint="eastAsia" w:ascii="宋体" w:hAnsi="宋体"/>
          <w:bCs/>
          <w:highlight w:val="none"/>
        </w:rPr>
        <w:t>凡响应本次谈判的供应商均被视为已充分认识和理解了任何与本项目有关的影响事项和困难等情况。</w:t>
      </w:r>
    </w:p>
    <w:p>
      <w:pPr>
        <w:spacing w:line="360" w:lineRule="auto"/>
        <w:ind w:firstLine="422" w:firstLineChars="200"/>
        <w:rPr>
          <w:rFonts w:hint="eastAsia" w:ascii="宋体" w:hAnsi="宋体"/>
          <w:bCs/>
          <w:highlight w:val="none"/>
        </w:rPr>
      </w:pPr>
      <w:r>
        <w:rPr>
          <w:rFonts w:ascii="宋体" w:hAnsi="宋体"/>
          <w:b/>
          <w:highlight w:val="none"/>
        </w:rPr>
        <w:t>1.1.2</w:t>
      </w:r>
      <w:r>
        <w:rPr>
          <w:highlight w:val="none"/>
        </w:rPr>
        <w:t xml:space="preserve"> </w:t>
      </w:r>
      <w:r>
        <w:rPr>
          <w:rFonts w:hint="eastAsia" w:ascii="宋体" w:hAnsi="宋体"/>
          <w:bCs/>
          <w:highlight w:val="none"/>
        </w:rPr>
        <w:t>供应商应对所有的采购内容进行报价，不允许只对其中部分内容</w:t>
      </w:r>
      <w:r>
        <w:rPr>
          <w:rFonts w:hint="eastAsia" w:ascii="宋体" w:hAnsi="宋体"/>
          <w:highlight w:val="none"/>
        </w:rPr>
        <w:t>进行</w:t>
      </w:r>
      <w:r>
        <w:rPr>
          <w:rFonts w:hint="eastAsia" w:ascii="宋体" w:hAnsi="宋体"/>
          <w:bCs/>
          <w:highlight w:val="none"/>
        </w:rPr>
        <w:t>报价，否则视为无效报价。</w:t>
      </w:r>
    </w:p>
    <w:p>
      <w:pPr>
        <w:spacing w:line="360" w:lineRule="auto"/>
        <w:ind w:firstLine="422" w:firstLineChars="200"/>
        <w:rPr>
          <w:rFonts w:hint="eastAsia" w:ascii="宋体" w:hAnsi="宋体"/>
          <w:bCs/>
          <w:highlight w:val="none"/>
        </w:rPr>
      </w:pPr>
      <w:r>
        <w:rPr>
          <w:rFonts w:hint="eastAsia" w:ascii="宋体" w:hAnsi="宋体"/>
          <w:b/>
          <w:highlight w:val="none"/>
        </w:rPr>
        <w:t xml:space="preserve">1.1.3 </w:t>
      </w:r>
      <w:r>
        <w:rPr>
          <w:rFonts w:hint="eastAsia" w:ascii="宋体" w:hAnsi="宋体"/>
          <w:bCs/>
          <w:highlight w:val="none"/>
        </w:rPr>
        <w:t>供应商应保证提交给采购人的响应文件（含有关资料和数据）的合法性、真实性、完整性。</w:t>
      </w:r>
    </w:p>
    <w:p>
      <w:pPr>
        <w:spacing w:line="360" w:lineRule="auto"/>
        <w:ind w:firstLine="422" w:firstLineChars="200"/>
        <w:rPr>
          <w:rFonts w:hint="eastAsia" w:ascii="宋体" w:hAnsi="宋体"/>
          <w:b/>
          <w:highlight w:val="none"/>
        </w:rPr>
      </w:pPr>
      <w:r>
        <w:rPr>
          <w:rFonts w:hint="eastAsia" w:ascii="宋体" w:hAnsi="宋体"/>
          <w:b/>
          <w:highlight w:val="none"/>
        </w:rPr>
        <w:t xml:space="preserve">1.1.4 </w:t>
      </w:r>
      <w:r>
        <w:rPr>
          <w:rFonts w:hint="eastAsia" w:ascii="宋体" w:hAnsi="宋体"/>
          <w:bCs/>
          <w:highlight w:val="none"/>
        </w:rPr>
        <w:t>采购人有权拒绝向未成交的供应商解释未成交的理由。</w:t>
      </w:r>
    </w:p>
    <w:p>
      <w:pPr>
        <w:spacing w:line="360" w:lineRule="auto"/>
        <w:ind w:firstLine="241" w:firstLineChars="100"/>
        <w:rPr>
          <w:rFonts w:hint="eastAsia" w:ascii="宋体" w:hAnsi="宋体"/>
          <w:b/>
          <w:sz w:val="28"/>
          <w:highlight w:val="none"/>
        </w:rPr>
      </w:pPr>
      <w:r>
        <w:rPr>
          <w:rFonts w:ascii="宋体" w:hAnsi="宋体"/>
          <w:b/>
          <w:sz w:val="24"/>
          <w:highlight w:val="none"/>
        </w:rPr>
        <w:t xml:space="preserve">1.2 </w:t>
      </w:r>
      <w:r>
        <w:rPr>
          <w:rFonts w:hint="eastAsia" w:ascii="宋体" w:hAnsi="宋体"/>
          <w:b/>
          <w:sz w:val="24"/>
          <w:highlight w:val="none"/>
        </w:rPr>
        <w:t>采购项目的资金来源和落实情况</w:t>
      </w:r>
    </w:p>
    <w:p>
      <w:pPr>
        <w:spacing w:line="360" w:lineRule="auto"/>
        <w:ind w:firstLine="422" w:firstLineChars="200"/>
        <w:rPr>
          <w:rFonts w:hint="eastAsia" w:ascii="宋体" w:hAnsi="宋体"/>
          <w:highlight w:val="none"/>
        </w:rPr>
      </w:pPr>
      <w:r>
        <w:rPr>
          <w:rFonts w:ascii="宋体" w:hAnsi="宋体"/>
          <w:b/>
          <w:highlight w:val="none"/>
        </w:rPr>
        <w:t>1.2.1</w:t>
      </w:r>
      <w:r>
        <w:rPr>
          <w:highlight w:val="none"/>
        </w:rPr>
        <w:t xml:space="preserve"> </w:t>
      </w:r>
      <w:r>
        <w:rPr>
          <w:rFonts w:ascii="宋体" w:hAnsi="宋体"/>
          <w:highlight w:val="none"/>
        </w:rPr>
        <w:t>资金来源及比例：</w:t>
      </w:r>
      <w:r>
        <w:rPr>
          <w:rFonts w:hint="eastAsia" w:ascii="宋体" w:hAnsi="宋体"/>
          <w:highlight w:val="none"/>
        </w:rPr>
        <w:t>企业自筹资金</w:t>
      </w:r>
      <w:r>
        <w:rPr>
          <w:rFonts w:ascii="宋体" w:hAnsi="宋体"/>
          <w:highlight w:val="none"/>
        </w:rPr>
        <w:t>。</w:t>
      </w:r>
    </w:p>
    <w:p>
      <w:pPr>
        <w:spacing w:line="360" w:lineRule="auto"/>
        <w:ind w:firstLine="422" w:firstLineChars="200"/>
        <w:rPr>
          <w:rFonts w:hint="eastAsia" w:ascii="宋体" w:hAnsi="宋体"/>
          <w:highlight w:val="none"/>
        </w:rPr>
      </w:pPr>
      <w:r>
        <w:rPr>
          <w:rFonts w:ascii="宋体" w:hAnsi="宋体"/>
          <w:b/>
          <w:highlight w:val="none"/>
        </w:rPr>
        <w:t xml:space="preserve">1.2.2 </w:t>
      </w:r>
      <w:r>
        <w:rPr>
          <w:rFonts w:ascii="宋体" w:hAnsi="宋体"/>
          <w:highlight w:val="none"/>
        </w:rPr>
        <w:t>资金落实情况：</w:t>
      </w:r>
      <w:r>
        <w:rPr>
          <w:rFonts w:hint="eastAsia" w:ascii="宋体" w:hAnsi="宋体"/>
          <w:highlight w:val="none"/>
        </w:rPr>
        <w:t>已落实</w:t>
      </w:r>
      <w:r>
        <w:rPr>
          <w:rFonts w:ascii="宋体" w:hAnsi="宋体"/>
          <w:highlight w:val="none"/>
        </w:rPr>
        <w:t>。</w:t>
      </w:r>
    </w:p>
    <w:p>
      <w:pPr>
        <w:spacing w:line="360" w:lineRule="auto"/>
        <w:ind w:firstLine="241" w:firstLineChars="100"/>
        <w:rPr>
          <w:rFonts w:hint="eastAsia" w:ascii="宋体" w:hAnsi="宋体"/>
          <w:b/>
          <w:sz w:val="24"/>
          <w:highlight w:val="none"/>
        </w:rPr>
      </w:pPr>
      <w:r>
        <w:rPr>
          <w:rFonts w:hint="eastAsia" w:ascii="宋体" w:hAnsi="宋体"/>
          <w:b/>
          <w:sz w:val="24"/>
          <w:highlight w:val="none"/>
        </w:rPr>
        <w:t>1.3 供应商资格要求</w:t>
      </w:r>
    </w:p>
    <w:p>
      <w:pPr>
        <w:spacing w:line="360" w:lineRule="auto"/>
        <w:ind w:firstLine="422" w:firstLineChars="200"/>
        <w:rPr>
          <w:rFonts w:hint="eastAsia" w:ascii="宋体" w:hAnsi="宋体"/>
          <w:highlight w:val="none"/>
        </w:rPr>
      </w:pPr>
      <w:r>
        <w:rPr>
          <w:rFonts w:ascii="宋体" w:hAnsi="宋体"/>
          <w:b/>
          <w:highlight w:val="none"/>
        </w:rPr>
        <w:t>1.</w:t>
      </w:r>
      <w:r>
        <w:rPr>
          <w:rFonts w:hint="eastAsia" w:ascii="宋体" w:hAnsi="宋体"/>
          <w:b/>
          <w:highlight w:val="none"/>
        </w:rPr>
        <w:t>3</w:t>
      </w:r>
      <w:r>
        <w:rPr>
          <w:rFonts w:ascii="宋体" w:hAnsi="宋体"/>
          <w:b/>
          <w:highlight w:val="none"/>
        </w:rPr>
        <w:t>.1</w:t>
      </w:r>
      <w:r>
        <w:rPr>
          <w:highlight w:val="none"/>
        </w:rPr>
        <w:t xml:space="preserve"> </w:t>
      </w:r>
      <w:r>
        <w:rPr>
          <w:rFonts w:hint="eastAsia" w:ascii="宋体" w:hAnsi="宋体"/>
          <w:highlight w:val="none"/>
        </w:rPr>
        <w:t>供应商</w:t>
      </w:r>
      <w:r>
        <w:rPr>
          <w:rFonts w:ascii="宋体" w:hAnsi="宋体"/>
          <w:highlight w:val="none"/>
        </w:rPr>
        <w:t>应</w:t>
      </w:r>
      <w:r>
        <w:rPr>
          <w:rFonts w:hint="eastAsia" w:ascii="宋体" w:hAnsi="宋体"/>
          <w:highlight w:val="none"/>
        </w:rPr>
        <w:t>完全</w:t>
      </w:r>
      <w:r>
        <w:rPr>
          <w:rFonts w:ascii="宋体" w:hAnsi="宋体"/>
          <w:highlight w:val="none"/>
        </w:rPr>
        <w:t>具备承担本</w:t>
      </w:r>
      <w:r>
        <w:rPr>
          <w:rFonts w:hint="eastAsia" w:ascii="宋体" w:hAnsi="宋体"/>
          <w:highlight w:val="none"/>
        </w:rPr>
        <w:t>采购项目的</w:t>
      </w:r>
      <w:r>
        <w:rPr>
          <w:rFonts w:ascii="宋体" w:hAnsi="宋体"/>
          <w:highlight w:val="none"/>
        </w:rPr>
        <w:t>资质条件、能力和信誉：见</w:t>
      </w:r>
      <w:r>
        <w:rPr>
          <w:rFonts w:hint="eastAsia" w:ascii="宋体" w:hAnsi="宋体"/>
          <w:highlight w:val="none"/>
        </w:rPr>
        <w:t>谈判公告“供应商资格要求”。如允许货物类项目供应商</w:t>
      </w:r>
      <w:r>
        <w:rPr>
          <w:rFonts w:ascii="宋体" w:hAnsi="宋体"/>
          <w:highlight w:val="none"/>
        </w:rPr>
        <w:t>为代理经销商的，对</w:t>
      </w:r>
      <w:r>
        <w:rPr>
          <w:rFonts w:hint="eastAsia" w:ascii="宋体" w:hAnsi="宋体"/>
          <w:highlight w:val="none"/>
        </w:rPr>
        <w:t>供应商</w:t>
      </w:r>
      <w:r>
        <w:rPr>
          <w:rFonts w:ascii="宋体" w:hAnsi="宋体"/>
          <w:highlight w:val="none"/>
        </w:rPr>
        <w:t>的资质要求包含对制造商的资质要求</w:t>
      </w:r>
      <w:r>
        <w:rPr>
          <w:rFonts w:hint="eastAsia" w:ascii="宋体" w:hAnsi="宋体"/>
          <w:highlight w:val="none"/>
        </w:rPr>
        <w:t>。</w:t>
      </w:r>
    </w:p>
    <w:p>
      <w:pPr>
        <w:spacing w:line="360" w:lineRule="auto"/>
        <w:ind w:firstLine="422" w:firstLineChars="200"/>
        <w:rPr>
          <w:rFonts w:hint="eastAsia" w:ascii="宋体" w:hAnsi="宋体"/>
          <w:highlight w:val="none"/>
        </w:rPr>
      </w:pPr>
      <w:r>
        <w:rPr>
          <w:rFonts w:ascii="宋体" w:hAnsi="宋体"/>
          <w:b/>
          <w:highlight w:val="none"/>
        </w:rPr>
        <w:t>1.</w:t>
      </w:r>
      <w:r>
        <w:rPr>
          <w:rFonts w:hint="eastAsia" w:ascii="宋体" w:hAnsi="宋体"/>
          <w:b/>
          <w:highlight w:val="none"/>
        </w:rPr>
        <w:t>3</w:t>
      </w:r>
      <w:r>
        <w:rPr>
          <w:rFonts w:ascii="宋体" w:hAnsi="宋体"/>
          <w:b/>
          <w:highlight w:val="none"/>
        </w:rPr>
        <w:t>.</w:t>
      </w:r>
      <w:r>
        <w:rPr>
          <w:rFonts w:hint="eastAsia" w:ascii="宋体" w:hAnsi="宋体"/>
          <w:b/>
          <w:highlight w:val="none"/>
        </w:rPr>
        <w:t>2</w:t>
      </w:r>
      <w:r>
        <w:rPr>
          <w:highlight w:val="none"/>
        </w:rPr>
        <w:t xml:space="preserve"> </w:t>
      </w:r>
      <w:r>
        <w:rPr>
          <w:rFonts w:hint="eastAsia" w:ascii="宋体" w:hAnsi="宋体"/>
          <w:highlight w:val="none"/>
        </w:rPr>
        <w:t>供应商</w:t>
      </w:r>
      <w:r>
        <w:rPr>
          <w:rFonts w:ascii="宋体" w:hAnsi="宋体"/>
          <w:highlight w:val="none"/>
        </w:rPr>
        <w:t>不得存在</w:t>
      </w:r>
      <w:r>
        <w:rPr>
          <w:rFonts w:hint="eastAsia" w:ascii="宋体" w:hAnsi="宋体"/>
          <w:highlight w:val="none"/>
        </w:rPr>
        <w:t>违反</w:t>
      </w:r>
      <w:r>
        <w:rPr>
          <w:rFonts w:ascii="宋体" w:hAnsi="宋体"/>
          <w:highlight w:val="none"/>
        </w:rPr>
        <w:t>法律</w:t>
      </w:r>
      <w:r>
        <w:rPr>
          <w:rFonts w:hint="eastAsia" w:ascii="宋体" w:hAnsi="宋体"/>
          <w:highlight w:val="none"/>
        </w:rPr>
        <w:t>、</w:t>
      </w:r>
      <w:r>
        <w:rPr>
          <w:rFonts w:ascii="宋体" w:hAnsi="宋体"/>
          <w:highlight w:val="none"/>
        </w:rPr>
        <w:t>法规</w:t>
      </w:r>
      <w:r>
        <w:rPr>
          <w:rFonts w:hint="eastAsia" w:ascii="宋体" w:hAnsi="宋体"/>
          <w:highlight w:val="none"/>
        </w:rPr>
        <w:t>、行政规章</w:t>
      </w:r>
      <w:r>
        <w:rPr>
          <w:rFonts w:ascii="宋体" w:hAnsi="宋体"/>
          <w:highlight w:val="none"/>
        </w:rPr>
        <w:t>或</w:t>
      </w:r>
      <w:r>
        <w:rPr>
          <w:rFonts w:hint="eastAsia" w:ascii="宋体" w:hAnsi="宋体"/>
          <w:highlight w:val="none"/>
        </w:rPr>
        <w:t>谈判文件中规定</w:t>
      </w:r>
      <w:r>
        <w:rPr>
          <w:rFonts w:ascii="宋体" w:hAnsi="宋体"/>
          <w:highlight w:val="none"/>
        </w:rPr>
        <w:t>的其他情形。</w:t>
      </w:r>
    </w:p>
    <w:p>
      <w:pPr>
        <w:spacing w:line="360" w:lineRule="auto"/>
        <w:ind w:firstLine="241" w:firstLineChars="100"/>
        <w:rPr>
          <w:rFonts w:hint="eastAsia" w:ascii="黑体" w:hAnsi="黑体" w:eastAsia="黑体"/>
          <w:sz w:val="24"/>
          <w:highlight w:val="none"/>
        </w:rPr>
      </w:pPr>
      <w:r>
        <w:rPr>
          <w:rFonts w:ascii="宋体" w:hAnsi="宋体"/>
          <w:b/>
          <w:sz w:val="24"/>
          <w:highlight w:val="none"/>
        </w:rPr>
        <w:t>1.</w:t>
      </w:r>
      <w:r>
        <w:rPr>
          <w:rFonts w:hint="eastAsia" w:ascii="宋体" w:hAnsi="宋体"/>
          <w:b/>
          <w:sz w:val="24"/>
          <w:highlight w:val="none"/>
        </w:rPr>
        <w:t>4</w:t>
      </w:r>
      <w:r>
        <w:rPr>
          <w:rFonts w:ascii="宋体" w:hAnsi="宋体"/>
          <w:b/>
          <w:sz w:val="24"/>
          <w:highlight w:val="none"/>
        </w:rPr>
        <w:t xml:space="preserve"> 费用承担</w:t>
      </w:r>
    </w:p>
    <w:p>
      <w:pPr>
        <w:spacing w:line="360" w:lineRule="auto"/>
        <w:ind w:firstLine="420" w:firstLineChars="200"/>
        <w:rPr>
          <w:rFonts w:hint="eastAsia" w:ascii="宋体" w:hAnsi="宋体"/>
          <w:highlight w:val="none"/>
        </w:rPr>
      </w:pPr>
      <w:r>
        <w:rPr>
          <w:rFonts w:hint="eastAsia" w:ascii="宋体" w:hAnsi="宋体"/>
          <w:bCs/>
          <w:highlight w:val="none"/>
        </w:rPr>
        <w:t>供应商应承担所有与其参加谈判有关的全部费用，不论谈判的结果如何，采购人在任何情况下均无义务和责任承担这些费用。</w:t>
      </w:r>
    </w:p>
    <w:p>
      <w:pPr>
        <w:spacing w:line="360" w:lineRule="auto"/>
        <w:ind w:firstLine="241" w:firstLineChars="100"/>
        <w:rPr>
          <w:rFonts w:hint="eastAsia" w:ascii="黑体" w:hAnsi="黑体" w:eastAsia="黑体"/>
          <w:sz w:val="28"/>
          <w:highlight w:val="none"/>
        </w:rPr>
      </w:pPr>
      <w:r>
        <w:rPr>
          <w:rFonts w:ascii="宋体" w:hAnsi="宋体"/>
          <w:b/>
          <w:sz w:val="24"/>
          <w:highlight w:val="none"/>
        </w:rPr>
        <w:t>1.</w:t>
      </w:r>
      <w:r>
        <w:rPr>
          <w:rFonts w:hint="eastAsia" w:ascii="宋体" w:hAnsi="宋体"/>
          <w:b/>
          <w:sz w:val="24"/>
          <w:highlight w:val="none"/>
        </w:rPr>
        <w:t>5</w:t>
      </w:r>
      <w:r>
        <w:rPr>
          <w:rFonts w:ascii="宋体" w:hAnsi="宋体"/>
          <w:b/>
          <w:sz w:val="24"/>
          <w:highlight w:val="none"/>
        </w:rPr>
        <w:t xml:space="preserve"> 保密</w:t>
      </w:r>
    </w:p>
    <w:p>
      <w:pPr>
        <w:spacing w:line="360" w:lineRule="auto"/>
        <w:ind w:firstLine="420" w:firstLineChars="200"/>
        <w:rPr>
          <w:rFonts w:hint="eastAsia" w:ascii="宋体" w:hAnsi="宋体"/>
          <w:highlight w:val="none"/>
        </w:rPr>
      </w:pPr>
      <w:r>
        <w:rPr>
          <w:rFonts w:ascii="宋体" w:hAnsi="宋体"/>
          <w:highlight w:val="none"/>
        </w:rPr>
        <w:t>参与</w:t>
      </w:r>
      <w:r>
        <w:rPr>
          <w:rFonts w:hint="eastAsia" w:ascii="宋体" w:hAnsi="宋体"/>
          <w:highlight w:val="none"/>
        </w:rPr>
        <w:t>谈判</w:t>
      </w:r>
      <w:r>
        <w:rPr>
          <w:rFonts w:ascii="宋体" w:hAnsi="宋体"/>
          <w:highlight w:val="none"/>
        </w:rPr>
        <w:t>活动的各方应对</w:t>
      </w:r>
      <w:r>
        <w:rPr>
          <w:rFonts w:hint="eastAsia" w:ascii="宋体" w:hAnsi="宋体"/>
          <w:highlight w:val="none"/>
        </w:rPr>
        <w:t>谈判文件</w:t>
      </w:r>
      <w:r>
        <w:rPr>
          <w:rFonts w:ascii="宋体" w:hAnsi="宋体"/>
          <w:highlight w:val="none"/>
        </w:rPr>
        <w:t>和</w:t>
      </w:r>
      <w:r>
        <w:rPr>
          <w:rFonts w:hint="eastAsia" w:ascii="宋体" w:hAnsi="宋体"/>
          <w:highlight w:val="none"/>
        </w:rPr>
        <w:t>响应文件</w:t>
      </w:r>
      <w:r>
        <w:rPr>
          <w:rFonts w:ascii="宋体" w:hAnsi="宋体"/>
          <w:highlight w:val="none"/>
        </w:rPr>
        <w:t>中的商业和技术等</w:t>
      </w:r>
      <w:r>
        <w:rPr>
          <w:rFonts w:hint="eastAsia" w:ascii="宋体" w:hAnsi="宋体"/>
          <w:highlight w:val="none"/>
        </w:rPr>
        <w:t>信息</w:t>
      </w:r>
      <w:r>
        <w:rPr>
          <w:rFonts w:ascii="宋体" w:hAnsi="宋体"/>
          <w:highlight w:val="none"/>
        </w:rPr>
        <w:t>保密，否则应承担相应的法律责任</w:t>
      </w:r>
      <w:r>
        <w:rPr>
          <w:rFonts w:hint="eastAsia" w:ascii="宋体" w:hAnsi="宋体"/>
          <w:highlight w:val="none"/>
        </w:rPr>
        <w:t>，赔偿因此引起的一切损失</w:t>
      </w:r>
      <w:r>
        <w:rPr>
          <w:rFonts w:ascii="宋体" w:hAnsi="宋体"/>
          <w:highlight w:val="none"/>
        </w:rPr>
        <w:t>。</w:t>
      </w:r>
      <w:r>
        <w:rPr>
          <w:rFonts w:hint="eastAsia"/>
          <w:highlight w:val="none"/>
        </w:rPr>
        <w:t>除法律及采购文件另有规定外，采购人有权对响应文件的评审和比较情况、成交候选供应商的具体推荐情况以及与评审有关的其他情况予以保密。</w:t>
      </w:r>
    </w:p>
    <w:p>
      <w:pPr>
        <w:spacing w:line="360" w:lineRule="auto"/>
        <w:ind w:firstLine="241" w:firstLineChars="100"/>
        <w:rPr>
          <w:rFonts w:hint="eastAsia" w:ascii="黑体" w:hAnsi="黑体" w:eastAsia="黑体"/>
          <w:sz w:val="28"/>
          <w:highlight w:val="none"/>
        </w:rPr>
      </w:pPr>
      <w:r>
        <w:rPr>
          <w:rFonts w:ascii="宋体" w:hAnsi="宋体"/>
          <w:b/>
          <w:sz w:val="24"/>
          <w:highlight w:val="none"/>
        </w:rPr>
        <w:t>1.</w:t>
      </w:r>
      <w:r>
        <w:rPr>
          <w:rFonts w:hint="eastAsia" w:ascii="宋体" w:hAnsi="宋体"/>
          <w:b/>
          <w:sz w:val="24"/>
          <w:highlight w:val="none"/>
        </w:rPr>
        <w:t>6</w:t>
      </w:r>
      <w:r>
        <w:rPr>
          <w:rFonts w:ascii="宋体" w:hAnsi="宋体"/>
          <w:b/>
          <w:sz w:val="24"/>
          <w:highlight w:val="none"/>
        </w:rPr>
        <w:t xml:space="preserve"> 语言文字</w:t>
      </w:r>
    </w:p>
    <w:p>
      <w:pPr>
        <w:spacing w:line="360" w:lineRule="auto"/>
        <w:ind w:firstLine="420" w:firstLineChars="200"/>
        <w:rPr>
          <w:rFonts w:hint="eastAsia" w:ascii="宋体" w:hAnsi="宋体"/>
          <w:highlight w:val="none"/>
        </w:rPr>
      </w:pPr>
      <w:r>
        <w:rPr>
          <w:rFonts w:hint="eastAsia" w:ascii="宋体" w:hAnsi="宋体"/>
          <w:highlight w:val="none"/>
        </w:rPr>
        <w:t>谈判文件</w:t>
      </w:r>
      <w:r>
        <w:rPr>
          <w:rFonts w:ascii="宋体" w:hAnsi="宋体"/>
          <w:highlight w:val="none"/>
        </w:rPr>
        <w:t>和</w:t>
      </w:r>
      <w:r>
        <w:rPr>
          <w:rFonts w:hint="eastAsia" w:ascii="宋体" w:hAnsi="宋体"/>
          <w:highlight w:val="none"/>
        </w:rPr>
        <w:t>响应文件</w:t>
      </w:r>
      <w:r>
        <w:rPr>
          <w:rFonts w:ascii="宋体" w:hAnsi="宋体"/>
          <w:highlight w:val="none"/>
        </w:rPr>
        <w:t>使用的语言文字为中文。专用术语使用外文的，应附有中文注释。</w:t>
      </w:r>
    </w:p>
    <w:p>
      <w:pPr>
        <w:spacing w:line="360" w:lineRule="auto"/>
        <w:ind w:firstLine="241" w:firstLineChars="100"/>
        <w:rPr>
          <w:rFonts w:hint="eastAsia" w:ascii="黑体" w:hAnsi="黑体" w:eastAsia="黑体"/>
          <w:sz w:val="28"/>
          <w:highlight w:val="none"/>
        </w:rPr>
      </w:pPr>
      <w:r>
        <w:rPr>
          <w:rFonts w:ascii="宋体" w:hAnsi="宋体"/>
          <w:b/>
          <w:sz w:val="24"/>
          <w:highlight w:val="none"/>
        </w:rPr>
        <w:t>1.</w:t>
      </w:r>
      <w:r>
        <w:rPr>
          <w:rFonts w:hint="eastAsia" w:ascii="宋体" w:hAnsi="宋体"/>
          <w:b/>
          <w:sz w:val="24"/>
          <w:highlight w:val="none"/>
        </w:rPr>
        <w:t>7</w:t>
      </w:r>
      <w:r>
        <w:rPr>
          <w:rFonts w:ascii="宋体" w:hAnsi="宋体"/>
          <w:b/>
          <w:sz w:val="24"/>
          <w:highlight w:val="none"/>
        </w:rPr>
        <w:t xml:space="preserve"> 计量单位</w:t>
      </w:r>
    </w:p>
    <w:p>
      <w:pPr>
        <w:spacing w:line="360" w:lineRule="auto"/>
        <w:ind w:firstLine="420" w:firstLineChars="200"/>
        <w:rPr>
          <w:rFonts w:hint="eastAsia" w:ascii="宋体" w:hAnsi="宋体"/>
          <w:highlight w:val="none"/>
        </w:rPr>
      </w:pPr>
      <w:r>
        <w:rPr>
          <w:rFonts w:ascii="宋体" w:hAnsi="宋体"/>
          <w:highlight w:val="none"/>
        </w:rPr>
        <w:t>所有计量均采用中华人民共和国法定计量单位。</w:t>
      </w:r>
    </w:p>
    <w:p>
      <w:pPr>
        <w:spacing w:line="360" w:lineRule="auto"/>
        <w:ind w:firstLine="241" w:firstLineChars="100"/>
        <w:rPr>
          <w:rFonts w:hint="eastAsia" w:ascii="宋体" w:hAnsi="宋体"/>
          <w:b/>
          <w:sz w:val="24"/>
          <w:highlight w:val="none"/>
        </w:rPr>
      </w:pPr>
      <w:r>
        <w:rPr>
          <w:rFonts w:ascii="宋体" w:hAnsi="宋体"/>
          <w:b/>
          <w:sz w:val="24"/>
          <w:highlight w:val="none"/>
        </w:rPr>
        <w:t>1.</w:t>
      </w:r>
      <w:r>
        <w:rPr>
          <w:rFonts w:hint="eastAsia" w:ascii="宋体" w:hAnsi="宋体"/>
          <w:b/>
          <w:sz w:val="24"/>
          <w:highlight w:val="none"/>
        </w:rPr>
        <w:t>8</w:t>
      </w:r>
      <w:r>
        <w:rPr>
          <w:rFonts w:ascii="宋体" w:hAnsi="宋体"/>
          <w:b/>
          <w:sz w:val="24"/>
          <w:highlight w:val="none"/>
        </w:rPr>
        <w:t xml:space="preserve"> </w:t>
      </w:r>
      <w:r>
        <w:rPr>
          <w:rFonts w:hint="eastAsia" w:ascii="宋体" w:hAnsi="宋体"/>
          <w:b/>
          <w:sz w:val="24"/>
          <w:highlight w:val="none"/>
        </w:rPr>
        <w:t>响应</w:t>
      </w:r>
      <w:r>
        <w:rPr>
          <w:rFonts w:ascii="宋体" w:hAnsi="宋体"/>
          <w:b/>
          <w:sz w:val="24"/>
          <w:highlight w:val="none"/>
        </w:rPr>
        <w:t>和偏差</w:t>
      </w:r>
    </w:p>
    <w:p>
      <w:pPr>
        <w:spacing w:line="360" w:lineRule="auto"/>
        <w:ind w:firstLine="422" w:firstLineChars="200"/>
        <w:rPr>
          <w:rFonts w:hint="eastAsia" w:ascii="宋体" w:hAnsi="宋体"/>
          <w:highlight w:val="none"/>
        </w:rPr>
      </w:pPr>
      <w:r>
        <w:rPr>
          <w:rFonts w:hint="eastAsia" w:ascii="宋体" w:hAnsi="宋体"/>
          <w:b/>
          <w:highlight w:val="none"/>
        </w:rPr>
        <w:t xml:space="preserve">1.8.1 </w:t>
      </w:r>
      <w:r>
        <w:rPr>
          <w:rFonts w:hint="eastAsia" w:ascii="宋体" w:hAnsi="宋体"/>
          <w:bCs/>
          <w:highlight w:val="none"/>
        </w:rPr>
        <w:t>谈判文件中，如有需要，可以用符号区分条款的重要性。</w:t>
      </w:r>
      <w:r>
        <w:rPr>
          <w:rFonts w:hint="eastAsia" w:ascii="宋体" w:hAnsi="宋体"/>
          <w:highlight w:val="none"/>
        </w:rPr>
        <w:t>标注“★”的为重要条款，标注“☆”较重要条款，没作特殊标记的为一般条款。一个“★”号条款不满足或两个“☆”号条款不满足则导致报价无效。</w:t>
      </w:r>
    </w:p>
    <w:p>
      <w:pPr>
        <w:spacing w:line="360" w:lineRule="auto"/>
        <w:ind w:firstLine="422" w:firstLineChars="200"/>
        <w:rPr>
          <w:rFonts w:hint="eastAsia" w:ascii="宋体" w:hAnsi="宋体"/>
          <w:highlight w:val="none"/>
        </w:rPr>
      </w:pPr>
      <w:r>
        <w:rPr>
          <w:rFonts w:ascii="宋体" w:hAnsi="宋体"/>
          <w:b/>
          <w:highlight w:val="none"/>
        </w:rPr>
        <w:t>1.</w:t>
      </w:r>
      <w:r>
        <w:rPr>
          <w:rFonts w:hint="eastAsia" w:ascii="宋体" w:hAnsi="宋体"/>
          <w:b/>
          <w:highlight w:val="none"/>
        </w:rPr>
        <w:t>8</w:t>
      </w:r>
      <w:r>
        <w:rPr>
          <w:rFonts w:ascii="宋体" w:hAnsi="宋体"/>
          <w:b/>
          <w:highlight w:val="none"/>
        </w:rPr>
        <w:t>.</w:t>
      </w:r>
      <w:r>
        <w:rPr>
          <w:rFonts w:hint="eastAsia" w:ascii="宋体" w:hAnsi="宋体"/>
          <w:b/>
          <w:highlight w:val="none"/>
        </w:rPr>
        <w:t>2</w:t>
      </w:r>
      <w:r>
        <w:rPr>
          <w:highlight w:val="none"/>
        </w:rPr>
        <w:t xml:space="preserve"> </w:t>
      </w:r>
      <w:r>
        <w:rPr>
          <w:rFonts w:hint="eastAsia"/>
          <w:highlight w:val="none"/>
        </w:rPr>
        <w:t>如有需要，</w:t>
      </w:r>
      <w:r>
        <w:rPr>
          <w:rFonts w:hint="eastAsia" w:ascii="宋体" w:hAnsi="宋体"/>
          <w:highlight w:val="none"/>
        </w:rPr>
        <w:t>用户需求应</w:t>
      </w:r>
      <w:r>
        <w:rPr>
          <w:rFonts w:ascii="宋体" w:hAnsi="宋体"/>
          <w:highlight w:val="none"/>
        </w:rPr>
        <w:t>规定</w:t>
      </w:r>
      <w:r>
        <w:rPr>
          <w:rFonts w:hint="eastAsia" w:ascii="宋体" w:hAnsi="宋体"/>
          <w:highlight w:val="none"/>
        </w:rPr>
        <w:t>一般条款</w:t>
      </w:r>
      <w:r>
        <w:rPr>
          <w:rFonts w:ascii="宋体" w:hAnsi="宋体"/>
          <w:highlight w:val="none"/>
        </w:rPr>
        <w:t>可以偏差的范围和最高偏差项数的，超出偏差范围和最高偏差项数的</w:t>
      </w:r>
      <w:r>
        <w:rPr>
          <w:rFonts w:hint="eastAsia" w:ascii="宋体" w:hAnsi="宋体"/>
          <w:highlight w:val="none"/>
        </w:rPr>
        <w:t>报价</w:t>
      </w:r>
      <w:r>
        <w:rPr>
          <w:rFonts w:ascii="宋体" w:hAnsi="宋体"/>
          <w:highlight w:val="none"/>
        </w:rPr>
        <w:t>将被否决。</w:t>
      </w:r>
    </w:p>
    <w:p>
      <w:pPr>
        <w:pStyle w:val="4"/>
        <w:spacing w:line="360" w:lineRule="auto"/>
        <w:ind w:left="0"/>
        <w:jc w:val="left"/>
        <w:rPr>
          <w:rFonts w:hint="eastAsia" w:ascii="宋体" w:hAnsi="宋体" w:cs="宋体"/>
          <w:b/>
          <w:highlight w:val="none"/>
        </w:rPr>
      </w:pPr>
      <w:bookmarkStart w:id="171" w:name="_Toc2812"/>
      <w:bookmarkStart w:id="172" w:name="_Toc25989"/>
      <w:bookmarkStart w:id="173" w:name="_Toc1950"/>
      <w:bookmarkStart w:id="174" w:name="_Toc10176"/>
      <w:bookmarkStart w:id="175" w:name="_Toc7740"/>
      <w:bookmarkStart w:id="176" w:name="_Toc14231"/>
      <w:bookmarkStart w:id="177" w:name="_Toc16118"/>
      <w:bookmarkStart w:id="178" w:name="_Toc24565"/>
      <w:bookmarkStart w:id="179" w:name="_Toc2484"/>
      <w:bookmarkStart w:id="180" w:name="_Toc6167"/>
      <w:r>
        <w:rPr>
          <w:rFonts w:hint="eastAsia" w:ascii="宋体" w:hAnsi="宋体" w:cs="宋体"/>
          <w:b/>
          <w:highlight w:val="none"/>
        </w:rPr>
        <w:t>2</w:t>
      </w:r>
      <w:bookmarkEnd w:id="171"/>
      <w:r>
        <w:rPr>
          <w:rFonts w:hint="eastAsia" w:ascii="宋体" w:hAnsi="宋体" w:cs="宋体"/>
          <w:b/>
          <w:highlight w:val="none"/>
        </w:rPr>
        <w:t>、</w:t>
      </w:r>
      <w:bookmarkEnd w:id="172"/>
      <w:bookmarkEnd w:id="173"/>
      <w:bookmarkEnd w:id="174"/>
      <w:bookmarkEnd w:id="175"/>
      <w:bookmarkEnd w:id="176"/>
      <w:r>
        <w:rPr>
          <w:rFonts w:hint="eastAsia" w:ascii="宋体" w:hAnsi="宋体" w:cs="宋体"/>
          <w:b/>
          <w:highlight w:val="none"/>
        </w:rPr>
        <w:t>谈判文件</w:t>
      </w:r>
      <w:bookmarkEnd w:id="177"/>
      <w:bookmarkEnd w:id="178"/>
      <w:bookmarkEnd w:id="179"/>
      <w:bookmarkEnd w:id="180"/>
    </w:p>
    <w:p>
      <w:pPr>
        <w:spacing w:line="360" w:lineRule="auto"/>
        <w:ind w:firstLine="241" w:firstLineChars="100"/>
        <w:rPr>
          <w:rFonts w:hint="eastAsia" w:ascii="黑体" w:hAnsi="黑体" w:eastAsia="黑体"/>
          <w:sz w:val="28"/>
          <w:highlight w:val="none"/>
        </w:rPr>
      </w:pPr>
      <w:r>
        <w:rPr>
          <w:rFonts w:ascii="宋体" w:hAnsi="宋体"/>
          <w:b/>
          <w:sz w:val="24"/>
          <w:highlight w:val="none"/>
        </w:rPr>
        <w:t xml:space="preserve">2.1 </w:t>
      </w:r>
      <w:r>
        <w:rPr>
          <w:rFonts w:hint="eastAsia" w:ascii="宋体" w:hAnsi="宋体"/>
          <w:b/>
          <w:sz w:val="24"/>
          <w:highlight w:val="none"/>
        </w:rPr>
        <w:t>谈判文件</w:t>
      </w:r>
      <w:r>
        <w:rPr>
          <w:rFonts w:ascii="宋体" w:hAnsi="宋体"/>
          <w:b/>
          <w:sz w:val="24"/>
          <w:highlight w:val="none"/>
        </w:rPr>
        <w:t>的组成</w:t>
      </w:r>
    </w:p>
    <w:p>
      <w:pPr>
        <w:spacing w:line="360" w:lineRule="auto"/>
        <w:ind w:firstLine="420" w:firstLineChars="200"/>
        <w:rPr>
          <w:rFonts w:hint="eastAsia" w:ascii="宋体" w:hAnsi="宋体"/>
          <w:highlight w:val="none"/>
        </w:rPr>
      </w:pPr>
      <w:r>
        <w:rPr>
          <w:rFonts w:ascii="宋体" w:hAnsi="宋体"/>
          <w:highlight w:val="none"/>
        </w:rPr>
        <w:t>本</w:t>
      </w:r>
      <w:r>
        <w:rPr>
          <w:rFonts w:hint="eastAsia" w:ascii="宋体" w:hAnsi="宋体"/>
          <w:highlight w:val="none"/>
        </w:rPr>
        <w:t>谈判文件</w:t>
      </w:r>
      <w:r>
        <w:rPr>
          <w:rFonts w:ascii="宋体" w:hAnsi="宋体"/>
          <w:highlight w:val="none"/>
        </w:rPr>
        <w:t>包括：</w:t>
      </w:r>
    </w:p>
    <w:p>
      <w:pPr>
        <w:spacing w:line="360" w:lineRule="auto"/>
        <w:ind w:firstLine="420" w:firstLineChars="200"/>
        <w:rPr>
          <w:rFonts w:hint="eastAsia" w:ascii="宋体" w:hAnsi="宋体"/>
          <w:highlight w:val="none"/>
        </w:rPr>
      </w:pPr>
      <w:r>
        <w:rPr>
          <w:rFonts w:ascii="宋体" w:hAnsi="宋体"/>
          <w:highlight w:val="none"/>
        </w:rPr>
        <w:t>（1）</w:t>
      </w:r>
      <w:r>
        <w:rPr>
          <w:rFonts w:hint="eastAsia" w:ascii="宋体" w:hAnsi="宋体"/>
          <w:highlight w:val="none"/>
        </w:rPr>
        <w:t>谈判</w:t>
      </w:r>
      <w:r>
        <w:rPr>
          <w:rFonts w:ascii="宋体" w:hAnsi="宋体"/>
          <w:highlight w:val="none"/>
        </w:rPr>
        <w:t>公告；</w:t>
      </w:r>
    </w:p>
    <w:p>
      <w:pPr>
        <w:spacing w:line="360" w:lineRule="auto"/>
        <w:ind w:firstLine="420" w:firstLineChars="200"/>
        <w:rPr>
          <w:rFonts w:hint="eastAsia" w:ascii="宋体" w:hAnsi="宋体"/>
          <w:highlight w:val="none"/>
        </w:rPr>
      </w:pPr>
      <w:r>
        <w:rPr>
          <w:rFonts w:ascii="宋体" w:hAnsi="宋体"/>
          <w:highlight w:val="none"/>
        </w:rPr>
        <w:t>（2）</w:t>
      </w:r>
      <w:r>
        <w:rPr>
          <w:rFonts w:hint="eastAsia" w:ascii="宋体" w:hAnsi="宋体"/>
          <w:highlight w:val="none"/>
        </w:rPr>
        <w:t>供应商</w:t>
      </w:r>
      <w:r>
        <w:rPr>
          <w:rFonts w:ascii="宋体" w:hAnsi="宋体"/>
          <w:highlight w:val="none"/>
        </w:rPr>
        <w:t>须知；</w:t>
      </w:r>
    </w:p>
    <w:p>
      <w:pPr>
        <w:spacing w:line="360" w:lineRule="auto"/>
        <w:ind w:firstLine="420" w:firstLineChars="200"/>
        <w:rPr>
          <w:rFonts w:hint="eastAsia" w:ascii="宋体" w:hAnsi="宋体"/>
          <w:highlight w:val="none"/>
        </w:rPr>
      </w:pPr>
      <w:r>
        <w:rPr>
          <w:rFonts w:ascii="宋体" w:hAnsi="宋体"/>
          <w:highlight w:val="none"/>
        </w:rPr>
        <w:t>（3）评</w:t>
      </w:r>
      <w:r>
        <w:rPr>
          <w:rFonts w:hint="eastAsia" w:ascii="宋体" w:hAnsi="宋体"/>
          <w:highlight w:val="none"/>
        </w:rPr>
        <w:t>审</w:t>
      </w:r>
      <w:r>
        <w:rPr>
          <w:rFonts w:ascii="宋体" w:hAnsi="宋体"/>
          <w:highlight w:val="none"/>
        </w:rPr>
        <w:t>办法；</w:t>
      </w:r>
    </w:p>
    <w:p>
      <w:pPr>
        <w:spacing w:line="360" w:lineRule="auto"/>
        <w:ind w:firstLine="420" w:firstLineChars="200"/>
        <w:rPr>
          <w:rFonts w:hint="eastAsia" w:ascii="宋体" w:hAnsi="宋体"/>
          <w:highlight w:val="none"/>
        </w:rPr>
      </w:pPr>
      <w:r>
        <w:rPr>
          <w:rFonts w:ascii="宋体" w:hAnsi="宋体"/>
          <w:highlight w:val="none"/>
        </w:rPr>
        <w:t>（4）</w:t>
      </w:r>
      <w:r>
        <w:rPr>
          <w:rFonts w:hint="eastAsia" w:ascii="宋体" w:hAnsi="宋体"/>
          <w:highlight w:val="none"/>
        </w:rPr>
        <w:t>用户需求</w:t>
      </w:r>
      <w:r>
        <w:rPr>
          <w:rFonts w:ascii="宋体" w:hAnsi="宋体"/>
          <w:highlight w:val="none"/>
        </w:rPr>
        <w:t>；</w:t>
      </w:r>
    </w:p>
    <w:p>
      <w:pPr>
        <w:spacing w:line="360" w:lineRule="auto"/>
        <w:ind w:firstLine="420" w:firstLineChars="200"/>
        <w:rPr>
          <w:rFonts w:hint="eastAsia" w:ascii="宋体" w:hAnsi="宋体"/>
          <w:highlight w:val="none"/>
        </w:rPr>
      </w:pPr>
      <w:r>
        <w:rPr>
          <w:rFonts w:ascii="宋体" w:hAnsi="宋体"/>
          <w:highlight w:val="none"/>
        </w:rPr>
        <w:t>（5）合同条款及格式；</w:t>
      </w:r>
    </w:p>
    <w:p>
      <w:pPr>
        <w:spacing w:line="360" w:lineRule="auto"/>
        <w:ind w:firstLine="420" w:firstLineChars="200"/>
        <w:rPr>
          <w:rFonts w:hint="eastAsia" w:ascii="宋体" w:hAnsi="宋体"/>
          <w:highlight w:val="none"/>
        </w:rPr>
      </w:pPr>
      <w:r>
        <w:rPr>
          <w:rFonts w:ascii="宋体" w:hAnsi="宋体"/>
          <w:highlight w:val="none"/>
        </w:rPr>
        <w:t>（6）</w:t>
      </w:r>
      <w:r>
        <w:rPr>
          <w:rFonts w:hint="eastAsia" w:ascii="宋体" w:hAnsi="宋体"/>
          <w:highlight w:val="none"/>
        </w:rPr>
        <w:t>响应文件</w:t>
      </w:r>
      <w:r>
        <w:rPr>
          <w:rFonts w:ascii="宋体" w:hAnsi="宋体"/>
          <w:highlight w:val="none"/>
        </w:rPr>
        <w:t>格式；</w:t>
      </w:r>
    </w:p>
    <w:p>
      <w:pPr>
        <w:spacing w:line="360" w:lineRule="auto"/>
        <w:ind w:firstLine="420" w:firstLineChars="200"/>
        <w:rPr>
          <w:rFonts w:hint="eastAsia" w:ascii="宋体" w:hAnsi="宋体"/>
          <w:highlight w:val="none"/>
        </w:rPr>
      </w:pPr>
      <w:r>
        <w:rPr>
          <w:rFonts w:ascii="宋体" w:hAnsi="宋体"/>
          <w:highlight w:val="none"/>
        </w:rPr>
        <w:t>（7）其他资料</w:t>
      </w:r>
      <w:r>
        <w:rPr>
          <w:rFonts w:hint="eastAsia" w:ascii="宋体" w:hAnsi="宋体"/>
          <w:highlight w:val="none"/>
        </w:rPr>
        <w:t>（如有）</w:t>
      </w:r>
      <w:r>
        <w:rPr>
          <w:rFonts w:ascii="宋体" w:hAnsi="宋体"/>
          <w:highlight w:val="none"/>
        </w:rPr>
        <w:t>。</w:t>
      </w:r>
    </w:p>
    <w:p>
      <w:pPr>
        <w:spacing w:line="360" w:lineRule="auto"/>
        <w:ind w:firstLine="420" w:firstLineChars="200"/>
        <w:rPr>
          <w:rFonts w:hint="eastAsia" w:ascii="宋体" w:hAnsi="宋体"/>
          <w:highlight w:val="none"/>
        </w:rPr>
      </w:pPr>
      <w:r>
        <w:rPr>
          <w:rFonts w:ascii="宋体" w:hAnsi="宋体"/>
          <w:highlight w:val="none"/>
        </w:rPr>
        <w:t>根据本章第</w:t>
      </w:r>
      <w:r>
        <w:rPr>
          <w:rFonts w:ascii="宋体" w:hAnsi="宋体"/>
          <w:bCs/>
          <w:highlight w:val="none"/>
        </w:rPr>
        <w:t xml:space="preserve"> 2.2</w:t>
      </w:r>
      <w:r>
        <w:rPr>
          <w:bCs/>
          <w:highlight w:val="none"/>
        </w:rPr>
        <w:t xml:space="preserve"> </w:t>
      </w:r>
      <w:r>
        <w:rPr>
          <w:rFonts w:ascii="宋体" w:hAnsi="宋体"/>
          <w:highlight w:val="none"/>
        </w:rPr>
        <w:t>款对</w:t>
      </w:r>
      <w:r>
        <w:rPr>
          <w:rFonts w:hint="eastAsia" w:ascii="宋体" w:hAnsi="宋体"/>
          <w:highlight w:val="none"/>
        </w:rPr>
        <w:t>谈判文件</w:t>
      </w:r>
      <w:r>
        <w:rPr>
          <w:rFonts w:ascii="宋体" w:hAnsi="宋体"/>
          <w:highlight w:val="none"/>
        </w:rPr>
        <w:t>所作的澄清、修改，构成</w:t>
      </w:r>
      <w:r>
        <w:rPr>
          <w:rFonts w:hint="eastAsia" w:ascii="宋体" w:hAnsi="宋体"/>
          <w:highlight w:val="none"/>
        </w:rPr>
        <w:t>谈判文件</w:t>
      </w:r>
      <w:r>
        <w:rPr>
          <w:rFonts w:ascii="宋体" w:hAnsi="宋体"/>
          <w:highlight w:val="none"/>
        </w:rPr>
        <w:t>的组成部分。</w:t>
      </w:r>
    </w:p>
    <w:p>
      <w:pPr>
        <w:spacing w:line="360" w:lineRule="auto"/>
        <w:ind w:firstLine="241" w:firstLineChars="100"/>
        <w:rPr>
          <w:rFonts w:hint="eastAsia" w:ascii="黑体" w:hAnsi="黑体" w:eastAsia="黑体"/>
          <w:sz w:val="28"/>
          <w:highlight w:val="none"/>
        </w:rPr>
      </w:pPr>
      <w:r>
        <w:rPr>
          <w:rFonts w:ascii="宋体" w:hAnsi="宋体"/>
          <w:b/>
          <w:sz w:val="24"/>
          <w:highlight w:val="none"/>
        </w:rPr>
        <w:t xml:space="preserve">2.2 </w:t>
      </w:r>
      <w:r>
        <w:rPr>
          <w:rFonts w:hint="eastAsia" w:ascii="宋体" w:hAnsi="宋体"/>
          <w:b/>
          <w:sz w:val="24"/>
          <w:highlight w:val="none"/>
        </w:rPr>
        <w:t>谈判文件</w:t>
      </w:r>
      <w:r>
        <w:rPr>
          <w:rFonts w:ascii="宋体" w:hAnsi="宋体"/>
          <w:b/>
          <w:sz w:val="24"/>
          <w:highlight w:val="none"/>
        </w:rPr>
        <w:t>的澄清</w:t>
      </w:r>
      <w:r>
        <w:rPr>
          <w:rFonts w:hint="eastAsia" w:ascii="宋体" w:hAnsi="宋体"/>
          <w:b/>
          <w:sz w:val="24"/>
          <w:highlight w:val="none"/>
        </w:rPr>
        <w:t>、修改</w:t>
      </w:r>
    </w:p>
    <w:p>
      <w:pPr>
        <w:spacing w:line="360" w:lineRule="auto"/>
        <w:ind w:left="100" w:firstLine="422" w:firstLineChars="200"/>
        <w:rPr>
          <w:rFonts w:hint="eastAsia" w:ascii="宋体" w:hAnsi="宋体" w:cs="宋体"/>
          <w:szCs w:val="21"/>
          <w:highlight w:val="none"/>
        </w:rPr>
      </w:pPr>
      <w:r>
        <w:rPr>
          <w:rFonts w:ascii="宋体" w:hAnsi="宋体"/>
          <w:b/>
          <w:highlight w:val="none"/>
        </w:rPr>
        <w:t>2.2.1</w:t>
      </w:r>
      <w:r>
        <w:rPr>
          <w:highlight w:val="none"/>
        </w:rPr>
        <w:t xml:space="preserve"> </w:t>
      </w:r>
      <w:r>
        <w:rPr>
          <w:rFonts w:hint="eastAsia" w:ascii="宋体" w:hAnsi="宋体"/>
          <w:highlight w:val="none"/>
        </w:rPr>
        <w:t>供应商</w:t>
      </w:r>
      <w:r>
        <w:rPr>
          <w:rFonts w:ascii="宋体" w:hAnsi="宋体"/>
          <w:highlight w:val="none"/>
        </w:rPr>
        <w:t>应仔细阅读</w:t>
      </w:r>
      <w:r>
        <w:rPr>
          <w:rFonts w:hint="eastAsia" w:ascii="宋体" w:hAnsi="宋体"/>
          <w:highlight w:val="none"/>
        </w:rPr>
        <w:t>谈判文件</w:t>
      </w:r>
      <w:r>
        <w:rPr>
          <w:rFonts w:ascii="宋体" w:hAnsi="宋体"/>
          <w:highlight w:val="none"/>
        </w:rPr>
        <w:t>的全部内容。如</w:t>
      </w:r>
      <w:r>
        <w:rPr>
          <w:rFonts w:hint="eastAsia" w:ascii="宋体" w:hAnsi="宋体"/>
          <w:highlight w:val="none"/>
        </w:rPr>
        <w:t>对谈判文件有疑问，可要求采购人予以答疑，答疑</w:t>
      </w:r>
      <w:r>
        <w:rPr>
          <w:rFonts w:hint="eastAsia" w:ascii="宋体" w:hAnsi="宋体" w:cs="宋体"/>
          <w:szCs w:val="21"/>
          <w:highlight w:val="none"/>
        </w:rPr>
        <w:t>形式：在获取谈判文件截止时间前</w:t>
      </w:r>
      <w:r>
        <w:rPr>
          <w:rFonts w:hint="eastAsia" w:ascii="宋体" w:hAnsi="宋体"/>
          <w:szCs w:val="21"/>
          <w:highlight w:val="none"/>
        </w:rPr>
        <w:t>进入中国南方航空采购招标网或采购人指定网站采购项目提问区域，输入疑问内容，同时以</w:t>
      </w:r>
      <w:r>
        <w:rPr>
          <w:rFonts w:hint="eastAsia" w:ascii="宋体" w:hAnsi="宋体" w:cs="宋体"/>
          <w:szCs w:val="21"/>
          <w:highlight w:val="none"/>
        </w:rPr>
        <w:t>书面形式列明所提疑问内容，加盖公章并扫描后上传做为附件。疑问答复时间：【】年【】月【】日</w:t>
      </w:r>
      <w:r>
        <w:rPr>
          <w:rFonts w:hint="eastAsia" w:ascii="宋体" w:hAnsi="宋体" w:cs="宋体"/>
          <w:highlight w:val="none"/>
        </w:rPr>
        <w:t>前</w:t>
      </w:r>
      <w:r>
        <w:rPr>
          <w:rFonts w:hint="eastAsia" w:ascii="宋体" w:hAnsi="宋体"/>
          <w:highlight w:val="none"/>
        </w:rPr>
        <w:t>。</w:t>
      </w:r>
      <w:r>
        <w:rPr>
          <w:rFonts w:hint="eastAsia" w:ascii="宋体" w:hAnsi="宋体" w:cs="宋体"/>
          <w:szCs w:val="21"/>
          <w:highlight w:val="none"/>
        </w:rPr>
        <w:t>疑问答复形式：</w:t>
      </w:r>
      <w:r>
        <w:rPr>
          <w:rFonts w:hint="eastAsia" w:ascii="宋体" w:hAnsi="宋体"/>
          <w:szCs w:val="21"/>
          <w:highlight w:val="none"/>
        </w:rPr>
        <w:t>在中国南方航空采购招标网或采购人指定网站“采购文件澄清”栏目发布</w:t>
      </w:r>
      <w:r>
        <w:rPr>
          <w:rFonts w:hint="eastAsia" w:ascii="宋体" w:hAnsi="宋体" w:cs="宋体"/>
          <w:szCs w:val="21"/>
          <w:highlight w:val="none"/>
        </w:rPr>
        <w:t>。供应商提出的疑问有下列情形之一的，不予受理：</w:t>
      </w:r>
    </w:p>
    <w:p>
      <w:pPr>
        <w:spacing w:line="360" w:lineRule="auto"/>
        <w:ind w:left="100" w:firstLine="420" w:firstLineChars="200"/>
        <w:rPr>
          <w:rFonts w:hint="eastAsia" w:ascii="宋体" w:hAnsi="宋体" w:cs="宋体"/>
          <w:szCs w:val="21"/>
          <w:highlight w:val="none"/>
        </w:rPr>
      </w:pPr>
      <w:r>
        <w:rPr>
          <w:rFonts w:hint="eastAsia" w:ascii="宋体" w:hAnsi="宋体" w:cs="宋体"/>
          <w:szCs w:val="21"/>
          <w:highlight w:val="none"/>
        </w:rPr>
        <w:t>（1）不是参与本采购项目的供应商提出的；</w:t>
      </w:r>
    </w:p>
    <w:p>
      <w:pPr>
        <w:spacing w:line="360" w:lineRule="auto"/>
        <w:ind w:left="100" w:firstLine="420" w:firstLineChars="200"/>
        <w:rPr>
          <w:rFonts w:hint="eastAsia" w:ascii="宋体" w:hAnsi="宋体" w:cs="宋体"/>
          <w:szCs w:val="21"/>
          <w:highlight w:val="none"/>
        </w:rPr>
      </w:pPr>
      <w:r>
        <w:rPr>
          <w:rFonts w:hint="eastAsia" w:ascii="宋体" w:hAnsi="宋体" w:cs="宋体"/>
          <w:szCs w:val="21"/>
          <w:highlight w:val="none"/>
        </w:rPr>
        <w:t>（2）未在获取谈判文件截止时间前提出的；</w:t>
      </w:r>
    </w:p>
    <w:p>
      <w:pPr>
        <w:spacing w:line="360" w:lineRule="auto"/>
        <w:ind w:left="100" w:firstLine="420" w:firstLineChars="200"/>
        <w:rPr>
          <w:rFonts w:hint="eastAsia" w:ascii="宋体" w:hAnsi="宋体" w:cs="宋体"/>
          <w:szCs w:val="21"/>
          <w:highlight w:val="none"/>
        </w:rPr>
      </w:pPr>
      <w:r>
        <w:rPr>
          <w:rFonts w:hint="eastAsia" w:ascii="宋体" w:hAnsi="宋体" w:cs="宋体"/>
          <w:szCs w:val="21"/>
          <w:highlight w:val="none"/>
        </w:rPr>
        <w:t>（3）未加盖单位公章的；</w:t>
      </w:r>
    </w:p>
    <w:p>
      <w:pPr>
        <w:spacing w:line="360" w:lineRule="auto"/>
        <w:ind w:left="100" w:firstLine="420" w:firstLineChars="200"/>
        <w:rPr>
          <w:rFonts w:hint="eastAsia" w:ascii="宋体" w:hAnsi="宋体" w:cs="宋体"/>
          <w:szCs w:val="21"/>
          <w:highlight w:val="none"/>
        </w:rPr>
      </w:pPr>
      <w:r>
        <w:rPr>
          <w:rFonts w:hint="eastAsia" w:ascii="宋体" w:hAnsi="宋体" w:cs="宋体"/>
          <w:szCs w:val="21"/>
          <w:highlight w:val="none"/>
        </w:rPr>
        <w:t>（4）同时针对多个采购项目提出疑问的；</w:t>
      </w:r>
    </w:p>
    <w:p>
      <w:pPr>
        <w:spacing w:line="360" w:lineRule="auto"/>
        <w:ind w:left="100" w:firstLine="420" w:firstLineChars="200"/>
        <w:rPr>
          <w:rFonts w:hint="eastAsia" w:ascii="宋体" w:hAnsi="宋体" w:cs="宋体"/>
          <w:color w:val="FF0000"/>
          <w:szCs w:val="21"/>
          <w:highlight w:val="none"/>
        </w:rPr>
      </w:pPr>
      <w:r>
        <w:rPr>
          <w:rFonts w:hint="eastAsia" w:ascii="宋体" w:hAnsi="宋体" w:cs="宋体"/>
          <w:szCs w:val="21"/>
          <w:highlight w:val="none"/>
        </w:rPr>
        <w:t>（5）疑问已经处理并答复，就同一事项又重新提出疑问，且未提供新的有效证据的。</w:t>
      </w:r>
    </w:p>
    <w:p>
      <w:pPr>
        <w:spacing w:line="360" w:lineRule="auto"/>
        <w:ind w:firstLine="422" w:firstLineChars="200"/>
        <w:rPr>
          <w:highlight w:val="none"/>
        </w:rPr>
      </w:pPr>
      <w:r>
        <w:rPr>
          <w:rFonts w:ascii="宋体" w:hAnsi="宋体"/>
          <w:b/>
          <w:highlight w:val="none"/>
        </w:rPr>
        <w:t>2.2.2</w:t>
      </w:r>
      <w:r>
        <w:rPr>
          <w:highlight w:val="none"/>
        </w:rPr>
        <w:t xml:space="preserve"> </w:t>
      </w:r>
      <w:r>
        <w:rPr>
          <w:rFonts w:hint="eastAsia" w:ascii="宋体" w:hAnsi="宋体"/>
          <w:szCs w:val="21"/>
          <w:highlight w:val="none"/>
        </w:rPr>
        <w:t>根据采购的具体情况，</w:t>
      </w:r>
      <w:r>
        <w:rPr>
          <w:rFonts w:hint="eastAsia"/>
          <w:highlight w:val="none"/>
        </w:rPr>
        <w:t>采购人可以对已发出的谈判文件进行必要的澄清或者修改，澄清或者修改的内容可能影响响应文件编制的，</w:t>
      </w:r>
      <w:r>
        <w:rPr>
          <w:rFonts w:hint="eastAsia" w:ascii="宋体" w:hAnsi="宋体"/>
          <w:szCs w:val="21"/>
          <w:highlight w:val="none"/>
        </w:rPr>
        <w:t>采购人可延长响应文件递交截止时间，并将变更时间在中国南方航空采购招标网站通知所有获取谈判文件的供应商。</w:t>
      </w:r>
    </w:p>
    <w:p>
      <w:pPr>
        <w:spacing w:line="360" w:lineRule="auto"/>
        <w:ind w:firstLine="422" w:firstLineChars="200"/>
        <w:rPr>
          <w:rFonts w:hint="eastAsia" w:ascii="宋体" w:hAnsi="宋体"/>
          <w:highlight w:val="none"/>
        </w:rPr>
      </w:pPr>
      <w:r>
        <w:rPr>
          <w:rFonts w:ascii="宋体" w:hAnsi="宋体"/>
          <w:b/>
          <w:highlight w:val="none"/>
        </w:rPr>
        <w:t>2.2.3</w:t>
      </w:r>
      <w:r>
        <w:rPr>
          <w:highlight w:val="none"/>
        </w:rPr>
        <w:t xml:space="preserve"> </w:t>
      </w:r>
      <w:r>
        <w:rPr>
          <w:rFonts w:hint="eastAsia" w:ascii="宋体" w:hAnsi="宋体"/>
          <w:szCs w:val="21"/>
          <w:highlight w:val="none"/>
        </w:rPr>
        <w:t>澄清一经在中国南方航空采购招标网站或采购人指定网站发布，视作已送达所有报名供应商。</w:t>
      </w:r>
    </w:p>
    <w:p>
      <w:pPr>
        <w:spacing w:line="360" w:lineRule="auto"/>
        <w:ind w:firstLine="422" w:firstLineChars="200"/>
        <w:rPr>
          <w:rFonts w:hint="eastAsia" w:ascii="宋体" w:hAnsi="宋体"/>
          <w:highlight w:val="none"/>
        </w:rPr>
      </w:pPr>
      <w:r>
        <w:rPr>
          <w:rFonts w:ascii="宋体" w:hAnsi="宋体"/>
          <w:b/>
          <w:highlight w:val="none"/>
        </w:rPr>
        <w:t>2.2.4</w:t>
      </w:r>
      <w:r>
        <w:rPr>
          <w:highlight w:val="none"/>
        </w:rPr>
        <w:t xml:space="preserve"> </w:t>
      </w:r>
      <w:r>
        <w:rPr>
          <w:rFonts w:ascii="宋体" w:hAnsi="宋体"/>
          <w:highlight w:val="none"/>
        </w:rPr>
        <w:t>除非</w:t>
      </w:r>
      <w:r>
        <w:rPr>
          <w:rFonts w:hint="eastAsia" w:ascii="宋体" w:hAnsi="宋体"/>
          <w:highlight w:val="none"/>
        </w:rPr>
        <w:t>采购人</w:t>
      </w:r>
      <w:r>
        <w:rPr>
          <w:rFonts w:ascii="宋体" w:hAnsi="宋体"/>
          <w:highlight w:val="none"/>
        </w:rPr>
        <w:t>认为确有必要答复，否则，</w:t>
      </w:r>
      <w:r>
        <w:rPr>
          <w:rFonts w:hint="eastAsia" w:ascii="宋体" w:hAnsi="宋体"/>
          <w:highlight w:val="none"/>
        </w:rPr>
        <w:t>采购人</w:t>
      </w:r>
      <w:r>
        <w:rPr>
          <w:rFonts w:ascii="宋体" w:hAnsi="宋体"/>
          <w:highlight w:val="none"/>
        </w:rPr>
        <w:t>有权拒绝回复</w:t>
      </w:r>
      <w:r>
        <w:rPr>
          <w:rFonts w:hint="eastAsia" w:ascii="宋体" w:hAnsi="宋体"/>
          <w:highlight w:val="none"/>
        </w:rPr>
        <w:t>供应商</w:t>
      </w:r>
      <w:r>
        <w:rPr>
          <w:rFonts w:ascii="宋体" w:hAnsi="宋体"/>
          <w:highlight w:val="none"/>
        </w:rPr>
        <w:t>在本章第</w:t>
      </w:r>
      <w:r>
        <w:rPr>
          <w:highlight w:val="none"/>
        </w:rPr>
        <w:t xml:space="preserve"> </w:t>
      </w:r>
      <w:r>
        <w:rPr>
          <w:rFonts w:ascii="宋体" w:hAnsi="宋体"/>
          <w:highlight w:val="none"/>
        </w:rPr>
        <w:t>2.2.1</w:t>
      </w:r>
      <w:r>
        <w:rPr>
          <w:highlight w:val="none"/>
        </w:rPr>
        <w:t xml:space="preserve"> </w:t>
      </w:r>
      <w:r>
        <w:rPr>
          <w:rFonts w:ascii="宋体" w:hAnsi="宋体"/>
          <w:highlight w:val="none"/>
        </w:rPr>
        <w:t>项规定的时间后的任何</w:t>
      </w:r>
      <w:r>
        <w:rPr>
          <w:rFonts w:hint="eastAsia" w:ascii="宋体" w:hAnsi="宋体"/>
          <w:highlight w:val="none"/>
        </w:rPr>
        <w:t>答疑</w:t>
      </w:r>
      <w:r>
        <w:rPr>
          <w:rFonts w:ascii="宋体" w:hAnsi="宋体"/>
          <w:highlight w:val="none"/>
        </w:rPr>
        <w:t>要求。</w:t>
      </w:r>
    </w:p>
    <w:p>
      <w:pPr>
        <w:pStyle w:val="4"/>
        <w:spacing w:line="360" w:lineRule="auto"/>
        <w:ind w:left="0"/>
        <w:jc w:val="left"/>
        <w:rPr>
          <w:b/>
          <w:highlight w:val="none"/>
        </w:rPr>
      </w:pPr>
      <w:bookmarkStart w:id="181" w:name="_Toc3962"/>
      <w:bookmarkStart w:id="182" w:name="_Toc11190"/>
      <w:bookmarkStart w:id="183" w:name="_Toc31147"/>
      <w:bookmarkStart w:id="184" w:name="_Toc17515"/>
      <w:bookmarkStart w:id="185" w:name="_Toc6919"/>
      <w:bookmarkStart w:id="186" w:name="_Toc24466"/>
      <w:bookmarkStart w:id="187" w:name="_Toc31958"/>
      <w:bookmarkStart w:id="188" w:name="_Toc18856"/>
      <w:bookmarkStart w:id="189" w:name="_Toc30807"/>
      <w:bookmarkStart w:id="190" w:name="_Toc31885"/>
      <w:r>
        <w:rPr>
          <w:rFonts w:hint="eastAsia" w:ascii="宋体" w:hAnsi="宋体" w:cs="宋体"/>
          <w:b/>
          <w:highlight w:val="none"/>
        </w:rPr>
        <w:t>3、</w:t>
      </w:r>
      <w:bookmarkEnd w:id="181"/>
      <w:bookmarkEnd w:id="182"/>
      <w:bookmarkEnd w:id="183"/>
      <w:bookmarkEnd w:id="184"/>
      <w:bookmarkEnd w:id="185"/>
      <w:bookmarkEnd w:id="186"/>
      <w:r>
        <w:rPr>
          <w:rFonts w:hint="eastAsia" w:ascii="宋体" w:hAnsi="宋体" w:cs="宋体"/>
          <w:b/>
          <w:highlight w:val="none"/>
        </w:rPr>
        <w:t>响应文件</w:t>
      </w:r>
      <w:bookmarkEnd w:id="187"/>
      <w:bookmarkEnd w:id="188"/>
      <w:bookmarkEnd w:id="189"/>
      <w:bookmarkEnd w:id="190"/>
    </w:p>
    <w:p>
      <w:pPr>
        <w:spacing w:line="360" w:lineRule="auto"/>
        <w:ind w:firstLine="241" w:firstLineChars="100"/>
        <w:rPr>
          <w:rFonts w:hint="eastAsia" w:ascii="黑体" w:hAnsi="黑体" w:eastAsia="黑体"/>
          <w:sz w:val="28"/>
          <w:highlight w:val="none"/>
        </w:rPr>
      </w:pPr>
      <w:r>
        <w:rPr>
          <w:rFonts w:ascii="宋体" w:hAnsi="宋体"/>
          <w:b/>
          <w:sz w:val="24"/>
          <w:highlight w:val="none"/>
        </w:rPr>
        <w:t xml:space="preserve">3.1 </w:t>
      </w:r>
      <w:r>
        <w:rPr>
          <w:rFonts w:hint="eastAsia" w:ascii="宋体" w:hAnsi="宋体"/>
          <w:b/>
          <w:sz w:val="24"/>
          <w:highlight w:val="none"/>
        </w:rPr>
        <w:t>响应文件</w:t>
      </w:r>
      <w:r>
        <w:rPr>
          <w:rFonts w:ascii="宋体" w:hAnsi="宋体"/>
          <w:b/>
          <w:sz w:val="24"/>
          <w:highlight w:val="none"/>
        </w:rPr>
        <w:t>的组成</w:t>
      </w:r>
    </w:p>
    <w:p>
      <w:pPr>
        <w:spacing w:line="360" w:lineRule="auto"/>
        <w:ind w:firstLine="422" w:firstLineChars="200"/>
        <w:rPr>
          <w:rFonts w:hint="eastAsia" w:ascii="宋体" w:hAnsi="宋体"/>
          <w:highlight w:val="none"/>
        </w:rPr>
      </w:pPr>
      <w:r>
        <w:rPr>
          <w:rFonts w:ascii="宋体" w:hAnsi="宋体"/>
          <w:b/>
          <w:highlight w:val="none"/>
        </w:rPr>
        <w:t>3.1.1</w:t>
      </w:r>
      <w:r>
        <w:rPr>
          <w:highlight w:val="none"/>
        </w:rPr>
        <w:t xml:space="preserve"> </w:t>
      </w:r>
      <w:r>
        <w:rPr>
          <w:rFonts w:hint="eastAsia"/>
          <w:highlight w:val="none"/>
        </w:rPr>
        <w:t>响应文件</w:t>
      </w:r>
      <w:r>
        <w:rPr>
          <w:rFonts w:ascii="宋体" w:hAnsi="宋体"/>
          <w:highlight w:val="none"/>
        </w:rPr>
        <w:t>应包括下列内容：</w:t>
      </w:r>
      <w:r>
        <w:rPr>
          <w:rFonts w:hint="eastAsia" w:ascii="宋体" w:hAnsi="宋体"/>
          <w:highlight w:val="none"/>
        </w:rPr>
        <w:t>商务部分、技术部分、报价部分、</w:t>
      </w:r>
      <w:r>
        <w:rPr>
          <w:rFonts w:hint="eastAsia" w:ascii="宋体" w:hAnsi="宋体"/>
          <w:szCs w:val="21"/>
          <w:highlight w:val="none"/>
        </w:rPr>
        <w:t>最终谈判承诺及二次/最终报价一览表和</w:t>
      </w:r>
      <w:r>
        <w:rPr>
          <w:rFonts w:hint="eastAsia" w:ascii="宋体" w:hAnsi="宋体"/>
          <w:highlight w:val="none"/>
        </w:rPr>
        <w:t>供应商认为有必要</w:t>
      </w:r>
      <w:r>
        <w:rPr>
          <w:rFonts w:ascii="宋体" w:hAnsi="宋体"/>
          <w:highlight w:val="none"/>
        </w:rPr>
        <w:t>的其他资料</w:t>
      </w:r>
      <w:r>
        <w:rPr>
          <w:rFonts w:hint="eastAsia" w:ascii="宋体" w:hAnsi="宋体"/>
          <w:highlight w:val="none"/>
        </w:rPr>
        <w:t>。</w:t>
      </w:r>
    </w:p>
    <w:p>
      <w:pPr>
        <w:spacing w:line="360" w:lineRule="auto"/>
        <w:ind w:firstLine="422" w:firstLineChars="200"/>
        <w:rPr>
          <w:rFonts w:hint="eastAsia" w:ascii="宋体" w:hAnsi="宋体"/>
          <w:highlight w:val="none"/>
        </w:rPr>
      </w:pPr>
      <w:r>
        <w:rPr>
          <w:rFonts w:ascii="宋体" w:hAnsi="宋体"/>
          <w:b/>
          <w:highlight w:val="none"/>
        </w:rPr>
        <w:t>3.1.2</w:t>
      </w:r>
      <w:r>
        <w:rPr>
          <w:highlight w:val="none"/>
        </w:rPr>
        <w:t xml:space="preserve"> </w:t>
      </w:r>
      <w:r>
        <w:rPr>
          <w:rFonts w:ascii="宋体" w:hAnsi="宋体"/>
          <w:highlight w:val="none"/>
        </w:rPr>
        <w:t>未要求提交</w:t>
      </w:r>
      <w:r>
        <w:rPr>
          <w:rFonts w:hint="eastAsia" w:ascii="宋体" w:hAnsi="宋体"/>
          <w:highlight w:val="none"/>
        </w:rPr>
        <w:t>谈判</w:t>
      </w:r>
      <w:r>
        <w:rPr>
          <w:rFonts w:ascii="宋体" w:hAnsi="宋体"/>
          <w:highlight w:val="none"/>
        </w:rPr>
        <w:t>保证金的，</w:t>
      </w:r>
      <w:r>
        <w:rPr>
          <w:rFonts w:hint="eastAsia" w:ascii="宋体" w:hAnsi="宋体"/>
          <w:highlight w:val="none"/>
        </w:rPr>
        <w:t>响应文件</w:t>
      </w:r>
      <w:r>
        <w:rPr>
          <w:rFonts w:ascii="宋体" w:hAnsi="宋体"/>
          <w:highlight w:val="none"/>
        </w:rPr>
        <w:t>不包括</w:t>
      </w:r>
      <w:r>
        <w:rPr>
          <w:rFonts w:hint="eastAsia" w:ascii="宋体" w:hAnsi="宋体"/>
          <w:highlight w:val="none"/>
        </w:rPr>
        <w:t>谈判</w:t>
      </w:r>
      <w:r>
        <w:rPr>
          <w:rFonts w:ascii="宋体" w:hAnsi="宋体"/>
          <w:highlight w:val="none"/>
        </w:rPr>
        <w:t>保证金。</w:t>
      </w:r>
    </w:p>
    <w:p>
      <w:pPr>
        <w:spacing w:line="360" w:lineRule="auto"/>
        <w:ind w:firstLine="422" w:firstLineChars="200"/>
        <w:rPr>
          <w:rFonts w:hint="eastAsia" w:ascii="宋体" w:hAnsi="宋体"/>
          <w:highlight w:val="none"/>
        </w:rPr>
      </w:pPr>
      <w:r>
        <w:rPr>
          <w:rFonts w:hint="eastAsia" w:ascii="宋体" w:hAnsi="宋体"/>
          <w:b/>
          <w:bCs/>
          <w:highlight w:val="none"/>
        </w:rPr>
        <w:t xml:space="preserve">3.1.3 </w:t>
      </w:r>
      <w:r>
        <w:rPr>
          <w:rFonts w:hint="eastAsia" w:ascii="宋体" w:hAnsi="宋体"/>
          <w:highlight w:val="none"/>
        </w:rPr>
        <w:t>供应商</w:t>
      </w:r>
      <w:r>
        <w:rPr>
          <w:rFonts w:ascii="宋体" w:hAnsi="宋体"/>
          <w:highlight w:val="none"/>
        </w:rPr>
        <w:t>在</w:t>
      </w:r>
      <w:r>
        <w:rPr>
          <w:rFonts w:hint="eastAsia" w:ascii="宋体" w:hAnsi="宋体"/>
          <w:highlight w:val="none"/>
        </w:rPr>
        <w:t>评审</w:t>
      </w:r>
      <w:r>
        <w:rPr>
          <w:rFonts w:ascii="宋体" w:hAnsi="宋体"/>
          <w:highlight w:val="none"/>
        </w:rPr>
        <w:t>过程中</w:t>
      </w:r>
      <w:r>
        <w:rPr>
          <w:rFonts w:hint="eastAsia" w:ascii="宋体" w:hAnsi="宋体"/>
          <w:highlight w:val="none"/>
        </w:rPr>
        <w:t>做</w:t>
      </w:r>
      <w:r>
        <w:rPr>
          <w:rFonts w:ascii="宋体" w:hAnsi="宋体"/>
          <w:highlight w:val="none"/>
        </w:rPr>
        <w:t>出的符合</w:t>
      </w:r>
      <w:r>
        <w:rPr>
          <w:rFonts w:hint="eastAsia" w:ascii="宋体" w:hAnsi="宋体"/>
          <w:highlight w:val="none"/>
        </w:rPr>
        <w:t>谈判文件</w:t>
      </w:r>
      <w:r>
        <w:rPr>
          <w:rFonts w:ascii="宋体" w:hAnsi="宋体"/>
          <w:highlight w:val="none"/>
        </w:rPr>
        <w:t>规定的澄清确认，</w:t>
      </w:r>
      <w:r>
        <w:rPr>
          <w:rFonts w:hint="eastAsia" w:ascii="宋体" w:hAnsi="宋体"/>
          <w:highlight w:val="none"/>
        </w:rPr>
        <w:t>或在谈判过程中做出的承诺</w:t>
      </w:r>
      <w:r>
        <w:rPr>
          <w:rFonts w:ascii="宋体" w:hAnsi="宋体"/>
          <w:highlight w:val="none"/>
        </w:rPr>
        <w:t>构成</w:t>
      </w:r>
      <w:r>
        <w:rPr>
          <w:rFonts w:hint="eastAsia" w:ascii="宋体" w:hAnsi="宋体"/>
          <w:highlight w:val="none"/>
        </w:rPr>
        <w:t>响应文件</w:t>
      </w:r>
      <w:r>
        <w:rPr>
          <w:rFonts w:ascii="宋体" w:hAnsi="宋体"/>
          <w:highlight w:val="none"/>
        </w:rPr>
        <w:t>的组成部分。</w:t>
      </w:r>
    </w:p>
    <w:p>
      <w:pPr>
        <w:spacing w:line="360" w:lineRule="auto"/>
        <w:ind w:firstLine="241" w:firstLineChars="100"/>
        <w:rPr>
          <w:rFonts w:hint="eastAsia" w:ascii="宋体" w:hAnsi="宋体"/>
          <w:b/>
          <w:sz w:val="28"/>
          <w:highlight w:val="none"/>
        </w:rPr>
      </w:pPr>
      <w:r>
        <w:rPr>
          <w:rFonts w:ascii="宋体" w:hAnsi="宋体"/>
          <w:b/>
          <w:sz w:val="24"/>
          <w:highlight w:val="none"/>
        </w:rPr>
        <w:t>3.</w:t>
      </w:r>
      <w:r>
        <w:rPr>
          <w:rFonts w:hint="eastAsia" w:ascii="宋体" w:hAnsi="宋体"/>
          <w:b/>
          <w:sz w:val="24"/>
          <w:highlight w:val="none"/>
        </w:rPr>
        <w:t>2</w:t>
      </w:r>
      <w:r>
        <w:rPr>
          <w:rFonts w:ascii="宋体" w:hAnsi="宋体"/>
          <w:b/>
          <w:sz w:val="24"/>
          <w:highlight w:val="none"/>
        </w:rPr>
        <w:t xml:space="preserve"> </w:t>
      </w:r>
      <w:r>
        <w:rPr>
          <w:rFonts w:hint="eastAsia" w:ascii="宋体" w:hAnsi="宋体"/>
          <w:b/>
          <w:sz w:val="24"/>
          <w:highlight w:val="none"/>
        </w:rPr>
        <w:t>报价</w:t>
      </w:r>
      <w:r>
        <w:rPr>
          <w:rFonts w:ascii="宋体" w:hAnsi="宋体"/>
          <w:b/>
          <w:sz w:val="24"/>
          <w:highlight w:val="none"/>
        </w:rPr>
        <w:t>有效期</w:t>
      </w:r>
    </w:p>
    <w:p>
      <w:pPr>
        <w:spacing w:line="360" w:lineRule="auto"/>
        <w:ind w:firstLine="422" w:firstLineChars="200"/>
        <w:rPr>
          <w:highlight w:val="none"/>
        </w:rPr>
      </w:pPr>
      <w:r>
        <w:rPr>
          <w:rFonts w:ascii="宋体" w:hAnsi="宋体"/>
          <w:b/>
          <w:highlight w:val="none"/>
        </w:rPr>
        <w:t>3.</w:t>
      </w:r>
      <w:r>
        <w:rPr>
          <w:rFonts w:hint="eastAsia" w:ascii="宋体" w:hAnsi="宋体"/>
          <w:b/>
          <w:highlight w:val="none"/>
        </w:rPr>
        <w:t>2</w:t>
      </w:r>
      <w:r>
        <w:rPr>
          <w:rFonts w:ascii="宋体" w:hAnsi="宋体"/>
          <w:b/>
          <w:highlight w:val="none"/>
        </w:rPr>
        <w:t>.1</w:t>
      </w:r>
      <w:r>
        <w:rPr>
          <w:highlight w:val="none"/>
        </w:rPr>
        <w:t xml:space="preserve"> </w:t>
      </w:r>
      <w:r>
        <w:rPr>
          <w:rFonts w:hint="eastAsia"/>
          <w:highlight w:val="none"/>
        </w:rPr>
        <w:t>报价有效期自</w:t>
      </w:r>
      <w:r>
        <w:rPr>
          <w:rFonts w:hint="eastAsia" w:ascii="宋体" w:hAnsi="宋体"/>
          <w:szCs w:val="21"/>
          <w:highlight w:val="none"/>
        </w:rPr>
        <w:t>响应文件递交的截止时间（第一次</w:t>
      </w:r>
      <w:r>
        <w:rPr>
          <w:rFonts w:hint="eastAsia" w:hAnsi="宋体"/>
          <w:highlight w:val="none"/>
        </w:rPr>
        <w:t>报价截止时间</w:t>
      </w:r>
      <w:r>
        <w:rPr>
          <w:rFonts w:hint="eastAsia" w:ascii="宋体" w:hAnsi="宋体"/>
          <w:szCs w:val="21"/>
          <w:highlight w:val="none"/>
        </w:rPr>
        <w:t>）</w:t>
      </w:r>
      <w:r>
        <w:rPr>
          <w:rFonts w:hint="eastAsia"/>
          <w:highlight w:val="none"/>
        </w:rPr>
        <w:t>起开始生效，并在</w:t>
      </w:r>
      <w:r>
        <w:rPr>
          <w:rFonts w:hint="eastAsia" w:ascii="宋体" w:hAnsi="宋体"/>
          <w:bCs/>
          <w:highlight w:val="none"/>
        </w:rPr>
        <w:t>【90】</w:t>
      </w:r>
      <w:r>
        <w:rPr>
          <w:rFonts w:ascii="宋体" w:hAnsi="宋体"/>
          <w:highlight w:val="none"/>
        </w:rPr>
        <w:t>天</w:t>
      </w:r>
      <w:r>
        <w:rPr>
          <w:rFonts w:hint="eastAsia"/>
          <w:highlight w:val="none"/>
        </w:rPr>
        <w:t>内保持有效。报价有效期短于这个规定期限的报价将被视为无效报价。</w:t>
      </w:r>
    </w:p>
    <w:p>
      <w:pPr>
        <w:spacing w:line="360" w:lineRule="auto"/>
        <w:ind w:firstLine="422" w:firstLineChars="200"/>
        <w:rPr>
          <w:rFonts w:hint="eastAsia" w:ascii="宋体" w:hAnsi="宋体"/>
          <w:highlight w:val="none"/>
        </w:rPr>
      </w:pPr>
      <w:r>
        <w:rPr>
          <w:rFonts w:ascii="宋体" w:hAnsi="宋体"/>
          <w:b/>
          <w:highlight w:val="none"/>
        </w:rPr>
        <w:t>3.</w:t>
      </w:r>
      <w:r>
        <w:rPr>
          <w:rFonts w:hint="eastAsia" w:ascii="宋体" w:hAnsi="宋体"/>
          <w:b/>
          <w:highlight w:val="none"/>
        </w:rPr>
        <w:t>2</w:t>
      </w:r>
      <w:r>
        <w:rPr>
          <w:rFonts w:ascii="宋体" w:hAnsi="宋体"/>
          <w:b/>
          <w:highlight w:val="none"/>
        </w:rPr>
        <w:t>.2</w:t>
      </w:r>
      <w:r>
        <w:rPr>
          <w:highlight w:val="none"/>
        </w:rPr>
        <w:t xml:space="preserve"> </w:t>
      </w:r>
      <w:r>
        <w:rPr>
          <w:rFonts w:ascii="宋体" w:hAnsi="宋体"/>
          <w:highlight w:val="none"/>
        </w:rPr>
        <w:t>在</w:t>
      </w:r>
      <w:r>
        <w:rPr>
          <w:rFonts w:hint="eastAsia" w:ascii="宋体" w:hAnsi="宋体"/>
          <w:highlight w:val="none"/>
        </w:rPr>
        <w:t>报价</w:t>
      </w:r>
      <w:r>
        <w:rPr>
          <w:rFonts w:ascii="宋体" w:hAnsi="宋体"/>
          <w:highlight w:val="none"/>
        </w:rPr>
        <w:t>有效期内，</w:t>
      </w:r>
      <w:r>
        <w:rPr>
          <w:rFonts w:hint="eastAsia" w:ascii="宋体" w:hAnsi="宋体"/>
          <w:highlight w:val="none"/>
        </w:rPr>
        <w:t>供应商</w:t>
      </w:r>
      <w:r>
        <w:rPr>
          <w:rFonts w:ascii="宋体" w:hAnsi="宋体"/>
          <w:highlight w:val="none"/>
        </w:rPr>
        <w:t>撤销</w:t>
      </w:r>
      <w:r>
        <w:rPr>
          <w:rFonts w:hint="eastAsia" w:ascii="宋体" w:hAnsi="宋体"/>
          <w:highlight w:val="none"/>
        </w:rPr>
        <w:t>响应文件</w:t>
      </w:r>
      <w:r>
        <w:rPr>
          <w:rFonts w:ascii="宋体" w:hAnsi="宋体"/>
          <w:highlight w:val="none"/>
        </w:rPr>
        <w:t>的，应承担</w:t>
      </w:r>
      <w:r>
        <w:rPr>
          <w:rFonts w:hint="eastAsia" w:ascii="宋体" w:hAnsi="宋体"/>
          <w:highlight w:val="none"/>
        </w:rPr>
        <w:t>谈判文件</w:t>
      </w:r>
      <w:r>
        <w:rPr>
          <w:rFonts w:ascii="宋体" w:hAnsi="宋体"/>
          <w:highlight w:val="none"/>
        </w:rPr>
        <w:t>和法律规定的责任。</w:t>
      </w:r>
    </w:p>
    <w:p>
      <w:pPr>
        <w:spacing w:line="360" w:lineRule="auto"/>
        <w:ind w:firstLine="422" w:firstLineChars="200"/>
        <w:rPr>
          <w:rFonts w:hint="eastAsia" w:ascii="宋体" w:hAnsi="宋体"/>
          <w:highlight w:val="none"/>
        </w:rPr>
      </w:pPr>
      <w:r>
        <w:rPr>
          <w:rFonts w:ascii="宋体" w:hAnsi="宋体"/>
          <w:b/>
          <w:highlight w:val="none"/>
        </w:rPr>
        <w:t>3.</w:t>
      </w:r>
      <w:r>
        <w:rPr>
          <w:rFonts w:hint="eastAsia" w:ascii="宋体" w:hAnsi="宋体"/>
          <w:b/>
          <w:highlight w:val="none"/>
        </w:rPr>
        <w:t>2</w:t>
      </w:r>
      <w:r>
        <w:rPr>
          <w:rFonts w:ascii="宋体" w:hAnsi="宋体"/>
          <w:b/>
          <w:highlight w:val="none"/>
        </w:rPr>
        <w:t>.3</w:t>
      </w:r>
      <w:r>
        <w:rPr>
          <w:rFonts w:hint="eastAsia" w:ascii="宋体" w:hAnsi="宋体"/>
          <w:b/>
          <w:highlight w:val="none"/>
        </w:rPr>
        <w:t xml:space="preserve"> </w:t>
      </w:r>
      <w:r>
        <w:rPr>
          <w:rFonts w:ascii="宋体" w:hAnsi="宋体"/>
          <w:highlight w:val="none"/>
        </w:rPr>
        <w:t>出现特殊情况需要延长</w:t>
      </w:r>
      <w:r>
        <w:rPr>
          <w:rFonts w:hint="eastAsia" w:ascii="宋体" w:hAnsi="宋体"/>
          <w:highlight w:val="none"/>
        </w:rPr>
        <w:t>报价</w:t>
      </w:r>
      <w:r>
        <w:rPr>
          <w:rFonts w:ascii="宋体" w:hAnsi="宋体"/>
          <w:highlight w:val="none"/>
        </w:rPr>
        <w:t>有效期的，</w:t>
      </w:r>
      <w:r>
        <w:rPr>
          <w:rFonts w:hint="eastAsia" w:ascii="宋体" w:hAnsi="宋体"/>
          <w:highlight w:val="none"/>
        </w:rPr>
        <w:t>采购人</w:t>
      </w:r>
      <w:r>
        <w:rPr>
          <w:rFonts w:ascii="宋体" w:hAnsi="宋体"/>
          <w:highlight w:val="none"/>
        </w:rPr>
        <w:t>以书面形式通知所有</w:t>
      </w:r>
      <w:r>
        <w:rPr>
          <w:rFonts w:hint="eastAsia" w:ascii="宋体" w:hAnsi="宋体"/>
          <w:highlight w:val="none"/>
        </w:rPr>
        <w:t>供应商</w:t>
      </w:r>
      <w:r>
        <w:rPr>
          <w:rFonts w:ascii="宋体" w:hAnsi="宋体"/>
          <w:highlight w:val="none"/>
        </w:rPr>
        <w:t>延长</w:t>
      </w:r>
      <w:r>
        <w:rPr>
          <w:rFonts w:hint="eastAsia" w:ascii="宋体" w:hAnsi="宋体"/>
          <w:highlight w:val="none"/>
        </w:rPr>
        <w:t>报价</w:t>
      </w:r>
      <w:r>
        <w:rPr>
          <w:rFonts w:ascii="宋体" w:hAnsi="宋体"/>
          <w:highlight w:val="none"/>
        </w:rPr>
        <w:t>有效期。</w:t>
      </w:r>
      <w:r>
        <w:rPr>
          <w:rFonts w:hint="eastAsia" w:ascii="宋体" w:hAnsi="宋体"/>
          <w:highlight w:val="none"/>
        </w:rPr>
        <w:t>供应商</w:t>
      </w:r>
      <w:r>
        <w:rPr>
          <w:rFonts w:ascii="宋体" w:hAnsi="宋体"/>
          <w:highlight w:val="none"/>
        </w:rPr>
        <w:t>应予以书面答复，同意延长的，应相应延长其</w:t>
      </w:r>
      <w:r>
        <w:rPr>
          <w:rFonts w:hint="eastAsia" w:ascii="宋体" w:hAnsi="宋体"/>
          <w:highlight w:val="none"/>
        </w:rPr>
        <w:t>谈判保证金</w:t>
      </w:r>
      <w:r>
        <w:rPr>
          <w:rFonts w:hint="eastAsia" w:ascii="宋体" w:hAnsi="宋体" w:cs="宋体"/>
          <w:szCs w:val="21"/>
          <w:highlight w:val="none"/>
        </w:rPr>
        <w:t>或保函</w:t>
      </w:r>
      <w:r>
        <w:rPr>
          <w:rFonts w:ascii="宋体" w:hAnsi="宋体"/>
          <w:highlight w:val="none"/>
        </w:rPr>
        <w:t>的有效期，</w:t>
      </w:r>
      <w:r>
        <w:rPr>
          <w:rFonts w:hint="eastAsia" w:ascii="宋体" w:hAnsi="宋体"/>
          <w:highlight w:val="none"/>
        </w:rPr>
        <w:t>供应商</w:t>
      </w:r>
      <w:r>
        <w:rPr>
          <w:rFonts w:ascii="宋体" w:hAnsi="宋体"/>
          <w:highlight w:val="none"/>
        </w:rPr>
        <w:t>拒绝延长的，其</w:t>
      </w:r>
      <w:r>
        <w:rPr>
          <w:rFonts w:hint="eastAsia" w:ascii="宋体" w:hAnsi="宋体"/>
          <w:highlight w:val="none"/>
        </w:rPr>
        <w:t>报价</w:t>
      </w:r>
      <w:r>
        <w:rPr>
          <w:rFonts w:ascii="宋体" w:hAnsi="宋体"/>
          <w:highlight w:val="none"/>
        </w:rPr>
        <w:t>失效，但</w:t>
      </w:r>
      <w:r>
        <w:rPr>
          <w:rFonts w:hint="eastAsia" w:ascii="宋体" w:hAnsi="宋体"/>
          <w:highlight w:val="none"/>
        </w:rPr>
        <w:t>供应商</w:t>
      </w:r>
      <w:r>
        <w:rPr>
          <w:rFonts w:ascii="宋体" w:hAnsi="宋体"/>
          <w:highlight w:val="none"/>
        </w:rPr>
        <w:t>有权收回其</w:t>
      </w:r>
      <w:r>
        <w:rPr>
          <w:rFonts w:hint="eastAsia" w:ascii="宋体" w:hAnsi="宋体"/>
          <w:highlight w:val="none"/>
        </w:rPr>
        <w:t>谈判保证金</w:t>
      </w:r>
      <w:r>
        <w:rPr>
          <w:rFonts w:ascii="宋体" w:hAnsi="宋体"/>
          <w:highlight w:val="none"/>
        </w:rPr>
        <w:t>。</w:t>
      </w:r>
    </w:p>
    <w:p>
      <w:pPr>
        <w:spacing w:line="360" w:lineRule="auto"/>
        <w:ind w:firstLine="241" w:firstLineChars="100"/>
        <w:rPr>
          <w:rFonts w:hint="eastAsia" w:ascii="宋体" w:hAnsi="宋体"/>
          <w:b/>
          <w:color w:val="0000FF"/>
          <w:sz w:val="24"/>
          <w:highlight w:val="none"/>
        </w:rPr>
      </w:pPr>
      <w:r>
        <w:rPr>
          <w:rFonts w:ascii="宋体" w:hAnsi="宋体"/>
          <w:b/>
          <w:sz w:val="24"/>
          <w:highlight w:val="none"/>
        </w:rPr>
        <w:t>3.</w:t>
      </w:r>
      <w:r>
        <w:rPr>
          <w:rFonts w:hint="eastAsia" w:ascii="宋体" w:hAnsi="宋体"/>
          <w:b/>
          <w:sz w:val="24"/>
          <w:highlight w:val="none"/>
        </w:rPr>
        <w:t>3</w:t>
      </w:r>
      <w:r>
        <w:rPr>
          <w:rFonts w:ascii="宋体" w:hAnsi="宋体"/>
          <w:b/>
          <w:sz w:val="24"/>
          <w:highlight w:val="none"/>
        </w:rPr>
        <w:t xml:space="preserve"> </w:t>
      </w:r>
      <w:r>
        <w:rPr>
          <w:rFonts w:hint="eastAsia" w:ascii="宋体" w:hAnsi="宋体"/>
          <w:b/>
          <w:sz w:val="24"/>
          <w:highlight w:val="none"/>
        </w:rPr>
        <w:t>谈判保证金</w:t>
      </w:r>
      <w:r>
        <w:rPr>
          <w:rFonts w:hint="eastAsia" w:ascii="宋体" w:hAnsi="宋体"/>
          <w:bCs/>
          <w:color w:val="0000FF"/>
          <w:szCs w:val="21"/>
          <w:highlight w:val="none"/>
        </w:rPr>
        <w:t>【</w:t>
      </w:r>
      <w:r>
        <w:rPr>
          <w:rFonts w:hint="eastAsia" w:ascii="宋体" w:hAnsi="宋体" w:cs="宋体"/>
          <w:bCs/>
          <w:color w:val="0000FF"/>
          <w:szCs w:val="21"/>
          <w:highlight w:val="none"/>
        </w:rPr>
        <w:t>不适用于本项目</w:t>
      </w:r>
      <w:r>
        <w:rPr>
          <w:rFonts w:hint="eastAsia" w:ascii="宋体" w:hAnsi="宋体"/>
          <w:bCs/>
          <w:color w:val="0000FF"/>
          <w:szCs w:val="21"/>
          <w:highlight w:val="none"/>
        </w:rPr>
        <w:t>】</w:t>
      </w:r>
    </w:p>
    <w:p>
      <w:pPr>
        <w:spacing w:line="360" w:lineRule="auto"/>
        <w:ind w:firstLine="422" w:firstLineChars="200"/>
        <w:rPr>
          <w:rFonts w:hint="eastAsia" w:ascii="宋体" w:hAnsi="宋体"/>
          <w:highlight w:val="none"/>
        </w:rPr>
      </w:pPr>
      <w:r>
        <w:rPr>
          <w:rFonts w:ascii="宋体" w:hAnsi="宋体"/>
          <w:b/>
          <w:highlight w:val="none"/>
        </w:rPr>
        <w:t>3.</w:t>
      </w:r>
      <w:r>
        <w:rPr>
          <w:rFonts w:hint="eastAsia" w:ascii="宋体" w:hAnsi="宋体"/>
          <w:b/>
          <w:highlight w:val="none"/>
        </w:rPr>
        <w:t>3</w:t>
      </w:r>
      <w:r>
        <w:rPr>
          <w:rFonts w:ascii="宋体" w:hAnsi="宋体"/>
          <w:b/>
          <w:highlight w:val="none"/>
        </w:rPr>
        <w:t>.1</w:t>
      </w:r>
      <w:r>
        <w:rPr>
          <w:highlight w:val="none"/>
        </w:rPr>
        <w:t xml:space="preserve"> </w:t>
      </w:r>
      <w:r>
        <w:rPr>
          <w:rFonts w:hint="eastAsia" w:ascii="宋体" w:hAnsi="宋体"/>
          <w:highlight w:val="none"/>
        </w:rPr>
        <w:t>供应商</w:t>
      </w:r>
      <w:r>
        <w:rPr>
          <w:rFonts w:ascii="宋体" w:hAnsi="宋体"/>
          <w:highlight w:val="none"/>
        </w:rPr>
        <w:t>在递交</w:t>
      </w:r>
      <w:r>
        <w:rPr>
          <w:rFonts w:hint="eastAsia" w:ascii="宋体" w:hAnsi="宋体"/>
          <w:highlight w:val="none"/>
        </w:rPr>
        <w:t>响应文件</w:t>
      </w:r>
      <w:r>
        <w:rPr>
          <w:rFonts w:ascii="宋体" w:hAnsi="宋体"/>
          <w:highlight w:val="none"/>
        </w:rPr>
        <w:t>的同时，应递交</w:t>
      </w:r>
      <w:r>
        <w:rPr>
          <w:rFonts w:hint="eastAsia" w:ascii="宋体" w:hAnsi="宋体"/>
          <w:highlight w:val="none"/>
        </w:rPr>
        <w:t>谈判保证金</w:t>
      </w:r>
      <w:r>
        <w:rPr>
          <w:rFonts w:ascii="宋体" w:hAnsi="宋体"/>
          <w:highlight w:val="none"/>
        </w:rPr>
        <w:t>，并作为其</w:t>
      </w:r>
      <w:r>
        <w:rPr>
          <w:rFonts w:hint="eastAsia" w:ascii="宋体" w:hAnsi="宋体"/>
          <w:highlight w:val="none"/>
        </w:rPr>
        <w:t>响应文件</w:t>
      </w:r>
      <w:r>
        <w:rPr>
          <w:rFonts w:ascii="宋体" w:hAnsi="宋体"/>
          <w:highlight w:val="none"/>
        </w:rPr>
        <w:t>的组成部分。</w:t>
      </w:r>
      <w:r>
        <w:rPr>
          <w:rFonts w:hint="eastAsia" w:ascii="宋体" w:hAnsi="宋体"/>
          <w:highlight w:val="none"/>
        </w:rPr>
        <w:t>供应商如通过汇款形式递交谈判保证金的</w:t>
      </w:r>
      <w:r>
        <w:rPr>
          <w:rFonts w:ascii="宋体" w:hAnsi="宋体"/>
          <w:highlight w:val="none"/>
        </w:rPr>
        <w:t>，应当从其</w:t>
      </w:r>
      <w:r>
        <w:rPr>
          <w:rFonts w:hint="eastAsia" w:ascii="宋体" w:hAnsi="宋体"/>
          <w:highlight w:val="none"/>
        </w:rPr>
        <w:t>公司</w:t>
      </w:r>
      <w:r>
        <w:rPr>
          <w:rFonts w:ascii="宋体" w:hAnsi="宋体"/>
          <w:highlight w:val="none"/>
        </w:rPr>
        <w:t>账户转出</w:t>
      </w:r>
      <w:r>
        <w:rPr>
          <w:rFonts w:hint="eastAsia" w:ascii="宋体" w:hAnsi="宋体"/>
          <w:highlight w:val="none"/>
        </w:rPr>
        <w:t>，</w:t>
      </w:r>
      <w:r>
        <w:rPr>
          <w:rFonts w:hint="eastAsia" w:ascii="宋体" w:hAnsi="宋体" w:cs="宋体"/>
          <w:szCs w:val="21"/>
          <w:highlight w:val="none"/>
        </w:rPr>
        <w:t>通过金融机构保函形式递交谈判保证金的，应当以供应商名义委托开具，所递交的保函类型应为无条件、不可撤销、见索即付的，且受益人应与本项目采购代理机构一致，有效期应当与报价有效期一致。</w:t>
      </w:r>
      <w:r>
        <w:rPr>
          <w:rFonts w:hint="eastAsia" w:ascii="宋体" w:hAnsi="宋体"/>
          <w:highlight w:val="none"/>
        </w:rPr>
        <w:t>采购代理机构不接受任何个人名义汇款缴纳的谈判保证金</w:t>
      </w:r>
      <w:r>
        <w:rPr>
          <w:rFonts w:hint="eastAsia" w:ascii="宋体" w:hAnsi="宋体" w:cs="宋体"/>
          <w:szCs w:val="21"/>
          <w:highlight w:val="none"/>
        </w:rPr>
        <w:t>或委托开具的谈判保证金保函</w:t>
      </w:r>
      <w:r>
        <w:rPr>
          <w:rFonts w:hint="eastAsia" w:ascii="宋体" w:hAnsi="宋体"/>
          <w:highlight w:val="none"/>
        </w:rPr>
        <w:t>。谈判保证金</w:t>
      </w:r>
      <w:r>
        <w:rPr>
          <w:rFonts w:hint="eastAsia" w:ascii="宋体" w:hAnsi="宋体" w:cs="宋体"/>
          <w:szCs w:val="21"/>
          <w:highlight w:val="none"/>
        </w:rPr>
        <w:t>的金额：【】元人民币。</w:t>
      </w:r>
    </w:p>
    <w:p>
      <w:pPr>
        <w:spacing w:line="360" w:lineRule="auto"/>
        <w:ind w:firstLine="422" w:firstLineChars="200"/>
        <w:rPr>
          <w:rFonts w:hint="eastAsia" w:ascii="宋体" w:hAnsi="宋体" w:cs="宋体"/>
          <w:highlight w:val="none"/>
        </w:rPr>
      </w:pPr>
      <w:r>
        <w:rPr>
          <w:rFonts w:hint="eastAsia" w:ascii="宋体" w:hAnsi="宋体"/>
          <w:b/>
          <w:bCs/>
          <w:highlight w:val="none"/>
        </w:rPr>
        <w:t>3.3.2谈判</w:t>
      </w:r>
      <w:r>
        <w:rPr>
          <w:rFonts w:hint="eastAsia" w:ascii="宋体" w:hAnsi="宋体" w:cs="宋体"/>
          <w:b/>
          <w:bCs/>
          <w:highlight w:val="none"/>
        </w:rPr>
        <w:t>保证金汇入账号：</w:t>
      </w:r>
      <w:r>
        <w:rPr>
          <w:rFonts w:hint="eastAsia" w:ascii="宋体" w:hAnsi="宋体"/>
          <w:highlight w:val="none"/>
        </w:rPr>
        <w:t>供应商</w:t>
      </w:r>
      <w:r>
        <w:rPr>
          <w:rFonts w:hint="eastAsia" w:ascii="宋体" w:hAnsi="宋体" w:cs="宋体"/>
          <w:highlight w:val="none"/>
        </w:rPr>
        <w:t>在线购买并成功下载谈判文件后，平台系统将自动生成本次项目的谈判保证金汇入</w:t>
      </w:r>
      <w:r>
        <w:rPr>
          <w:rFonts w:hint="eastAsia" w:ascii="宋体" w:hAnsi="宋体" w:cs="宋体"/>
          <w:szCs w:val="21"/>
          <w:highlight w:val="none"/>
        </w:rPr>
        <w:t>银行</w:t>
      </w:r>
      <w:r>
        <w:rPr>
          <w:rFonts w:hint="eastAsia" w:ascii="宋体" w:hAnsi="宋体" w:cs="宋体"/>
          <w:highlight w:val="none"/>
        </w:rPr>
        <w:t>账号。供应商可在南航采购平台中，谈判文件下载页面查看</w:t>
      </w:r>
      <w:r>
        <w:rPr>
          <w:rFonts w:hint="eastAsia" w:ascii="宋体" w:hAnsi="宋体" w:cs="宋体"/>
          <w:szCs w:val="21"/>
          <w:highlight w:val="none"/>
        </w:rPr>
        <w:t>本供应商专属的唯一的谈判</w:t>
      </w:r>
      <w:r>
        <w:rPr>
          <w:rFonts w:hint="eastAsia" w:ascii="宋体" w:hAnsi="宋体" w:cs="宋体"/>
          <w:highlight w:val="none"/>
        </w:rPr>
        <w:t>保证金接收银行账号。（说明：为使各供应商的保证金自动对应参与的谈判项目，平台系统已对接银行保证金管理系统，将在购买谈判文件成功后，为各供应商参与的每个谈判的项目，单独分配一个银行附属账户</w:t>
      </w:r>
      <w:r>
        <w:rPr>
          <w:rFonts w:hint="eastAsia" w:ascii="宋体" w:hAnsi="宋体" w:cs="宋体"/>
          <w:szCs w:val="21"/>
          <w:highlight w:val="none"/>
        </w:rPr>
        <w:t>；各供应商应对其获得的银行附属账户账号保密，各供应商之间的银行附属账户账号是相互独立、专属且唯一的，请勿从任何其他渠道获取谈判保证金汇入账号，否则可能导致报价无效，由此产生的一切后果与责任概由供应商自行承担</w:t>
      </w:r>
      <w:r>
        <w:rPr>
          <w:rFonts w:hint="eastAsia" w:ascii="宋体" w:hAnsi="宋体" w:cs="宋体"/>
          <w:highlight w:val="none"/>
        </w:rPr>
        <w:t>。注意供应商同时所参与的不同项目，其保证金账号不同。）</w:t>
      </w:r>
    </w:p>
    <w:p>
      <w:pPr>
        <w:spacing w:line="360" w:lineRule="auto"/>
        <w:ind w:firstLine="422" w:firstLineChars="200"/>
        <w:rPr>
          <w:rFonts w:hint="eastAsia" w:ascii="宋体" w:hAnsi="宋体" w:cs="宋体"/>
          <w:highlight w:val="none"/>
        </w:rPr>
      </w:pPr>
      <w:r>
        <w:rPr>
          <w:rFonts w:hint="eastAsia" w:ascii="宋体" w:hAnsi="宋体" w:cs="宋体"/>
          <w:b/>
          <w:bCs/>
          <w:highlight w:val="none"/>
        </w:rPr>
        <w:t>谈判保证金的递交：</w:t>
      </w:r>
      <w:r>
        <w:rPr>
          <w:rFonts w:hint="eastAsia" w:ascii="宋体" w:hAnsi="宋体" w:cs="宋体"/>
          <w:highlight w:val="none"/>
        </w:rPr>
        <w:t>请各供应商务必对应本次参加的谈判项目，将谈判保证金汇入与本谈判项目对应的</w:t>
      </w:r>
      <w:r>
        <w:rPr>
          <w:rFonts w:hint="eastAsia" w:ascii="宋体" w:hAnsi="宋体" w:cs="宋体"/>
          <w:szCs w:val="21"/>
          <w:highlight w:val="none"/>
        </w:rPr>
        <w:t>各自独立、专属且唯一的</w:t>
      </w:r>
      <w:r>
        <w:rPr>
          <w:rFonts w:hint="eastAsia" w:ascii="宋体" w:hAnsi="宋体" w:cs="宋体"/>
          <w:highlight w:val="none"/>
        </w:rPr>
        <w:t>子账号中，或者向采购</w:t>
      </w:r>
      <w:r>
        <w:rPr>
          <w:rFonts w:hint="eastAsia" w:ascii="宋体" w:hAnsi="宋体"/>
          <w:highlight w:val="none"/>
        </w:rPr>
        <w:t>代理机构</w:t>
      </w:r>
      <w:r>
        <w:rPr>
          <w:rFonts w:hint="eastAsia" w:ascii="宋体" w:hAnsi="宋体" w:cs="宋体"/>
          <w:highlight w:val="none"/>
        </w:rPr>
        <w:t>提交保函。汇款成功后，供应商可以登录南航采购平台查看保证金汇款的到账情况。</w:t>
      </w:r>
      <w:r>
        <w:rPr>
          <w:rFonts w:hint="eastAsia" w:ascii="宋体" w:hAnsi="宋体" w:cs="宋体"/>
          <w:b/>
          <w:bCs/>
          <w:szCs w:val="21"/>
          <w:highlight w:val="none"/>
        </w:rPr>
        <w:t>注意：</w:t>
      </w:r>
      <w:r>
        <w:rPr>
          <w:rFonts w:hint="eastAsia" w:ascii="宋体" w:hAnsi="宋体" w:cs="宋体"/>
          <w:szCs w:val="21"/>
          <w:highlight w:val="none"/>
        </w:rPr>
        <w:t>1、参与的每个采购项目，单独分配一个银行附属账户。供应商同时参与的不同项目，其保证金账号不同，每个独立的标包都有独立账号，请注意不要打错账号；2、仅接受人民币币种缴纳；3、境外企业及港澳台地区企业无法用人民币付款的，可使用银行保函形式递交保证金，供应商</w:t>
      </w:r>
      <w:r>
        <w:rPr>
          <w:rFonts w:hint="eastAsia" w:ascii="宋体" w:hAnsi="宋体" w:cs="宋体"/>
          <w:bCs/>
          <w:szCs w:val="21"/>
          <w:highlight w:val="none"/>
        </w:rPr>
        <w:t>须在响应文件递交的截止时间前向采购代理机构提交银行保函原件；</w:t>
      </w:r>
      <w:r>
        <w:rPr>
          <w:rFonts w:hint="eastAsia" w:ascii="宋体" w:hAnsi="宋体" w:cs="宋体"/>
          <w:bCs/>
          <w:color w:val="0000FF"/>
          <w:szCs w:val="21"/>
          <w:highlight w:val="none"/>
        </w:rPr>
        <w:t>【允许/不允许】</w:t>
      </w:r>
      <w:r>
        <w:rPr>
          <w:rFonts w:hint="eastAsia" w:ascii="宋体" w:hAnsi="宋体" w:cs="宋体"/>
          <w:color w:val="0000FF"/>
          <w:kern w:val="0"/>
          <w:szCs w:val="21"/>
          <w:highlight w:val="none"/>
        </w:rPr>
        <w:t>（选择适用类别后删除另一类）</w:t>
      </w:r>
      <w:r>
        <w:rPr>
          <w:rFonts w:hint="eastAsia" w:ascii="宋体" w:hAnsi="宋体" w:cs="宋体"/>
          <w:bCs/>
          <w:szCs w:val="21"/>
          <w:highlight w:val="none"/>
        </w:rPr>
        <w:t>境内企业提交银行保函。4、</w:t>
      </w:r>
      <w:r>
        <w:rPr>
          <w:rFonts w:hint="eastAsia" w:ascii="宋体" w:hAnsi="宋体" w:cs="宋体"/>
          <w:szCs w:val="21"/>
          <w:highlight w:val="none"/>
        </w:rPr>
        <w:t>如因供应商汇错账号无法正常入账或因币种问题产生的后果由供应商自行承担。</w:t>
      </w:r>
    </w:p>
    <w:p>
      <w:pPr>
        <w:spacing w:line="360" w:lineRule="auto"/>
        <w:ind w:firstLine="422" w:firstLineChars="200"/>
        <w:rPr>
          <w:rFonts w:hint="eastAsia" w:ascii="宋体" w:hAnsi="宋体"/>
          <w:highlight w:val="none"/>
        </w:rPr>
      </w:pPr>
      <w:r>
        <w:rPr>
          <w:rFonts w:ascii="宋体" w:hAnsi="宋体"/>
          <w:b/>
          <w:highlight w:val="none"/>
        </w:rPr>
        <w:t>3.</w:t>
      </w:r>
      <w:r>
        <w:rPr>
          <w:rFonts w:hint="eastAsia" w:ascii="宋体" w:hAnsi="宋体"/>
          <w:b/>
          <w:highlight w:val="none"/>
        </w:rPr>
        <w:t>3</w:t>
      </w:r>
      <w:r>
        <w:rPr>
          <w:rFonts w:ascii="宋体" w:hAnsi="宋体"/>
          <w:b/>
          <w:highlight w:val="none"/>
        </w:rPr>
        <w:t>.</w:t>
      </w:r>
      <w:r>
        <w:rPr>
          <w:rFonts w:hint="eastAsia" w:ascii="宋体" w:hAnsi="宋体"/>
          <w:b/>
          <w:highlight w:val="none"/>
        </w:rPr>
        <w:t>3</w:t>
      </w:r>
      <w:r>
        <w:rPr>
          <w:rFonts w:ascii="宋体" w:hAnsi="宋体"/>
          <w:highlight w:val="none"/>
        </w:rPr>
        <w:t xml:space="preserve"> </w:t>
      </w:r>
      <w:r>
        <w:rPr>
          <w:rFonts w:hint="eastAsia" w:ascii="宋体" w:hAnsi="宋体"/>
          <w:highlight w:val="none"/>
        </w:rPr>
        <w:t>供应商</w:t>
      </w:r>
      <w:r>
        <w:rPr>
          <w:rFonts w:ascii="宋体" w:hAnsi="宋体"/>
          <w:highlight w:val="none"/>
        </w:rPr>
        <w:t>不按要求提交</w:t>
      </w:r>
      <w:r>
        <w:rPr>
          <w:rFonts w:hint="eastAsia" w:ascii="宋体" w:hAnsi="宋体"/>
          <w:highlight w:val="none"/>
        </w:rPr>
        <w:t>谈判保证金</w:t>
      </w:r>
      <w:r>
        <w:rPr>
          <w:rFonts w:ascii="宋体" w:hAnsi="宋体"/>
          <w:highlight w:val="none"/>
        </w:rPr>
        <w:t>的，</w:t>
      </w:r>
      <w:r>
        <w:rPr>
          <w:rFonts w:hint="eastAsia" w:ascii="宋体" w:hAnsi="宋体"/>
          <w:highlight w:val="none"/>
        </w:rPr>
        <w:t>谈判小组</w:t>
      </w:r>
      <w:r>
        <w:rPr>
          <w:rFonts w:ascii="宋体" w:hAnsi="宋体"/>
          <w:highlight w:val="none"/>
        </w:rPr>
        <w:t>将否决其</w:t>
      </w:r>
      <w:r>
        <w:rPr>
          <w:rFonts w:hint="eastAsia" w:ascii="宋体" w:hAnsi="宋体"/>
          <w:highlight w:val="none"/>
        </w:rPr>
        <w:t>报价</w:t>
      </w:r>
      <w:r>
        <w:rPr>
          <w:rFonts w:ascii="宋体" w:hAnsi="宋体"/>
          <w:highlight w:val="none"/>
        </w:rPr>
        <w:t>。</w:t>
      </w:r>
    </w:p>
    <w:p>
      <w:pPr>
        <w:spacing w:line="360" w:lineRule="auto"/>
        <w:ind w:firstLine="422" w:firstLineChars="200"/>
        <w:rPr>
          <w:rFonts w:hint="eastAsia" w:ascii="宋体" w:hAnsi="宋体"/>
          <w:highlight w:val="none"/>
        </w:rPr>
      </w:pPr>
      <w:r>
        <w:rPr>
          <w:rFonts w:ascii="宋体" w:hAnsi="宋体"/>
          <w:b/>
          <w:highlight w:val="none"/>
        </w:rPr>
        <w:t>3.</w:t>
      </w:r>
      <w:r>
        <w:rPr>
          <w:rFonts w:hint="eastAsia" w:ascii="宋体" w:hAnsi="宋体"/>
          <w:b/>
          <w:highlight w:val="none"/>
        </w:rPr>
        <w:t>3</w:t>
      </w:r>
      <w:r>
        <w:rPr>
          <w:rFonts w:ascii="宋体" w:hAnsi="宋体"/>
          <w:b/>
          <w:highlight w:val="none"/>
        </w:rPr>
        <w:t>.</w:t>
      </w:r>
      <w:r>
        <w:rPr>
          <w:rFonts w:hint="eastAsia" w:ascii="宋体" w:hAnsi="宋体"/>
          <w:b/>
          <w:highlight w:val="none"/>
        </w:rPr>
        <w:t>4</w:t>
      </w:r>
      <w:r>
        <w:rPr>
          <w:rFonts w:hint="eastAsia" w:ascii="宋体" w:hAnsi="宋体"/>
          <w:highlight w:val="none"/>
        </w:rPr>
        <w:t>未成交的供应商谈判保证金，在成交通知书发出</w:t>
      </w:r>
      <w:r>
        <w:rPr>
          <w:rFonts w:hint="eastAsia" w:ascii="宋体" w:hAnsi="宋体" w:cs="宋体"/>
          <w:highlight w:val="none"/>
        </w:rPr>
        <w:t>之日起</w:t>
      </w:r>
      <w:r>
        <w:rPr>
          <w:rFonts w:hint="eastAsia" w:ascii="宋体" w:hAnsi="宋体"/>
          <w:highlight w:val="none"/>
        </w:rPr>
        <w:t>三十日内</w:t>
      </w:r>
      <w:r>
        <w:rPr>
          <w:rFonts w:hint="eastAsia" w:ascii="宋体" w:hAnsi="宋体" w:cs="宋体"/>
          <w:szCs w:val="21"/>
          <w:highlight w:val="none"/>
          <w:lang w:bidi="ar"/>
        </w:rPr>
        <w:t>或本项目合同签订后5日内（二者以先到者为准）按未成交供应商保证金汇款路径</w:t>
      </w:r>
      <w:r>
        <w:rPr>
          <w:rFonts w:hint="eastAsia" w:ascii="宋体" w:hAnsi="宋体"/>
          <w:highlight w:val="none"/>
        </w:rPr>
        <w:t>不计利息原额原路退还</w:t>
      </w:r>
      <w:r>
        <w:rPr>
          <w:rFonts w:hint="eastAsia" w:ascii="宋体" w:hAnsi="宋体" w:cs="宋体"/>
          <w:szCs w:val="21"/>
          <w:highlight w:val="none"/>
          <w:lang w:bidi="ar"/>
        </w:rPr>
        <w:t>或退还保函</w:t>
      </w:r>
      <w:r>
        <w:rPr>
          <w:rFonts w:hint="eastAsia" w:ascii="宋体" w:hAnsi="宋体"/>
          <w:highlight w:val="none"/>
        </w:rPr>
        <w:t>；如有异议或投诉，将在异议和投诉处理完毕后不计利息原额原路退还。成交供应商的谈判保证金，在缴纳成交服务费并且与采购人签订合同后，不计利息原路退还剩余保证金</w:t>
      </w:r>
      <w:r>
        <w:rPr>
          <w:rFonts w:hint="eastAsia" w:ascii="宋体" w:hAnsi="宋体" w:cs="宋体"/>
          <w:szCs w:val="21"/>
          <w:highlight w:val="none"/>
        </w:rPr>
        <w:t>或退还保函</w:t>
      </w:r>
      <w:r>
        <w:rPr>
          <w:rFonts w:hint="eastAsia" w:ascii="宋体" w:hAnsi="宋体"/>
          <w:highlight w:val="none"/>
        </w:rPr>
        <w:t>。</w:t>
      </w:r>
      <w:r>
        <w:rPr>
          <w:rFonts w:hint="eastAsia" w:ascii="宋体" w:hAnsi="宋体" w:cs="宋体"/>
          <w:highlight w:val="none"/>
        </w:rPr>
        <w:t>由于供应商银行信息变更导致原路退还失败的，请联系采购代理机构工作人员，重新提供变更后的银行信息。</w:t>
      </w:r>
    </w:p>
    <w:p>
      <w:pPr>
        <w:spacing w:line="360" w:lineRule="auto"/>
        <w:ind w:firstLine="422" w:firstLineChars="200"/>
        <w:rPr>
          <w:rFonts w:hint="eastAsia" w:ascii="宋体" w:hAnsi="宋体"/>
          <w:highlight w:val="none"/>
        </w:rPr>
      </w:pPr>
      <w:r>
        <w:rPr>
          <w:rFonts w:ascii="宋体" w:hAnsi="宋体"/>
          <w:b/>
          <w:highlight w:val="none"/>
        </w:rPr>
        <w:t>3.</w:t>
      </w:r>
      <w:r>
        <w:rPr>
          <w:rFonts w:hint="eastAsia" w:ascii="宋体" w:hAnsi="宋体"/>
          <w:b/>
          <w:highlight w:val="none"/>
        </w:rPr>
        <w:t>3</w:t>
      </w:r>
      <w:r>
        <w:rPr>
          <w:rFonts w:ascii="宋体" w:hAnsi="宋体"/>
          <w:b/>
          <w:highlight w:val="none"/>
        </w:rPr>
        <w:t>.</w:t>
      </w:r>
      <w:r>
        <w:rPr>
          <w:rFonts w:hint="eastAsia" w:ascii="宋体" w:hAnsi="宋体"/>
          <w:b/>
          <w:highlight w:val="none"/>
        </w:rPr>
        <w:t>5</w:t>
      </w:r>
      <w:r>
        <w:rPr>
          <w:rFonts w:ascii="宋体" w:hAnsi="宋体"/>
          <w:highlight w:val="none"/>
        </w:rPr>
        <w:t xml:space="preserve"> 有下列情形之一的，</w:t>
      </w:r>
      <w:r>
        <w:rPr>
          <w:rFonts w:hint="eastAsia" w:ascii="宋体" w:hAnsi="宋体" w:cs="宋体"/>
          <w:highlight w:val="none"/>
        </w:rPr>
        <w:t>采购</w:t>
      </w:r>
      <w:r>
        <w:rPr>
          <w:rFonts w:hint="eastAsia" w:ascii="宋体" w:hAnsi="宋体"/>
          <w:highlight w:val="none"/>
        </w:rPr>
        <w:t>代理机构</w:t>
      </w:r>
      <w:r>
        <w:rPr>
          <w:rFonts w:hint="eastAsia" w:ascii="宋体" w:hAnsi="宋体" w:cs="宋体"/>
          <w:highlight w:val="none"/>
        </w:rPr>
        <w:t>有权不予退还谈判保证金</w:t>
      </w:r>
      <w:r>
        <w:rPr>
          <w:rFonts w:hint="eastAsia" w:ascii="宋体" w:hAnsi="宋体"/>
          <w:highlight w:val="none"/>
        </w:rPr>
        <w:t>，</w:t>
      </w:r>
      <w:r>
        <w:rPr>
          <w:rFonts w:hint="eastAsia" w:ascii="宋体" w:hAnsi="宋体" w:cs="宋体"/>
          <w:szCs w:val="21"/>
          <w:highlight w:val="none"/>
        </w:rPr>
        <w:t>以保函形式递交保证金的，采购</w:t>
      </w:r>
      <w:r>
        <w:rPr>
          <w:rFonts w:hint="eastAsia" w:ascii="宋体" w:hAnsi="宋体"/>
          <w:highlight w:val="none"/>
        </w:rPr>
        <w:t>代理机构</w:t>
      </w:r>
      <w:r>
        <w:rPr>
          <w:rFonts w:hint="eastAsia" w:ascii="宋体" w:hAnsi="宋体" w:cs="宋体"/>
          <w:szCs w:val="21"/>
          <w:highlight w:val="none"/>
        </w:rPr>
        <w:t>有权要求保函出具机构（担保人）向采购</w:t>
      </w:r>
      <w:r>
        <w:rPr>
          <w:rFonts w:hint="eastAsia" w:ascii="宋体" w:hAnsi="宋体"/>
          <w:highlight w:val="none"/>
        </w:rPr>
        <w:t>代理机构</w:t>
      </w:r>
      <w:r>
        <w:rPr>
          <w:rFonts w:hint="eastAsia" w:ascii="宋体" w:hAnsi="宋体" w:cs="宋体"/>
          <w:szCs w:val="21"/>
          <w:highlight w:val="none"/>
        </w:rPr>
        <w:t>全额支付保函金额</w:t>
      </w:r>
      <w:r>
        <w:rPr>
          <w:rFonts w:ascii="宋体" w:hAnsi="宋体"/>
          <w:highlight w:val="none"/>
        </w:rPr>
        <w:t>：</w:t>
      </w:r>
    </w:p>
    <w:p>
      <w:pPr>
        <w:spacing w:line="360" w:lineRule="auto"/>
        <w:ind w:firstLine="422" w:firstLineChars="200"/>
        <w:rPr>
          <w:rFonts w:hint="eastAsia" w:ascii="宋体" w:hAnsi="宋体"/>
          <w:highlight w:val="none"/>
        </w:rPr>
      </w:pPr>
      <w:r>
        <w:rPr>
          <w:rFonts w:hint="eastAsia" w:ascii="宋体" w:hAnsi="宋体"/>
          <w:b/>
          <w:highlight w:val="none"/>
        </w:rPr>
        <w:t>3.3.5.1</w:t>
      </w:r>
      <w:r>
        <w:rPr>
          <w:rFonts w:hint="eastAsia" w:ascii="宋体" w:hAnsi="宋体"/>
          <w:highlight w:val="none"/>
        </w:rPr>
        <w:t xml:space="preserve"> 供应商</w:t>
      </w:r>
      <w:r>
        <w:rPr>
          <w:rFonts w:ascii="宋体" w:hAnsi="宋体"/>
          <w:highlight w:val="none"/>
        </w:rPr>
        <w:t>在</w:t>
      </w:r>
      <w:r>
        <w:rPr>
          <w:rFonts w:hint="eastAsia" w:ascii="宋体" w:hAnsi="宋体"/>
          <w:highlight w:val="none"/>
        </w:rPr>
        <w:t>报价有效期</w:t>
      </w:r>
      <w:r>
        <w:rPr>
          <w:rFonts w:ascii="宋体" w:hAnsi="宋体"/>
          <w:highlight w:val="none"/>
        </w:rPr>
        <w:t>内撤销</w:t>
      </w:r>
      <w:r>
        <w:rPr>
          <w:rFonts w:hint="eastAsia" w:ascii="宋体" w:hAnsi="宋体"/>
          <w:highlight w:val="none"/>
        </w:rPr>
        <w:t>响应文件的</w:t>
      </w:r>
      <w:r>
        <w:rPr>
          <w:rFonts w:ascii="宋体" w:hAnsi="宋体"/>
          <w:highlight w:val="none"/>
        </w:rPr>
        <w:t>；</w:t>
      </w:r>
    </w:p>
    <w:p>
      <w:pPr>
        <w:spacing w:line="360" w:lineRule="auto"/>
        <w:ind w:firstLine="422" w:firstLineChars="200"/>
        <w:rPr>
          <w:rFonts w:hint="eastAsia" w:ascii="宋体" w:hAnsi="宋体"/>
          <w:highlight w:val="none"/>
        </w:rPr>
      </w:pPr>
      <w:r>
        <w:rPr>
          <w:rFonts w:hint="eastAsia" w:ascii="宋体" w:hAnsi="宋体"/>
          <w:b/>
          <w:highlight w:val="none"/>
        </w:rPr>
        <w:t>3.3.5.2</w:t>
      </w:r>
      <w:r>
        <w:rPr>
          <w:rFonts w:hint="eastAsia" w:ascii="宋体" w:hAnsi="宋体"/>
          <w:highlight w:val="none"/>
        </w:rPr>
        <w:t xml:space="preserve"> 提供虚假材料的；</w:t>
      </w:r>
    </w:p>
    <w:p>
      <w:pPr>
        <w:spacing w:line="360" w:lineRule="auto"/>
        <w:ind w:firstLine="422" w:firstLineChars="200"/>
        <w:rPr>
          <w:rFonts w:hint="eastAsia" w:ascii="宋体" w:hAnsi="宋体"/>
          <w:highlight w:val="none"/>
        </w:rPr>
      </w:pPr>
      <w:r>
        <w:rPr>
          <w:rFonts w:hint="eastAsia" w:ascii="宋体" w:hAnsi="宋体"/>
          <w:b/>
          <w:highlight w:val="none"/>
        </w:rPr>
        <w:t>3.3.5.3</w:t>
      </w:r>
      <w:r>
        <w:rPr>
          <w:rFonts w:hint="eastAsia" w:ascii="宋体" w:hAnsi="宋体"/>
          <w:highlight w:val="none"/>
        </w:rPr>
        <w:t xml:space="preserve"> 供应商相互或者与采购人串通的</w:t>
      </w:r>
      <w:r>
        <w:rPr>
          <w:rFonts w:hint="eastAsia" w:ascii="宋体" w:hAnsi="宋体" w:cs="宋体"/>
          <w:highlight w:val="none"/>
        </w:rPr>
        <w:t>（对“串通”行为的认定，参照招标投标法、招标投标法实施条例及相关司法解释中对串通投标行为的认定）</w:t>
      </w:r>
      <w:r>
        <w:rPr>
          <w:rFonts w:hint="eastAsia" w:ascii="宋体" w:hAnsi="宋体"/>
          <w:highlight w:val="none"/>
        </w:rPr>
        <w:t>；</w:t>
      </w:r>
    </w:p>
    <w:p>
      <w:pPr>
        <w:spacing w:line="360" w:lineRule="auto"/>
        <w:ind w:firstLine="422" w:firstLineChars="200"/>
        <w:rPr>
          <w:rFonts w:hint="eastAsia" w:ascii="宋体" w:hAnsi="宋体"/>
          <w:highlight w:val="none"/>
        </w:rPr>
      </w:pPr>
      <w:r>
        <w:rPr>
          <w:rFonts w:hint="eastAsia" w:ascii="宋体" w:hAnsi="宋体"/>
          <w:b/>
          <w:highlight w:val="none"/>
        </w:rPr>
        <w:t xml:space="preserve">3.3.5.4 </w:t>
      </w:r>
      <w:r>
        <w:rPr>
          <w:rFonts w:hint="eastAsia" w:ascii="宋体" w:hAnsi="宋体" w:cs="宋体"/>
          <w:highlight w:val="none"/>
        </w:rPr>
        <w:t>供应商</w:t>
      </w:r>
      <w:r>
        <w:rPr>
          <w:rFonts w:hint="eastAsia" w:ascii="宋体" w:hAnsi="宋体" w:cs="宋体"/>
          <w:szCs w:val="21"/>
          <w:highlight w:val="none"/>
        </w:rPr>
        <w:t>在成交候选人公示期间放弃成交候选人资格；或</w:t>
      </w:r>
      <w:r>
        <w:rPr>
          <w:rFonts w:ascii="宋体" w:hAnsi="宋体"/>
          <w:highlight w:val="none"/>
        </w:rPr>
        <w:t>在收到</w:t>
      </w:r>
      <w:r>
        <w:rPr>
          <w:rFonts w:hint="eastAsia" w:ascii="宋体" w:hAnsi="宋体"/>
          <w:highlight w:val="none"/>
        </w:rPr>
        <w:t>成交通知书</w:t>
      </w:r>
      <w:r>
        <w:rPr>
          <w:rFonts w:ascii="宋体" w:hAnsi="宋体"/>
          <w:highlight w:val="none"/>
        </w:rPr>
        <w:t>后，</w:t>
      </w:r>
      <w:r>
        <w:rPr>
          <w:rFonts w:hint="eastAsia" w:ascii="宋体" w:hAnsi="宋体" w:cs="宋体"/>
          <w:szCs w:val="21"/>
          <w:highlight w:val="none"/>
        </w:rPr>
        <w:t>单方面要求放弃成交资格或</w:t>
      </w:r>
      <w:r>
        <w:rPr>
          <w:rFonts w:ascii="宋体" w:hAnsi="宋体"/>
          <w:highlight w:val="none"/>
        </w:rPr>
        <w:t>无正当理由不与</w:t>
      </w:r>
      <w:r>
        <w:rPr>
          <w:rFonts w:hint="eastAsia" w:ascii="宋体" w:hAnsi="宋体"/>
          <w:highlight w:val="none"/>
        </w:rPr>
        <w:t>采购人</w:t>
      </w:r>
      <w:r>
        <w:rPr>
          <w:rFonts w:ascii="宋体" w:hAnsi="宋体"/>
          <w:highlight w:val="none"/>
        </w:rPr>
        <w:t>订立合同</w:t>
      </w:r>
      <w:r>
        <w:rPr>
          <w:rFonts w:hint="eastAsia" w:ascii="宋体" w:hAnsi="宋体"/>
          <w:highlight w:val="none"/>
        </w:rPr>
        <w:t>；或</w:t>
      </w:r>
      <w:r>
        <w:rPr>
          <w:rFonts w:ascii="宋体" w:hAnsi="宋体"/>
          <w:highlight w:val="none"/>
        </w:rPr>
        <w:t>在签订合同时向</w:t>
      </w:r>
      <w:r>
        <w:rPr>
          <w:rFonts w:hint="eastAsia" w:ascii="宋体" w:hAnsi="宋体"/>
          <w:highlight w:val="none"/>
        </w:rPr>
        <w:t>采购人</w:t>
      </w:r>
      <w:r>
        <w:rPr>
          <w:rFonts w:ascii="宋体" w:hAnsi="宋体"/>
          <w:highlight w:val="none"/>
        </w:rPr>
        <w:t>提出附加条件</w:t>
      </w:r>
      <w:r>
        <w:rPr>
          <w:rFonts w:hint="eastAsia" w:ascii="宋体" w:hAnsi="宋体"/>
          <w:highlight w:val="none"/>
        </w:rPr>
        <w:t>；</w:t>
      </w:r>
      <w:r>
        <w:rPr>
          <w:rFonts w:ascii="宋体" w:hAnsi="宋体"/>
          <w:highlight w:val="none"/>
        </w:rPr>
        <w:t>或者不按照</w:t>
      </w:r>
      <w:r>
        <w:rPr>
          <w:rFonts w:hint="eastAsia" w:ascii="宋体" w:hAnsi="宋体"/>
          <w:highlight w:val="none"/>
        </w:rPr>
        <w:t>谈判文件</w:t>
      </w:r>
      <w:r>
        <w:rPr>
          <w:rFonts w:ascii="宋体" w:hAnsi="宋体"/>
          <w:highlight w:val="none"/>
        </w:rPr>
        <w:t>要求提交履约保证金</w:t>
      </w:r>
      <w:r>
        <w:rPr>
          <w:rFonts w:hint="eastAsia" w:ascii="宋体" w:hAnsi="宋体"/>
          <w:highlight w:val="none"/>
        </w:rPr>
        <w:t>的；</w:t>
      </w:r>
    </w:p>
    <w:p>
      <w:pPr>
        <w:spacing w:line="360" w:lineRule="auto"/>
        <w:ind w:firstLine="422" w:firstLineChars="200"/>
        <w:rPr>
          <w:highlight w:val="none"/>
        </w:rPr>
      </w:pPr>
      <w:r>
        <w:rPr>
          <w:rFonts w:ascii="宋体" w:hAnsi="宋体"/>
          <w:b/>
          <w:bCs/>
          <w:highlight w:val="none"/>
        </w:rPr>
        <w:t>3.3.5.5</w:t>
      </w:r>
      <w:r>
        <w:rPr>
          <w:rFonts w:hint="eastAsia" w:ascii="宋体" w:hAnsi="宋体"/>
          <w:b/>
          <w:bCs/>
          <w:highlight w:val="none"/>
        </w:rPr>
        <w:t xml:space="preserve"> </w:t>
      </w:r>
      <w:r>
        <w:rPr>
          <w:rFonts w:ascii="宋体" w:hAnsi="宋体"/>
          <w:highlight w:val="none"/>
        </w:rPr>
        <w:t>发生其他违法</w:t>
      </w:r>
      <w:r>
        <w:rPr>
          <w:rFonts w:hint="eastAsia" w:ascii="宋体" w:hAnsi="宋体"/>
          <w:highlight w:val="none"/>
        </w:rPr>
        <w:t>违规参加谈判</w:t>
      </w:r>
      <w:r>
        <w:rPr>
          <w:rFonts w:ascii="宋体" w:hAnsi="宋体"/>
          <w:highlight w:val="none"/>
        </w:rPr>
        <w:t>的情形。</w:t>
      </w:r>
    </w:p>
    <w:p>
      <w:pPr>
        <w:spacing w:line="360" w:lineRule="auto"/>
        <w:ind w:firstLine="120" w:firstLineChars="50"/>
        <w:rPr>
          <w:rFonts w:hint="eastAsia" w:ascii="宋体" w:hAnsi="宋体"/>
          <w:b/>
          <w:sz w:val="24"/>
          <w:highlight w:val="none"/>
        </w:rPr>
      </w:pPr>
      <w:r>
        <w:rPr>
          <w:rFonts w:ascii="宋体" w:hAnsi="宋体"/>
          <w:b/>
          <w:sz w:val="24"/>
          <w:highlight w:val="none"/>
        </w:rPr>
        <w:t>3.</w:t>
      </w:r>
      <w:r>
        <w:rPr>
          <w:rFonts w:hint="eastAsia" w:ascii="宋体" w:hAnsi="宋体"/>
          <w:b/>
          <w:sz w:val="24"/>
          <w:highlight w:val="none"/>
        </w:rPr>
        <w:t>4</w:t>
      </w:r>
      <w:r>
        <w:rPr>
          <w:rFonts w:ascii="宋体" w:hAnsi="宋体"/>
          <w:b/>
          <w:sz w:val="24"/>
          <w:highlight w:val="none"/>
        </w:rPr>
        <w:t xml:space="preserve"> 资格审查资料</w:t>
      </w:r>
      <w:r>
        <w:rPr>
          <w:rFonts w:hint="eastAsia" w:ascii="宋体" w:hAnsi="宋体" w:cs="宋体"/>
          <w:b/>
          <w:sz w:val="24"/>
          <w:highlight w:val="none"/>
        </w:rPr>
        <w:t>（适用于已进行资格预审的情况）</w:t>
      </w:r>
    </w:p>
    <w:p>
      <w:pPr>
        <w:spacing w:line="360" w:lineRule="auto"/>
        <w:ind w:firstLine="420" w:firstLineChars="200"/>
        <w:rPr>
          <w:rFonts w:hint="eastAsia" w:ascii="宋体" w:hAnsi="宋体"/>
          <w:highlight w:val="none"/>
        </w:rPr>
      </w:pPr>
      <w:r>
        <w:rPr>
          <w:rFonts w:hint="eastAsia" w:ascii="宋体" w:hAnsi="宋体"/>
          <w:highlight w:val="none"/>
        </w:rPr>
        <w:t>供应商</w:t>
      </w:r>
      <w:r>
        <w:rPr>
          <w:rFonts w:ascii="宋体" w:hAnsi="宋体"/>
          <w:highlight w:val="none"/>
        </w:rPr>
        <w:t>在递交</w:t>
      </w:r>
      <w:r>
        <w:rPr>
          <w:rFonts w:hint="eastAsia" w:ascii="宋体" w:hAnsi="宋体"/>
          <w:highlight w:val="none"/>
        </w:rPr>
        <w:t>响应文件</w:t>
      </w:r>
      <w:r>
        <w:rPr>
          <w:rFonts w:ascii="宋体" w:hAnsi="宋体"/>
          <w:highlight w:val="none"/>
        </w:rPr>
        <w:t>前，发生可能影响其</w:t>
      </w:r>
      <w:r>
        <w:rPr>
          <w:rFonts w:hint="eastAsia" w:ascii="宋体" w:hAnsi="宋体"/>
          <w:highlight w:val="none"/>
        </w:rPr>
        <w:t>谈判</w:t>
      </w:r>
      <w:r>
        <w:rPr>
          <w:rFonts w:ascii="宋体" w:hAnsi="宋体"/>
          <w:highlight w:val="none"/>
        </w:rPr>
        <w:t>资格的新情况的，应更新或补充其在</w:t>
      </w:r>
      <w:r>
        <w:rPr>
          <w:rFonts w:hint="eastAsia" w:ascii="宋体" w:hAnsi="宋体"/>
          <w:highlight w:val="none"/>
        </w:rPr>
        <w:t>报名</w:t>
      </w:r>
      <w:r>
        <w:rPr>
          <w:rFonts w:ascii="宋体" w:hAnsi="宋体"/>
          <w:highlight w:val="none"/>
        </w:rPr>
        <w:t>时提供的资料，以证实其各项资格条件仍能继续满足</w:t>
      </w:r>
      <w:r>
        <w:rPr>
          <w:rFonts w:hint="eastAsia" w:ascii="宋体" w:hAnsi="宋体"/>
          <w:highlight w:val="none"/>
        </w:rPr>
        <w:t>文件</w:t>
      </w:r>
      <w:r>
        <w:rPr>
          <w:rFonts w:ascii="宋体" w:hAnsi="宋体"/>
          <w:highlight w:val="none"/>
        </w:rPr>
        <w:t>要求，且没有实质性降低。</w:t>
      </w:r>
    </w:p>
    <w:p>
      <w:pPr>
        <w:spacing w:line="360" w:lineRule="auto"/>
        <w:ind w:firstLine="120" w:firstLineChars="50"/>
        <w:rPr>
          <w:rFonts w:hint="eastAsia" w:ascii="黑体" w:hAnsi="黑体" w:eastAsia="黑体"/>
          <w:sz w:val="28"/>
          <w:highlight w:val="none"/>
        </w:rPr>
      </w:pPr>
      <w:r>
        <w:rPr>
          <w:rFonts w:ascii="宋体" w:hAnsi="宋体"/>
          <w:b/>
          <w:sz w:val="24"/>
          <w:highlight w:val="none"/>
        </w:rPr>
        <w:t>3.</w:t>
      </w:r>
      <w:r>
        <w:rPr>
          <w:rFonts w:hint="eastAsia" w:ascii="宋体" w:hAnsi="宋体"/>
          <w:b/>
          <w:sz w:val="24"/>
          <w:highlight w:val="none"/>
        </w:rPr>
        <w:t>5响应文件</w:t>
      </w:r>
      <w:r>
        <w:rPr>
          <w:rFonts w:ascii="宋体" w:hAnsi="宋体"/>
          <w:b/>
          <w:sz w:val="24"/>
          <w:highlight w:val="none"/>
        </w:rPr>
        <w:t>的编制</w:t>
      </w:r>
      <w:r>
        <w:rPr>
          <w:rFonts w:hint="eastAsia" w:ascii="宋体" w:hAnsi="宋体"/>
          <w:b/>
          <w:sz w:val="24"/>
          <w:highlight w:val="none"/>
        </w:rPr>
        <w:t>和递交</w:t>
      </w:r>
    </w:p>
    <w:p>
      <w:pPr>
        <w:spacing w:line="360" w:lineRule="auto"/>
        <w:ind w:firstLine="422" w:firstLineChars="200"/>
        <w:rPr>
          <w:rFonts w:hint="eastAsia" w:ascii="宋体" w:hAnsi="宋体"/>
          <w:highlight w:val="none"/>
        </w:rPr>
      </w:pPr>
      <w:r>
        <w:rPr>
          <w:rFonts w:ascii="宋体" w:hAnsi="宋体"/>
          <w:b/>
          <w:highlight w:val="none"/>
        </w:rPr>
        <w:t>3.</w:t>
      </w:r>
      <w:r>
        <w:rPr>
          <w:rFonts w:hint="eastAsia" w:ascii="宋体" w:hAnsi="宋体"/>
          <w:b/>
          <w:highlight w:val="none"/>
        </w:rPr>
        <w:t>5</w:t>
      </w:r>
      <w:r>
        <w:rPr>
          <w:rFonts w:ascii="宋体" w:hAnsi="宋体"/>
          <w:b/>
          <w:highlight w:val="none"/>
        </w:rPr>
        <w:t>.1</w:t>
      </w:r>
      <w:r>
        <w:rPr>
          <w:highlight w:val="none"/>
        </w:rPr>
        <w:t xml:space="preserve"> </w:t>
      </w:r>
      <w:r>
        <w:rPr>
          <w:rFonts w:hint="eastAsia" w:ascii="宋体" w:hAnsi="宋体"/>
          <w:highlight w:val="none"/>
        </w:rPr>
        <w:t>响应文件</w:t>
      </w:r>
      <w:r>
        <w:rPr>
          <w:rFonts w:ascii="宋体" w:hAnsi="宋体"/>
          <w:highlight w:val="none"/>
        </w:rPr>
        <w:t>应按第</w:t>
      </w:r>
      <w:r>
        <w:rPr>
          <w:rFonts w:hint="eastAsia" w:ascii="宋体" w:hAnsi="宋体"/>
          <w:highlight w:val="none"/>
        </w:rPr>
        <w:t>六</w:t>
      </w:r>
      <w:r>
        <w:rPr>
          <w:rFonts w:ascii="宋体" w:hAnsi="宋体"/>
          <w:highlight w:val="none"/>
        </w:rPr>
        <w:t>章</w:t>
      </w:r>
      <w:r>
        <w:rPr>
          <w:highlight w:val="none"/>
        </w:rPr>
        <w:t>“</w:t>
      </w:r>
      <w:r>
        <w:rPr>
          <w:rFonts w:hint="eastAsia" w:ascii="宋体" w:hAnsi="宋体"/>
          <w:highlight w:val="none"/>
        </w:rPr>
        <w:t>响应文件</w:t>
      </w:r>
      <w:r>
        <w:rPr>
          <w:rFonts w:ascii="宋体" w:hAnsi="宋体"/>
          <w:highlight w:val="none"/>
        </w:rPr>
        <w:t>格式</w:t>
      </w:r>
      <w:r>
        <w:rPr>
          <w:highlight w:val="none"/>
        </w:rPr>
        <w:t>”</w:t>
      </w:r>
      <w:r>
        <w:rPr>
          <w:rFonts w:ascii="宋体" w:hAnsi="宋体"/>
          <w:highlight w:val="none"/>
        </w:rPr>
        <w:t>进行编写，如有必要，可以增加附页，作为</w:t>
      </w:r>
      <w:r>
        <w:rPr>
          <w:rFonts w:hint="eastAsia" w:ascii="宋体" w:hAnsi="宋体"/>
          <w:highlight w:val="none"/>
        </w:rPr>
        <w:t>响应文件</w:t>
      </w:r>
      <w:r>
        <w:rPr>
          <w:rFonts w:ascii="宋体" w:hAnsi="宋体"/>
          <w:highlight w:val="none"/>
        </w:rPr>
        <w:t>的组成部分。</w:t>
      </w:r>
    </w:p>
    <w:p>
      <w:pPr>
        <w:spacing w:line="360" w:lineRule="auto"/>
        <w:ind w:firstLine="422" w:firstLineChars="200"/>
        <w:rPr>
          <w:rFonts w:hint="eastAsia" w:ascii="宋体" w:hAnsi="宋体"/>
          <w:highlight w:val="none"/>
        </w:rPr>
      </w:pPr>
      <w:r>
        <w:rPr>
          <w:rFonts w:ascii="宋体" w:hAnsi="宋体"/>
          <w:b/>
          <w:highlight w:val="none"/>
        </w:rPr>
        <w:t>3.</w:t>
      </w:r>
      <w:r>
        <w:rPr>
          <w:rFonts w:hint="eastAsia" w:ascii="宋体" w:hAnsi="宋体"/>
          <w:b/>
          <w:highlight w:val="none"/>
        </w:rPr>
        <w:t>5</w:t>
      </w:r>
      <w:r>
        <w:rPr>
          <w:rFonts w:ascii="宋体" w:hAnsi="宋体"/>
          <w:b/>
          <w:highlight w:val="none"/>
        </w:rPr>
        <w:t>.2</w:t>
      </w:r>
      <w:r>
        <w:rPr>
          <w:highlight w:val="none"/>
        </w:rPr>
        <w:t xml:space="preserve"> </w:t>
      </w:r>
      <w:r>
        <w:rPr>
          <w:rFonts w:hint="eastAsia" w:ascii="宋体" w:hAnsi="宋体"/>
          <w:highlight w:val="none"/>
        </w:rPr>
        <w:t>响应文件</w:t>
      </w:r>
      <w:r>
        <w:rPr>
          <w:rFonts w:ascii="宋体" w:hAnsi="宋体"/>
          <w:highlight w:val="none"/>
        </w:rPr>
        <w:t>应当对</w:t>
      </w:r>
      <w:r>
        <w:rPr>
          <w:rFonts w:hint="eastAsia" w:ascii="宋体" w:hAnsi="宋体"/>
          <w:highlight w:val="none"/>
        </w:rPr>
        <w:t>谈判文件</w:t>
      </w:r>
      <w:r>
        <w:rPr>
          <w:rFonts w:ascii="宋体" w:hAnsi="宋体"/>
          <w:highlight w:val="none"/>
        </w:rPr>
        <w:t>有关供货期、</w:t>
      </w:r>
      <w:r>
        <w:rPr>
          <w:rFonts w:hint="eastAsia" w:ascii="宋体" w:hAnsi="宋体"/>
          <w:highlight w:val="none"/>
        </w:rPr>
        <w:t>报价有效期</w:t>
      </w:r>
      <w:r>
        <w:rPr>
          <w:rFonts w:ascii="宋体" w:hAnsi="宋体"/>
          <w:highlight w:val="none"/>
        </w:rPr>
        <w:t>、供货要求、</w:t>
      </w:r>
      <w:r>
        <w:rPr>
          <w:rFonts w:hint="eastAsia" w:ascii="宋体" w:hAnsi="宋体"/>
          <w:highlight w:val="none"/>
        </w:rPr>
        <w:t>采购内容</w:t>
      </w:r>
      <w:r>
        <w:rPr>
          <w:rFonts w:ascii="宋体" w:hAnsi="宋体"/>
          <w:highlight w:val="none"/>
        </w:rPr>
        <w:t>等实质性内容作出</w:t>
      </w:r>
      <w:r>
        <w:rPr>
          <w:rFonts w:hint="eastAsia" w:ascii="宋体" w:hAnsi="宋体"/>
          <w:highlight w:val="none"/>
        </w:rPr>
        <w:t>响应</w:t>
      </w:r>
      <w:r>
        <w:rPr>
          <w:rFonts w:ascii="宋体" w:hAnsi="宋体"/>
          <w:highlight w:val="none"/>
        </w:rPr>
        <w:t>。</w:t>
      </w:r>
      <w:r>
        <w:rPr>
          <w:rFonts w:hint="eastAsia" w:ascii="宋体" w:hAnsi="宋体"/>
          <w:highlight w:val="none"/>
        </w:rPr>
        <w:t>响应文件</w:t>
      </w:r>
      <w:r>
        <w:rPr>
          <w:rFonts w:ascii="宋体" w:hAnsi="宋体"/>
          <w:highlight w:val="none"/>
        </w:rPr>
        <w:t>在满足</w:t>
      </w:r>
      <w:r>
        <w:rPr>
          <w:rFonts w:hint="eastAsia" w:ascii="宋体" w:hAnsi="宋体"/>
          <w:highlight w:val="none"/>
        </w:rPr>
        <w:t>谈判文件</w:t>
      </w:r>
      <w:r>
        <w:rPr>
          <w:rFonts w:ascii="宋体" w:hAnsi="宋体"/>
          <w:highlight w:val="none"/>
        </w:rPr>
        <w:t>实质性要求的基础上，可以提出比</w:t>
      </w:r>
      <w:r>
        <w:rPr>
          <w:rFonts w:hint="eastAsia" w:ascii="宋体" w:hAnsi="宋体"/>
          <w:highlight w:val="none"/>
        </w:rPr>
        <w:t>谈判文件</w:t>
      </w:r>
      <w:r>
        <w:rPr>
          <w:rFonts w:ascii="宋体" w:hAnsi="宋体"/>
          <w:highlight w:val="none"/>
        </w:rPr>
        <w:t>要求更有利于</w:t>
      </w:r>
      <w:r>
        <w:rPr>
          <w:rFonts w:hint="eastAsia" w:ascii="宋体" w:hAnsi="宋体"/>
          <w:highlight w:val="none"/>
        </w:rPr>
        <w:t>采购人</w:t>
      </w:r>
      <w:r>
        <w:rPr>
          <w:rFonts w:ascii="宋体" w:hAnsi="宋体"/>
          <w:highlight w:val="none"/>
        </w:rPr>
        <w:t>的承诺。</w:t>
      </w:r>
    </w:p>
    <w:p>
      <w:pPr>
        <w:spacing w:line="360" w:lineRule="auto"/>
        <w:ind w:firstLine="422" w:firstLineChars="200"/>
        <w:rPr>
          <w:rFonts w:hint="eastAsia" w:ascii="宋体" w:hAnsi="宋体"/>
          <w:bCs/>
          <w:highlight w:val="none"/>
        </w:rPr>
        <w:sectPr>
          <w:headerReference r:id="rId3" w:type="default"/>
          <w:footerReference r:id="rId4" w:type="default"/>
          <w:pgSz w:w="11906" w:h="16838"/>
          <w:pgMar w:top="1440" w:right="1800" w:bottom="1440" w:left="1800" w:header="851" w:footer="992" w:gutter="0"/>
          <w:cols w:space="720" w:num="1"/>
          <w:docGrid w:type="lines" w:linePitch="312" w:charSpace="0"/>
        </w:sectPr>
      </w:pPr>
      <w:r>
        <w:rPr>
          <w:rFonts w:hint="eastAsia" w:ascii="宋体" w:hAnsi="宋体"/>
          <w:b/>
          <w:highlight w:val="none"/>
        </w:rPr>
        <w:t>3.5.3</w:t>
      </w:r>
      <w:r>
        <w:rPr>
          <w:rFonts w:hint="eastAsia" w:ascii="宋体" w:hAnsi="宋体"/>
          <w:bCs/>
          <w:highlight w:val="none"/>
        </w:rPr>
        <w:t>响应文件应按谈判文件的要求制作成PDF版电子响应文件，上传至南航采购平台中，且谈判文件中要求签字盖章处须按要求签字盖章后一并扫描上传（即完整的响应文件应为PDF版，并包括签字盖章页扫描件）</w:t>
      </w:r>
      <w:bookmarkEnd w:id="146"/>
      <w:bookmarkEnd w:id="147"/>
      <w:bookmarkEnd w:id="148"/>
      <w:bookmarkEnd w:id="149"/>
      <w:bookmarkEnd w:id="150"/>
      <w:bookmarkEnd w:id="151"/>
      <w:bookmarkEnd w:id="152"/>
      <w:r>
        <w:rPr>
          <w:rFonts w:hint="eastAsia" w:ascii="宋体" w:hAnsi="宋体"/>
          <w:bCs/>
          <w:highlight w:val="none"/>
        </w:rPr>
        <w:t>。</w:t>
      </w:r>
    </w:p>
    <w:p>
      <w:pPr>
        <w:pStyle w:val="9"/>
        <w:rPr>
          <w:highlight w:val="none"/>
        </w:rPr>
      </w:pPr>
    </w:p>
    <w:bookmarkEnd w:id="153"/>
    <w:bookmarkEnd w:id="154"/>
    <w:bookmarkEnd w:id="155"/>
    <w:p>
      <w:pPr>
        <w:numPr>
          <w:ilvl w:val="0"/>
          <w:numId w:val="3"/>
        </w:numPr>
        <w:spacing w:before="156" w:beforeLines="50" w:after="156" w:afterLines="50" w:line="360" w:lineRule="auto"/>
        <w:jc w:val="center"/>
        <w:outlineLvl w:val="0"/>
        <w:rPr>
          <w:rStyle w:val="38"/>
          <w:highlight w:val="none"/>
        </w:rPr>
      </w:pPr>
      <w:bookmarkStart w:id="191" w:name="_Toc1271"/>
      <w:bookmarkStart w:id="192" w:name="_Toc1745"/>
      <w:bookmarkStart w:id="193" w:name="_Toc504657621"/>
      <w:bookmarkStart w:id="194" w:name="_Toc1346"/>
      <w:bookmarkStart w:id="195" w:name="_Toc19037"/>
      <w:bookmarkStart w:id="196" w:name="_Toc5568"/>
      <w:bookmarkStart w:id="197" w:name="_Toc30582"/>
      <w:bookmarkStart w:id="198" w:name="_Toc27365"/>
      <w:bookmarkStart w:id="199" w:name="_Toc32262"/>
      <w:bookmarkStart w:id="200" w:name="_Toc12742"/>
      <w:bookmarkStart w:id="201" w:name="_Toc2883"/>
      <w:bookmarkStart w:id="202" w:name="_Toc504657631"/>
      <w:r>
        <w:rPr>
          <w:rStyle w:val="38"/>
          <w:rFonts w:hint="eastAsia"/>
          <w:highlight w:val="none"/>
        </w:rPr>
        <w:t xml:space="preserve"> </w:t>
      </w:r>
      <w:bookmarkStart w:id="203" w:name="_Toc8829"/>
      <w:r>
        <w:rPr>
          <w:rStyle w:val="38"/>
          <w:rFonts w:hint="eastAsia"/>
          <w:highlight w:val="none"/>
        </w:rPr>
        <w:t>评审</w:t>
      </w:r>
      <w:r>
        <w:rPr>
          <w:rStyle w:val="38"/>
          <w:highlight w:val="none"/>
        </w:rPr>
        <w:t>办法（综合评</w:t>
      </w:r>
      <w:r>
        <w:rPr>
          <w:rStyle w:val="38"/>
          <w:rFonts w:hint="eastAsia"/>
          <w:highlight w:val="none"/>
        </w:rPr>
        <w:t>分</w:t>
      </w:r>
      <w:r>
        <w:rPr>
          <w:rStyle w:val="38"/>
          <w:highlight w:val="none"/>
        </w:rPr>
        <w:t>法）</w:t>
      </w:r>
      <w:bookmarkEnd w:id="191"/>
      <w:bookmarkEnd w:id="192"/>
      <w:bookmarkEnd w:id="193"/>
      <w:bookmarkEnd w:id="203"/>
    </w:p>
    <w:bookmarkEnd w:id="194"/>
    <w:bookmarkEnd w:id="195"/>
    <w:bookmarkEnd w:id="196"/>
    <w:bookmarkEnd w:id="197"/>
    <w:bookmarkEnd w:id="198"/>
    <w:bookmarkEnd w:id="199"/>
    <w:bookmarkEnd w:id="200"/>
    <w:bookmarkEnd w:id="201"/>
    <w:p>
      <w:pPr>
        <w:pStyle w:val="4"/>
        <w:spacing w:line="360" w:lineRule="auto"/>
        <w:ind w:left="0"/>
        <w:jc w:val="left"/>
        <w:rPr>
          <w:b/>
          <w:highlight w:val="none"/>
        </w:rPr>
      </w:pPr>
      <w:bookmarkStart w:id="204" w:name="_Toc25070"/>
      <w:bookmarkStart w:id="205" w:name="_Toc133"/>
      <w:bookmarkStart w:id="206" w:name="_Toc20073"/>
      <w:bookmarkStart w:id="207" w:name="_Toc504657622"/>
      <w:bookmarkStart w:id="208" w:name="_Toc23787"/>
      <w:bookmarkStart w:id="209" w:name="_Toc20974"/>
      <w:bookmarkStart w:id="210" w:name="_Toc30437"/>
      <w:bookmarkStart w:id="211" w:name="_Toc31652"/>
      <w:bookmarkStart w:id="212" w:name="_Toc27951"/>
      <w:bookmarkStart w:id="213" w:name="_Toc1564"/>
      <w:bookmarkStart w:id="214" w:name="_Toc31042"/>
      <w:bookmarkStart w:id="215" w:name="_Toc17061"/>
      <w:r>
        <w:rPr>
          <w:rFonts w:hint="eastAsia" w:ascii="宋体" w:hAnsi="宋体" w:cs="宋体"/>
          <w:b/>
          <w:highlight w:val="none"/>
        </w:rPr>
        <w:t>1、评审方法</w:t>
      </w:r>
      <w:bookmarkEnd w:id="204"/>
      <w:bookmarkEnd w:id="205"/>
      <w:bookmarkEnd w:id="206"/>
      <w:bookmarkEnd w:id="207"/>
      <w:bookmarkEnd w:id="208"/>
      <w:bookmarkEnd w:id="209"/>
      <w:bookmarkEnd w:id="210"/>
      <w:bookmarkEnd w:id="211"/>
      <w:bookmarkEnd w:id="212"/>
      <w:bookmarkEnd w:id="213"/>
      <w:bookmarkEnd w:id="214"/>
      <w:bookmarkEnd w:id="215"/>
    </w:p>
    <w:p>
      <w:pPr>
        <w:spacing w:line="360" w:lineRule="auto"/>
        <w:ind w:firstLine="420" w:firstLineChars="200"/>
        <w:rPr>
          <w:rFonts w:hint="eastAsia" w:ascii="宋体" w:hAnsi="宋体"/>
          <w:szCs w:val="21"/>
          <w:highlight w:val="none"/>
        </w:rPr>
      </w:pPr>
      <w:r>
        <w:rPr>
          <w:rFonts w:ascii="宋体" w:hAnsi="宋体"/>
          <w:highlight w:val="none"/>
        </w:rPr>
        <w:t>本次</w:t>
      </w:r>
      <w:r>
        <w:rPr>
          <w:rFonts w:hint="eastAsia" w:ascii="宋体" w:hAnsi="宋体"/>
          <w:highlight w:val="none"/>
        </w:rPr>
        <w:t>评审</w:t>
      </w:r>
      <w:r>
        <w:rPr>
          <w:rFonts w:ascii="宋体" w:hAnsi="宋体"/>
          <w:highlight w:val="none"/>
        </w:rPr>
        <w:t>采用综合评</w:t>
      </w:r>
      <w:r>
        <w:rPr>
          <w:rFonts w:hint="eastAsia" w:ascii="宋体" w:hAnsi="宋体"/>
          <w:highlight w:val="none"/>
        </w:rPr>
        <w:t>分</w:t>
      </w:r>
      <w:r>
        <w:rPr>
          <w:rFonts w:ascii="宋体" w:hAnsi="宋体"/>
          <w:highlight w:val="none"/>
        </w:rPr>
        <w:t>法。</w:t>
      </w:r>
      <w:r>
        <w:rPr>
          <w:rFonts w:hint="eastAsia" w:ascii="宋体" w:hAnsi="宋体"/>
          <w:highlight w:val="none"/>
        </w:rPr>
        <w:t>谈判小组（评审委员会）</w:t>
      </w:r>
      <w:r>
        <w:rPr>
          <w:rFonts w:ascii="宋体" w:hAnsi="宋体"/>
          <w:highlight w:val="none"/>
        </w:rPr>
        <w:t>对满足</w:t>
      </w:r>
      <w:r>
        <w:rPr>
          <w:rFonts w:hint="eastAsia" w:ascii="宋体" w:hAnsi="宋体"/>
          <w:highlight w:val="none"/>
        </w:rPr>
        <w:t>谈判文件</w:t>
      </w:r>
      <w:r>
        <w:rPr>
          <w:rFonts w:ascii="宋体" w:hAnsi="宋体"/>
          <w:highlight w:val="none"/>
        </w:rPr>
        <w:t>实质性要求的</w:t>
      </w:r>
      <w:r>
        <w:rPr>
          <w:rFonts w:hint="eastAsia" w:ascii="宋体" w:hAnsi="宋体"/>
          <w:highlight w:val="none"/>
        </w:rPr>
        <w:t>响应文件</w:t>
      </w:r>
      <w:r>
        <w:rPr>
          <w:rFonts w:ascii="宋体" w:hAnsi="宋体"/>
          <w:highlight w:val="none"/>
        </w:rPr>
        <w:t>，按照本章</w:t>
      </w:r>
      <w:r>
        <w:rPr>
          <w:rFonts w:hint="eastAsia" w:ascii="宋体" w:hAnsi="宋体"/>
          <w:highlight w:val="none"/>
        </w:rPr>
        <w:t>评审细则的</w:t>
      </w:r>
      <w:r>
        <w:rPr>
          <w:rFonts w:ascii="宋体" w:hAnsi="宋体"/>
          <w:highlight w:val="none"/>
        </w:rPr>
        <w:t>规定评分标准进行打分，并按得分由高到低顺序推荐</w:t>
      </w:r>
      <w:r>
        <w:rPr>
          <w:rFonts w:hint="eastAsia" w:ascii="宋体" w:hAnsi="宋体"/>
          <w:highlight w:val="none"/>
        </w:rPr>
        <w:t>成交候选供应商</w:t>
      </w:r>
      <w:r>
        <w:rPr>
          <w:rFonts w:ascii="宋体" w:hAnsi="宋体"/>
          <w:highlight w:val="none"/>
        </w:rPr>
        <w:t>，或根据</w:t>
      </w:r>
      <w:r>
        <w:rPr>
          <w:rFonts w:hint="eastAsia" w:ascii="宋体" w:hAnsi="宋体"/>
          <w:highlight w:val="none"/>
        </w:rPr>
        <w:t>采购人</w:t>
      </w:r>
      <w:r>
        <w:rPr>
          <w:rFonts w:ascii="宋体" w:hAnsi="宋体"/>
          <w:highlight w:val="none"/>
        </w:rPr>
        <w:t>授权直接确定</w:t>
      </w:r>
      <w:r>
        <w:rPr>
          <w:rFonts w:hint="eastAsia" w:ascii="宋体" w:hAnsi="宋体"/>
          <w:highlight w:val="none"/>
        </w:rPr>
        <w:t>成交供应商</w:t>
      </w:r>
      <w:r>
        <w:rPr>
          <w:rFonts w:ascii="宋体" w:hAnsi="宋体"/>
          <w:highlight w:val="none"/>
        </w:rPr>
        <w:t>，但报价低于其成本的除外。综合评分相等时，以报价低的优先；报价也相等的，以技术得分高的优先</w:t>
      </w:r>
      <w:r>
        <w:rPr>
          <w:rFonts w:hint="eastAsia" w:ascii="宋体" w:hAnsi="宋体"/>
          <w:highlight w:val="none"/>
        </w:rPr>
        <w:t>来</w:t>
      </w:r>
      <w:r>
        <w:rPr>
          <w:rFonts w:ascii="宋体" w:hAnsi="宋体"/>
          <w:highlight w:val="none"/>
        </w:rPr>
        <w:t>确定</w:t>
      </w:r>
      <w:r>
        <w:rPr>
          <w:rFonts w:hint="eastAsia" w:ascii="宋体" w:hAnsi="宋体"/>
          <w:highlight w:val="none"/>
        </w:rPr>
        <w:t>成交候选供应商</w:t>
      </w:r>
      <w:r>
        <w:rPr>
          <w:rFonts w:ascii="宋体" w:hAnsi="宋体"/>
          <w:highlight w:val="none"/>
        </w:rPr>
        <w:t>顺序。</w:t>
      </w:r>
    </w:p>
    <w:p>
      <w:pPr>
        <w:pStyle w:val="4"/>
        <w:spacing w:line="360" w:lineRule="auto"/>
        <w:ind w:left="0"/>
        <w:jc w:val="left"/>
        <w:rPr>
          <w:b/>
          <w:highlight w:val="none"/>
        </w:rPr>
      </w:pPr>
      <w:bookmarkStart w:id="216" w:name="_Toc504657624"/>
      <w:bookmarkStart w:id="217" w:name="_Toc30603"/>
      <w:bookmarkStart w:id="218" w:name="_Toc31746"/>
      <w:bookmarkStart w:id="219" w:name="_Toc693"/>
      <w:bookmarkStart w:id="220" w:name="_Toc8029"/>
      <w:bookmarkStart w:id="221" w:name="_Toc4347"/>
      <w:bookmarkStart w:id="222" w:name="_Toc12978"/>
      <w:bookmarkStart w:id="223" w:name="_Toc32588"/>
      <w:bookmarkStart w:id="224" w:name="_Toc505"/>
      <w:bookmarkStart w:id="225" w:name="_Toc28270"/>
      <w:bookmarkStart w:id="226" w:name="_Toc3992"/>
      <w:bookmarkStart w:id="227" w:name="_Toc18547"/>
      <w:r>
        <w:rPr>
          <w:rFonts w:hint="eastAsia" w:ascii="宋体" w:hAnsi="宋体" w:cs="宋体"/>
          <w:b/>
          <w:highlight w:val="none"/>
        </w:rPr>
        <w:t>2、评审程序</w:t>
      </w:r>
      <w:bookmarkEnd w:id="216"/>
      <w:bookmarkEnd w:id="217"/>
      <w:bookmarkEnd w:id="218"/>
      <w:bookmarkEnd w:id="219"/>
      <w:bookmarkEnd w:id="220"/>
      <w:bookmarkEnd w:id="221"/>
      <w:bookmarkEnd w:id="222"/>
      <w:bookmarkEnd w:id="223"/>
      <w:bookmarkEnd w:id="224"/>
      <w:bookmarkEnd w:id="225"/>
      <w:bookmarkEnd w:id="226"/>
      <w:bookmarkEnd w:id="227"/>
    </w:p>
    <w:p>
      <w:pPr>
        <w:spacing w:line="360" w:lineRule="auto"/>
        <w:ind w:firstLine="120" w:firstLineChars="50"/>
        <w:rPr>
          <w:rFonts w:hint="eastAsia" w:ascii="宋体" w:hAnsi="宋体"/>
          <w:b/>
          <w:szCs w:val="21"/>
          <w:highlight w:val="none"/>
        </w:rPr>
      </w:pPr>
      <w:r>
        <w:rPr>
          <w:rFonts w:hint="eastAsia" w:ascii="宋体" w:hAnsi="宋体"/>
          <w:b/>
          <w:sz w:val="24"/>
          <w:highlight w:val="none"/>
        </w:rPr>
        <w:t>2.1 符合性评审</w:t>
      </w:r>
    </w:p>
    <w:p>
      <w:pPr>
        <w:widowControl/>
        <w:tabs>
          <w:tab w:val="left" w:pos="720"/>
          <w:tab w:val="left" w:pos="840"/>
          <w:tab w:val="left" w:pos="1080"/>
        </w:tabs>
        <w:spacing w:line="360" w:lineRule="auto"/>
        <w:ind w:firstLine="422" w:firstLineChars="200"/>
        <w:rPr>
          <w:rFonts w:hint="eastAsia" w:ascii="宋体" w:hAnsi="宋体"/>
          <w:szCs w:val="21"/>
          <w:highlight w:val="none"/>
        </w:rPr>
      </w:pPr>
      <w:r>
        <w:rPr>
          <w:rFonts w:hint="eastAsia" w:ascii="宋体" w:hAnsi="宋体"/>
          <w:b/>
          <w:szCs w:val="21"/>
          <w:highlight w:val="none"/>
        </w:rPr>
        <w:t>2.1.1</w:t>
      </w:r>
      <w:r>
        <w:rPr>
          <w:rFonts w:ascii="宋体" w:hAnsi="宋体"/>
          <w:b/>
          <w:szCs w:val="21"/>
          <w:highlight w:val="none"/>
        </w:rPr>
        <w:t xml:space="preserve"> </w:t>
      </w:r>
      <w:r>
        <w:rPr>
          <w:rFonts w:hint="eastAsia" w:ascii="宋体" w:hAnsi="宋体"/>
          <w:szCs w:val="21"/>
          <w:highlight w:val="none"/>
        </w:rPr>
        <w:t>谈判小组将根据评审细则的规定，对各响应文件进行符合性审查。</w:t>
      </w:r>
    </w:p>
    <w:p>
      <w:pPr>
        <w:widowControl/>
        <w:tabs>
          <w:tab w:val="left" w:pos="720"/>
          <w:tab w:val="left" w:pos="840"/>
          <w:tab w:val="left" w:pos="1080"/>
        </w:tabs>
        <w:spacing w:line="360" w:lineRule="auto"/>
        <w:ind w:firstLine="422" w:firstLineChars="200"/>
        <w:rPr>
          <w:rFonts w:hint="eastAsia" w:ascii="宋体" w:hAnsi="宋体"/>
          <w:szCs w:val="21"/>
          <w:highlight w:val="none"/>
        </w:rPr>
      </w:pPr>
      <w:r>
        <w:rPr>
          <w:rFonts w:hint="eastAsia" w:ascii="宋体" w:hAnsi="宋体"/>
          <w:b/>
          <w:szCs w:val="21"/>
          <w:highlight w:val="none"/>
        </w:rPr>
        <w:t>2.1.2</w:t>
      </w:r>
      <w:r>
        <w:rPr>
          <w:rFonts w:ascii="宋体" w:hAnsi="宋体"/>
          <w:b/>
          <w:szCs w:val="21"/>
          <w:highlight w:val="none"/>
        </w:rPr>
        <w:t xml:space="preserve"> </w:t>
      </w:r>
      <w:r>
        <w:rPr>
          <w:rFonts w:hint="eastAsia" w:ascii="宋体" w:hAnsi="宋体"/>
          <w:bCs/>
          <w:szCs w:val="21"/>
          <w:highlight w:val="none"/>
        </w:rPr>
        <w:t>填写</w:t>
      </w:r>
      <w:r>
        <w:rPr>
          <w:rFonts w:hint="eastAsia" w:ascii="宋体" w:hAnsi="宋体"/>
          <w:szCs w:val="21"/>
          <w:highlight w:val="none"/>
        </w:rPr>
        <w:t>符合性评审表。</w:t>
      </w:r>
    </w:p>
    <w:p>
      <w:pPr>
        <w:widowControl/>
        <w:tabs>
          <w:tab w:val="left" w:pos="720"/>
          <w:tab w:val="left" w:pos="840"/>
          <w:tab w:val="left" w:pos="1080"/>
        </w:tabs>
        <w:spacing w:line="360" w:lineRule="auto"/>
        <w:ind w:firstLine="422" w:firstLineChars="200"/>
        <w:rPr>
          <w:rFonts w:hint="eastAsia" w:ascii="宋体" w:hAnsi="宋体"/>
          <w:szCs w:val="21"/>
          <w:highlight w:val="none"/>
        </w:rPr>
      </w:pPr>
      <w:r>
        <w:rPr>
          <w:rFonts w:hint="eastAsia" w:ascii="宋体" w:hAnsi="宋体"/>
          <w:b/>
          <w:szCs w:val="21"/>
          <w:highlight w:val="none"/>
        </w:rPr>
        <w:t>2.1.3</w:t>
      </w:r>
      <w:r>
        <w:rPr>
          <w:rFonts w:ascii="宋体" w:hAnsi="宋体"/>
          <w:b/>
          <w:szCs w:val="21"/>
          <w:highlight w:val="none"/>
        </w:rPr>
        <w:t xml:space="preserve"> </w:t>
      </w:r>
      <w:r>
        <w:rPr>
          <w:rFonts w:hint="eastAsia" w:ascii="宋体" w:hAnsi="宋体"/>
          <w:szCs w:val="21"/>
          <w:highlight w:val="none"/>
        </w:rPr>
        <w:t>响应文件不能通过符合性评审的，不得参与后续的谈判环节和商务技术、价格的评审。</w:t>
      </w:r>
    </w:p>
    <w:p>
      <w:pPr>
        <w:spacing w:line="360" w:lineRule="auto"/>
        <w:ind w:firstLine="120" w:firstLineChars="50"/>
        <w:rPr>
          <w:rFonts w:hint="eastAsia" w:ascii="宋体" w:hAnsi="宋体"/>
          <w:b/>
          <w:sz w:val="24"/>
          <w:highlight w:val="none"/>
        </w:rPr>
      </w:pPr>
      <w:r>
        <w:rPr>
          <w:rFonts w:hint="eastAsia" w:ascii="宋体" w:hAnsi="宋体"/>
          <w:b/>
          <w:sz w:val="24"/>
          <w:highlight w:val="none"/>
        </w:rPr>
        <w:t>2.2 谈判</w:t>
      </w:r>
    </w:p>
    <w:p>
      <w:pPr>
        <w:spacing w:line="360" w:lineRule="auto"/>
        <w:ind w:firstLine="422" w:firstLineChars="200"/>
        <w:rPr>
          <w:rFonts w:hint="eastAsia" w:ascii="宋体" w:hAnsi="宋体"/>
          <w:b/>
          <w:sz w:val="24"/>
          <w:highlight w:val="none"/>
        </w:rPr>
      </w:pPr>
      <w:r>
        <w:rPr>
          <w:rFonts w:hint="eastAsia" w:ascii="宋体" w:hAnsi="宋体"/>
          <w:b/>
          <w:szCs w:val="21"/>
          <w:highlight w:val="none"/>
        </w:rPr>
        <w:t xml:space="preserve">2.2.1 </w:t>
      </w:r>
      <w:r>
        <w:rPr>
          <w:rFonts w:hint="eastAsia" w:ascii="宋体" w:hAnsi="宋体"/>
          <w:bCs/>
          <w:szCs w:val="21"/>
          <w:highlight w:val="none"/>
        </w:rPr>
        <w:t>谈判小组由采购人代表组成。</w:t>
      </w:r>
    </w:p>
    <w:p>
      <w:pPr>
        <w:tabs>
          <w:tab w:val="left" w:pos="851"/>
        </w:tabs>
        <w:spacing w:line="360" w:lineRule="auto"/>
        <w:ind w:firstLine="422" w:firstLineChars="200"/>
        <w:jc w:val="left"/>
        <w:rPr>
          <w:rFonts w:hint="eastAsia" w:ascii="宋体" w:hAnsi="宋体"/>
          <w:highlight w:val="none"/>
        </w:rPr>
      </w:pPr>
      <w:r>
        <w:rPr>
          <w:rFonts w:hint="eastAsia" w:ascii="宋体" w:hAnsi="宋体"/>
          <w:b/>
          <w:szCs w:val="21"/>
          <w:highlight w:val="none"/>
        </w:rPr>
        <w:t>2.2.2</w:t>
      </w:r>
      <w:r>
        <w:rPr>
          <w:rFonts w:hint="eastAsia" w:ascii="宋体" w:hAnsi="宋体"/>
          <w:szCs w:val="21"/>
          <w:highlight w:val="none"/>
        </w:rPr>
        <w:t>谈判小组邀请所有通过符合性评审的供应商参加谈判，</w:t>
      </w:r>
      <w:r>
        <w:rPr>
          <w:rFonts w:hint="eastAsia" w:ascii="宋体" w:hAnsi="宋体"/>
          <w:color w:val="000000"/>
          <w:szCs w:val="21"/>
          <w:highlight w:val="none"/>
        </w:rPr>
        <w:t>以随机抽签的形式对供应商进行谈判排序。</w:t>
      </w:r>
    </w:p>
    <w:p>
      <w:pPr>
        <w:widowControl/>
        <w:tabs>
          <w:tab w:val="left" w:pos="0"/>
          <w:tab w:val="left" w:pos="720"/>
          <w:tab w:val="left" w:pos="1080"/>
        </w:tabs>
        <w:spacing w:line="360" w:lineRule="auto"/>
        <w:ind w:firstLine="422" w:firstLineChars="200"/>
        <w:rPr>
          <w:rFonts w:hint="eastAsia" w:ascii="宋体" w:hAnsi="宋体"/>
          <w:szCs w:val="21"/>
          <w:highlight w:val="none"/>
        </w:rPr>
      </w:pPr>
      <w:r>
        <w:rPr>
          <w:rFonts w:hint="eastAsia" w:ascii="宋体" w:hAnsi="宋体"/>
          <w:b/>
          <w:szCs w:val="21"/>
          <w:highlight w:val="none"/>
        </w:rPr>
        <w:t xml:space="preserve">2.2.3 </w:t>
      </w:r>
      <w:r>
        <w:rPr>
          <w:rFonts w:hint="eastAsia" w:ascii="宋体" w:hAnsi="宋体"/>
          <w:szCs w:val="21"/>
          <w:highlight w:val="none"/>
        </w:rPr>
        <w:t>谈判小组与供应商分别进行一轮或多轮的谈判。在</w:t>
      </w:r>
      <w:r>
        <w:rPr>
          <w:rFonts w:hint="eastAsia" w:ascii="宋体" w:hAnsi="宋体"/>
          <w:highlight w:val="none"/>
        </w:rPr>
        <w:t>谈判过程中，谈判小组应当严格遵循保密原则，未经供应商同意不得向任何人透露当事人技术、价格和其他重要信息。</w:t>
      </w:r>
    </w:p>
    <w:p>
      <w:pPr>
        <w:tabs>
          <w:tab w:val="left" w:pos="851"/>
        </w:tabs>
        <w:spacing w:line="360" w:lineRule="auto"/>
        <w:ind w:firstLine="422" w:firstLineChars="200"/>
        <w:jc w:val="left"/>
        <w:rPr>
          <w:rFonts w:hint="eastAsia" w:ascii="宋体" w:hAnsi="宋体"/>
          <w:highlight w:val="none"/>
        </w:rPr>
      </w:pPr>
      <w:r>
        <w:rPr>
          <w:rFonts w:hint="eastAsia" w:ascii="宋体" w:hAnsi="宋体"/>
          <w:b/>
          <w:szCs w:val="21"/>
          <w:highlight w:val="none"/>
        </w:rPr>
        <w:t>2.2.4</w:t>
      </w:r>
      <w:r>
        <w:rPr>
          <w:rFonts w:hint="eastAsia" w:ascii="宋体" w:hAnsi="宋体"/>
          <w:szCs w:val="21"/>
          <w:highlight w:val="none"/>
        </w:rPr>
        <w:t xml:space="preserve"> 谈判</w:t>
      </w:r>
      <w:r>
        <w:rPr>
          <w:rFonts w:hint="eastAsia" w:ascii="宋体" w:hAnsi="宋体"/>
          <w:highlight w:val="none"/>
        </w:rPr>
        <w:t xml:space="preserve">文件的修正：谈判小组调整或修改采购需求内容时，应取得谈判小组的一致同意，并以书面形式通知所有参加谈判的供应商。但任何形式的决定须以符合公平、公正原则和有利于项目的顺利实施为前提。 </w:t>
      </w:r>
    </w:p>
    <w:p>
      <w:pPr>
        <w:tabs>
          <w:tab w:val="left" w:pos="851"/>
        </w:tabs>
        <w:spacing w:line="360" w:lineRule="auto"/>
        <w:ind w:firstLine="422" w:firstLineChars="200"/>
        <w:jc w:val="left"/>
        <w:rPr>
          <w:rFonts w:hint="eastAsia" w:ascii="宋体" w:hAnsi="宋体"/>
          <w:highlight w:val="none"/>
        </w:rPr>
      </w:pPr>
      <w:r>
        <w:rPr>
          <w:rFonts w:hint="eastAsia" w:ascii="宋体" w:hAnsi="宋体"/>
          <w:b/>
          <w:szCs w:val="21"/>
          <w:highlight w:val="none"/>
        </w:rPr>
        <w:t>2.2.5</w:t>
      </w:r>
      <w:r>
        <w:rPr>
          <w:rFonts w:hint="eastAsia" w:ascii="宋体" w:hAnsi="宋体"/>
          <w:szCs w:val="21"/>
          <w:highlight w:val="none"/>
        </w:rPr>
        <w:t xml:space="preserve"> 在谈</w:t>
      </w:r>
      <w:r>
        <w:rPr>
          <w:rFonts w:hint="eastAsia" w:ascii="宋体" w:hAnsi="宋体"/>
          <w:highlight w:val="none"/>
        </w:rPr>
        <w:t>判过程中，供应商提交的澄清文件和最终响应文件，由供应商法定代表人</w:t>
      </w:r>
      <w:r>
        <w:rPr>
          <w:rFonts w:hint="eastAsia" w:ascii="宋体" w:hAnsi="宋体" w:cs="宋体"/>
          <w:szCs w:val="21"/>
          <w:highlight w:val="none"/>
        </w:rPr>
        <w:t>（分公司则为营业执照记载的负责人）</w:t>
      </w:r>
      <w:r>
        <w:rPr>
          <w:rFonts w:hint="eastAsia" w:ascii="宋体" w:hAnsi="宋体"/>
          <w:highlight w:val="none"/>
        </w:rPr>
        <w:t>或授权代表签署后生效，供应商应受其约束。因此，该签字人参加谈判时需出示有效的身份证明文件，否则，其签字的澄清文件和最终响应文件无效。</w:t>
      </w:r>
    </w:p>
    <w:p>
      <w:pPr>
        <w:tabs>
          <w:tab w:val="left" w:pos="851"/>
        </w:tabs>
        <w:spacing w:line="360" w:lineRule="auto"/>
        <w:ind w:firstLine="422" w:firstLineChars="200"/>
        <w:jc w:val="left"/>
        <w:rPr>
          <w:rFonts w:hint="eastAsia" w:ascii="宋体" w:hAnsi="宋体"/>
          <w:highlight w:val="none"/>
        </w:rPr>
      </w:pPr>
      <w:r>
        <w:rPr>
          <w:rFonts w:hint="eastAsia" w:ascii="宋体" w:hAnsi="宋体"/>
          <w:b/>
          <w:bCs/>
          <w:szCs w:val="21"/>
          <w:highlight w:val="none"/>
        </w:rPr>
        <w:t>2.2.6</w:t>
      </w:r>
      <w:r>
        <w:rPr>
          <w:rFonts w:hint="eastAsia" w:ascii="宋体" w:hAnsi="宋体"/>
          <w:szCs w:val="21"/>
          <w:highlight w:val="none"/>
        </w:rPr>
        <w:t xml:space="preserve"> </w:t>
      </w:r>
      <w:r>
        <w:rPr>
          <w:rFonts w:hint="eastAsia" w:ascii="宋体" w:hAnsi="宋体"/>
          <w:highlight w:val="none"/>
        </w:rPr>
        <w:t>最终谈判承诺和报价：所有作出实质性响应的有效供应商应在规定的时间内集中密封提交最终谈判承诺和报价（最终报价时间视谈判进程由谈判小组决定）。除非在谈判中谈判小组调整或修改采购需求内容，否则采购人不接受高于前面轮次谈判报价的最终报价。若供应商的后次报价高于前次报价，且不接受以其前次报价（低价）成交的，谈判小组有权拒绝其报价。最终报价内容现场公布。对成交供应商的价格出现明显低于或高于同业同期市场平均价的情形时，谈判小组应当在评审意见中详细说明推荐理由。</w:t>
      </w:r>
    </w:p>
    <w:p>
      <w:pPr>
        <w:tabs>
          <w:tab w:val="left" w:pos="851"/>
        </w:tabs>
        <w:spacing w:line="360" w:lineRule="auto"/>
        <w:ind w:firstLine="422" w:firstLineChars="200"/>
        <w:jc w:val="left"/>
        <w:rPr>
          <w:rFonts w:hint="eastAsia" w:ascii="宋体" w:hAnsi="宋体"/>
          <w:highlight w:val="none"/>
        </w:rPr>
      </w:pPr>
      <w:r>
        <w:rPr>
          <w:rFonts w:hint="eastAsia" w:ascii="宋体" w:hAnsi="宋体"/>
          <w:b/>
          <w:bCs/>
          <w:highlight w:val="none"/>
        </w:rPr>
        <w:t xml:space="preserve">2.2.7 </w:t>
      </w:r>
      <w:r>
        <w:rPr>
          <w:rFonts w:hint="eastAsia" w:ascii="宋体" w:hAnsi="宋体"/>
          <w:highlight w:val="none"/>
        </w:rPr>
        <w:t>最终谈判承诺和报价递交后，如有采购人无法接受的偏离或内容，谈判小组可取消其成交资格。</w:t>
      </w:r>
    </w:p>
    <w:p>
      <w:pPr>
        <w:spacing w:line="360" w:lineRule="auto"/>
        <w:ind w:firstLine="120" w:firstLineChars="50"/>
        <w:rPr>
          <w:rFonts w:hint="eastAsia" w:ascii="宋体" w:hAnsi="宋体"/>
          <w:b/>
          <w:sz w:val="24"/>
          <w:highlight w:val="none"/>
        </w:rPr>
      </w:pPr>
      <w:r>
        <w:rPr>
          <w:rFonts w:hint="eastAsia" w:ascii="宋体" w:hAnsi="宋体"/>
          <w:b/>
          <w:sz w:val="24"/>
          <w:highlight w:val="none"/>
        </w:rPr>
        <w:t>2.3商务评审</w:t>
      </w:r>
    </w:p>
    <w:p>
      <w:pPr>
        <w:pStyle w:val="10"/>
        <w:spacing w:line="360" w:lineRule="auto"/>
        <w:ind w:left="0" w:leftChars="0" w:firstLine="525" w:firstLineChars="250"/>
        <w:rPr>
          <w:rFonts w:hint="eastAsia" w:ascii="宋体" w:hAnsi="宋体"/>
          <w:sz w:val="21"/>
          <w:szCs w:val="21"/>
          <w:highlight w:val="none"/>
        </w:rPr>
      </w:pPr>
      <w:r>
        <w:rPr>
          <w:rFonts w:hint="eastAsia" w:ascii="宋体" w:hAnsi="宋体"/>
          <w:sz w:val="21"/>
          <w:szCs w:val="21"/>
          <w:highlight w:val="none"/>
        </w:rPr>
        <w:t>谈判结束后，谈判小组根据响应文件和最终谈判承诺，对应商务评审表打分并计算出本人对各供应商的商务评分总和。</w:t>
      </w:r>
    </w:p>
    <w:p>
      <w:pPr>
        <w:spacing w:line="360" w:lineRule="auto"/>
        <w:ind w:firstLine="120" w:firstLineChars="50"/>
        <w:rPr>
          <w:rFonts w:hint="eastAsia" w:ascii="宋体" w:hAnsi="宋体"/>
          <w:b/>
          <w:sz w:val="24"/>
          <w:highlight w:val="none"/>
        </w:rPr>
      </w:pPr>
      <w:r>
        <w:rPr>
          <w:rFonts w:hint="eastAsia" w:ascii="宋体" w:hAnsi="宋体"/>
          <w:b/>
          <w:sz w:val="24"/>
          <w:highlight w:val="none"/>
        </w:rPr>
        <w:t>2.4技术评审</w:t>
      </w:r>
    </w:p>
    <w:p>
      <w:pPr>
        <w:spacing w:line="360" w:lineRule="auto"/>
        <w:ind w:firstLine="420" w:firstLineChars="200"/>
        <w:rPr>
          <w:rFonts w:hint="eastAsia" w:ascii="宋体" w:hAnsi="宋体"/>
          <w:szCs w:val="21"/>
          <w:highlight w:val="none"/>
        </w:rPr>
      </w:pPr>
      <w:r>
        <w:rPr>
          <w:rFonts w:hint="eastAsia" w:ascii="宋体" w:hAnsi="宋体"/>
          <w:szCs w:val="21"/>
          <w:highlight w:val="none"/>
        </w:rPr>
        <w:t>谈判结束后，谈判小组根据响应文件和最终谈判承诺，对应技术评审表打分并计算出本人对各供应商的技术评分总和。</w:t>
      </w:r>
    </w:p>
    <w:p>
      <w:pPr>
        <w:spacing w:line="360" w:lineRule="auto"/>
        <w:ind w:firstLine="120" w:firstLineChars="50"/>
        <w:rPr>
          <w:rFonts w:hint="eastAsia" w:ascii="宋体" w:hAnsi="宋体"/>
          <w:b/>
          <w:sz w:val="24"/>
          <w:highlight w:val="none"/>
        </w:rPr>
      </w:pPr>
      <w:r>
        <w:rPr>
          <w:rFonts w:hint="eastAsia" w:ascii="宋体" w:hAnsi="宋体"/>
          <w:b/>
          <w:sz w:val="24"/>
          <w:highlight w:val="none"/>
        </w:rPr>
        <w:t>2.5价格评审</w:t>
      </w:r>
    </w:p>
    <w:p>
      <w:pPr>
        <w:widowControl/>
        <w:spacing w:line="360" w:lineRule="auto"/>
        <w:ind w:firstLine="525" w:firstLineChars="250"/>
        <w:jc w:val="left"/>
        <w:rPr>
          <w:rFonts w:hint="eastAsia" w:ascii="宋体" w:hAnsi="宋体"/>
          <w:highlight w:val="none"/>
        </w:rPr>
      </w:pPr>
      <w:r>
        <w:rPr>
          <w:rFonts w:hint="eastAsia" w:ascii="宋体" w:hAnsi="宋体"/>
          <w:szCs w:val="21"/>
          <w:highlight w:val="none"/>
        </w:rPr>
        <w:t>谈判结束后，谈判小组根据最终报价进行价格评审。</w:t>
      </w:r>
      <w:r>
        <w:rPr>
          <w:rFonts w:ascii="宋体" w:hAnsi="宋体"/>
          <w:highlight w:val="none"/>
        </w:rPr>
        <w:t>报价有算术错误及其他错误的，</w:t>
      </w:r>
      <w:r>
        <w:rPr>
          <w:rFonts w:hint="eastAsia" w:ascii="宋体" w:hAnsi="宋体"/>
          <w:highlight w:val="none"/>
        </w:rPr>
        <w:t>谈判小组</w:t>
      </w:r>
      <w:r>
        <w:rPr>
          <w:rFonts w:ascii="宋体" w:hAnsi="宋体"/>
          <w:highlight w:val="none"/>
        </w:rPr>
        <w:t>按以下原则要求</w:t>
      </w:r>
      <w:r>
        <w:rPr>
          <w:rFonts w:hint="eastAsia" w:ascii="宋体" w:hAnsi="宋体"/>
          <w:highlight w:val="none"/>
        </w:rPr>
        <w:t>供应商</w:t>
      </w:r>
      <w:r>
        <w:rPr>
          <w:rFonts w:ascii="宋体" w:hAnsi="宋体"/>
          <w:highlight w:val="none"/>
        </w:rPr>
        <w:t>对报价进行修正</w:t>
      </w:r>
      <w:r>
        <w:rPr>
          <w:rFonts w:hint="eastAsia" w:ascii="宋体" w:hAnsi="宋体"/>
          <w:highlight w:val="none"/>
        </w:rPr>
        <w:t>：</w:t>
      </w:r>
    </w:p>
    <w:p>
      <w:pPr>
        <w:widowControl/>
        <w:spacing w:line="360" w:lineRule="auto"/>
        <w:ind w:firstLine="527" w:firstLineChars="250"/>
        <w:jc w:val="left"/>
        <w:rPr>
          <w:rFonts w:hint="eastAsia" w:ascii="宋体" w:hAnsi="宋体"/>
          <w:highlight w:val="none"/>
        </w:rPr>
      </w:pPr>
      <w:r>
        <w:rPr>
          <w:rFonts w:hint="eastAsia" w:ascii="宋体" w:hAnsi="宋体"/>
          <w:b/>
          <w:bCs/>
          <w:szCs w:val="21"/>
          <w:highlight w:val="none"/>
        </w:rPr>
        <w:t xml:space="preserve">2.5.1 </w:t>
      </w:r>
      <w:r>
        <w:rPr>
          <w:rFonts w:hint="eastAsia" w:ascii="宋体" w:hAnsi="宋体"/>
          <w:highlight w:val="none"/>
        </w:rPr>
        <w:t>最终报价</w:t>
      </w:r>
      <w:r>
        <w:rPr>
          <w:rFonts w:ascii="宋体" w:hAnsi="宋体"/>
          <w:highlight w:val="none"/>
        </w:rPr>
        <w:t>中的大写金额与小写金额不一致的，以大写金额为准</w:t>
      </w:r>
      <w:r>
        <w:rPr>
          <w:rFonts w:hint="eastAsia" w:ascii="宋体" w:hAnsi="宋体"/>
          <w:highlight w:val="none"/>
        </w:rPr>
        <w:t>；</w:t>
      </w:r>
    </w:p>
    <w:p>
      <w:pPr>
        <w:widowControl/>
        <w:spacing w:line="360" w:lineRule="auto"/>
        <w:ind w:firstLine="527" w:firstLineChars="250"/>
        <w:jc w:val="left"/>
        <w:rPr>
          <w:rFonts w:hint="eastAsia" w:ascii="宋体" w:hAnsi="宋体"/>
          <w:szCs w:val="21"/>
          <w:highlight w:val="none"/>
        </w:rPr>
      </w:pPr>
      <w:r>
        <w:rPr>
          <w:rFonts w:hint="eastAsia" w:ascii="宋体" w:hAnsi="宋体"/>
          <w:b/>
          <w:bCs/>
          <w:szCs w:val="21"/>
          <w:highlight w:val="none"/>
        </w:rPr>
        <w:t xml:space="preserve">2.5.2 </w:t>
      </w:r>
      <w:r>
        <w:rPr>
          <w:rFonts w:hint="eastAsia" w:ascii="宋体" w:hAnsi="宋体"/>
          <w:szCs w:val="21"/>
          <w:highlight w:val="none"/>
        </w:rPr>
        <w:t>对不同文字文本响应文件的解释发生异议的，以中文文本为准。</w:t>
      </w:r>
    </w:p>
    <w:p>
      <w:pPr>
        <w:widowControl/>
        <w:spacing w:line="360" w:lineRule="auto"/>
        <w:ind w:firstLine="527" w:firstLineChars="250"/>
        <w:jc w:val="left"/>
        <w:rPr>
          <w:rFonts w:hint="eastAsia" w:ascii="宋体" w:hAnsi="宋体"/>
          <w:b/>
          <w:bCs/>
          <w:szCs w:val="21"/>
          <w:highlight w:val="none"/>
        </w:rPr>
      </w:pPr>
      <w:r>
        <w:rPr>
          <w:rFonts w:hint="eastAsia" w:ascii="宋体" w:hAnsi="宋体"/>
          <w:b/>
          <w:szCs w:val="21"/>
          <w:highlight w:val="none"/>
        </w:rPr>
        <w:t xml:space="preserve">2.5.3 </w:t>
      </w:r>
      <w:r>
        <w:rPr>
          <w:rFonts w:hint="eastAsia" w:ascii="宋体" w:hAnsi="宋体" w:cs="宋体"/>
          <w:bCs/>
          <w:szCs w:val="21"/>
          <w:highlight w:val="none"/>
        </w:rPr>
        <w:t>当</w:t>
      </w:r>
      <w:r>
        <w:rPr>
          <w:rFonts w:hint="eastAsia" w:ascii="宋体" w:hAnsi="宋体"/>
          <w:szCs w:val="21"/>
          <w:highlight w:val="none"/>
        </w:rPr>
        <w:t>单价与数量均符合询价文件要求时，</w:t>
      </w:r>
      <w:r>
        <w:rPr>
          <w:rFonts w:hint="eastAsia" w:ascii="宋体" w:hAnsi="宋体" w:cs="宋体"/>
          <w:szCs w:val="21"/>
          <w:highlight w:val="none"/>
        </w:rPr>
        <w:t>总价金额与单价金额不对应时，则以单价金额为准作为评审价</w:t>
      </w:r>
      <w:r>
        <w:rPr>
          <w:rFonts w:hint="eastAsia" w:ascii="宋体" w:hAnsi="宋体" w:cs="宋体"/>
          <w:highlight w:val="none"/>
        </w:rPr>
        <w:t>，</w:t>
      </w:r>
      <w:r>
        <w:rPr>
          <w:rFonts w:hint="eastAsia" w:ascii="宋体" w:hAnsi="宋体" w:cs="宋体"/>
          <w:szCs w:val="21"/>
          <w:highlight w:val="none"/>
        </w:rPr>
        <w:t>但单价金额小数点有明显错误的除外；</w:t>
      </w:r>
    </w:p>
    <w:p>
      <w:pPr>
        <w:widowControl/>
        <w:spacing w:line="360" w:lineRule="auto"/>
        <w:ind w:firstLine="527" w:firstLineChars="250"/>
        <w:jc w:val="left"/>
        <w:rPr>
          <w:rFonts w:hint="eastAsia" w:ascii="宋体" w:hAnsi="宋体"/>
          <w:szCs w:val="21"/>
          <w:highlight w:val="none"/>
        </w:rPr>
      </w:pPr>
      <w:r>
        <w:rPr>
          <w:rFonts w:hint="eastAsia" w:ascii="宋体" w:hAnsi="宋体"/>
          <w:b/>
          <w:bCs/>
          <w:szCs w:val="21"/>
          <w:highlight w:val="none"/>
        </w:rPr>
        <w:t xml:space="preserve">2.5.4 </w:t>
      </w:r>
      <w:r>
        <w:rPr>
          <w:rFonts w:hint="eastAsia" w:ascii="宋体" w:hAnsi="宋体"/>
          <w:szCs w:val="21"/>
          <w:highlight w:val="none"/>
        </w:rPr>
        <w:t>供应商报价如有缺漏项，可要求供应商澄清，如供应商仍不报价，</w:t>
      </w:r>
      <w:r>
        <w:rPr>
          <w:rFonts w:ascii="宋体" w:hAnsi="宋体"/>
          <w:highlight w:val="none"/>
        </w:rPr>
        <w:t>则视为</w:t>
      </w:r>
      <w:r>
        <w:rPr>
          <w:rFonts w:hint="eastAsia" w:ascii="宋体" w:hAnsi="宋体"/>
          <w:highlight w:val="none"/>
        </w:rPr>
        <w:t>对谈判文件内容不完全响应，作报价无效处理</w:t>
      </w:r>
      <w:r>
        <w:rPr>
          <w:rFonts w:ascii="宋体" w:hAnsi="宋体"/>
          <w:highlight w:val="none"/>
        </w:rPr>
        <w:t>。</w:t>
      </w:r>
    </w:p>
    <w:p>
      <w:pPr>
        <w:widowControl/>
        <w:spacing w:line="360" w:lineRule="auto"/>
        <w:ind w:firstLine="527" w:firstLineChars="250"/>
        <w:jc w:val="left"/>
        <w:rPr>
          <w:rFonts w:hint="eastAsia" w:ascii="宋体" w:hAnsi="宋体"/>
          <w:szCs w:val="21"/>
          <w:highlight w:val="none"/>
        </w:rPr>
      </w:pPr>
      <w:r>
        <w:rPr>
          <w:rFonts w:hint="eastAsia" w:ascii="宋体" w:hAnsi="宋体"/>
          <w:b/>
          <w:bCs/>
          <w:szCs w:val="21"/>
          <w:highlight w:val="none"/>
        </w:rPr>
        <w:t>2.5.5</w:t>
      </w:r>
      <w:r>
        <w:rPr>
          <w:rFonts w:hint="eastAsia" w:ascii="宋体" w:hAnsi="宋体"/>
          <w:szCs w:val="21"/>
          <w:highlight w:val="none"/>
        </w:rPr>
        <w:t xml:space="preserve"> 按上述修正错误的原则及方法调整或修正响应文件的报价，调整后的报价对供应商起约束作用。如果供应商不接受修正后的报价，则取消其成交资格。</w:t>
      </w:r>
    </w:p>
    <w:p>
      <w:pPr>
        <w:spacing w:line="360" w:lineRule="auto"/>
        <w:ind w:firstLine="120" w:firstLineChars="50"/>
        <w:rPr>
          <w:rFonts w:hint="eastAsia" w:ascii="宋体" w:hAnsi="宋体"/>
          <w:b/>
          <w:sz w:val="24"/>
          <w:highlight w:val="none"/>
        </w:rPr>
      </w:pPr>
      <w:r>
        <w:rPr>
          <w:rFonts w:hint="eastAsia" w:ascii="宋体" w:hAnsi="宋体"/>
          <w:b/>
          <w:sz w:val="24"/>
          <w:highlight w:val="none"/>
        </w:rPr>
        <w:t>2.6计算总分</w:t>
      </w:r>
    </w:p>
    <w:p>
      <w:pPr>
        <w:pStyle w:val="10"/>
        <w:spacing w:line="360" w:lineRule="auto"/>
        <w:ind w:left="0" w:leftChars="0" w:firstLine="420" w:firstLineChars="200"/>
        <w:rPr>
          <w:rFonts w:hint="eastAsia" w:ascii="宋体" w:hAnsi="宋体"/>
          <w:sz w:val="21"/>
          <w:szCs w:val="21"/>
          <w:highlight w:val="none"/>
          <w:u w:val="single"/>
        </w:rPr>
      </w:pPr>
      <w:r>
        <w:rPr>
          <w:rFonts w:hint="eastAsia" w:ascii="宋体" w:hAnsi="宋体"/>
          <w:sz w:val="21"/>
          <w:szCs w:val="21"/>
          <w:highlight w:val="none"/>
        </w:rPr>
        <w:t>每个供应商的综合总得分</w:t>
      </w:r>
      <w:r>
        <w:rPr>
          <w:rFonts w:ascii="宋体" w:hAnsi="宋体"/>
          <w:sz w:val="21"/>
          <w:szCs w:val="21"/>
          <w:highlight w:val="none"/>
        </w:rPr>
        <w:t>:</w:t>
      </w:r>
      <w:r>
        <w:rPr>
          <w:rFonts w:hint="eastAsia" w:ascii="宋体" w:hAnsi="宋体"/>
          <w:sz w:val="21"/>
          <w:szCs w:val="21"/>
          <w:highlight w:val="none"/>
        </w:rPr>
        <w:t>综合总得分＝商务得分＋技术得分＋价格得分-扣分（如有）。</w:t>
      </w:r>
      <w:r>
        <w:rPr>
          <w:rFonts w:ascii="宋体" w:hAnsi="宋体"/>
          <w:sz w:val="21"/>
          <w:szCs w:val="21"/>
          <w:highlight w:val="none"/>
        </w:rPr>
        <w:t>(</w:t>
      </w:r>
      <w:r>
        <w:rPr>
          <w:rFonts w:hint="eastAsia" w:ascii="宋体" w:hAnsi="宋体"/>
          <w:sz w:val="21"/>
          <w:szCs w:val="21"/>
          <w:highlight w:val="none"/>
        </w:rPr>
        <w:t>每部分得分计算以四舍五入的方式精确到小数点后两位)</w:t>
      </w:r>
    </w:p>
    <w:p>
      <w:pPr>
        <w:spacing w:line="360" w:lineRule="auto"/>
        <w:ind w:firstLine="420" w:firstLineChars="200"/>
        <w:rPr>
          <w:rFonts w:hint="eastAsia" w:ascii="宋体" w:hAnsi="宋体"/>
          <w:szCs w:val="21"/>
          <w:highlight w:val="none"/>
        </w:rPr>
      </w:pPr>
      <w:r>
        <w:rPr>
          <w:rFonts w:hint="eastAsia" w:ascii="宋体" w:hAnsi="宋体"/>
          <w:szCs w:val="21"/>
          <w:highlight w:val="none"/>
        </w:rPr>
        <w:t>按总得分由高至低排出成交候选供应商的名次顺序（</w:t>
      </w:r>
      <w:r>
        <w:rPr>
          <w:rFonts w:ascii="宋体" w:hAnsi="宋体"/>
          <w:highlight w:val="none"/>
        </w:rPr>
        <w:t>综合评分相等时，以报价低的优先；报价也相等的，以技术得分高的优先</w:t>
      </w:r>
      <w:r>
        <w:rPr>
          <w:rFonts w:hint="eastAsia" w:ascii="宋体" w:hAnsi="宋体"/>
          <w:highlight w:val="none"/>
        </w:rPr>
        <w:t>来</w:t>
      </w:r>
      <w:r>
        <w:rPr>
          <w:rFonts w:ascii="宋体" w:hAnsi="宋体"/>
          <w:highlight w:val="none"/>
        </w:rPr>
        <w:t>确定</w:t>
      </w:r>
      <w:r>
        <w:rPr>
          <w:rFonts w:hint="eastAsia" w:ascii="宋体" w:hAnsi="宋体"/>
          <w:highlight w:val="none"/>
        </w:rPr>
        <w:t>成交候选供应商</w:t>
      </w:r>
      <w:r>
        <w:rPr>
          <w:rFonts w:ascii="宋体" w:hAnsi="宋体"/>
          <w:highlight w:val="none"/>
        </w:rPr>
        <w:t>顺序</w:t>
      </w:r>
      <w:r>
        <w:rPr>
          <w:rFonts w:hint="eastAsia" w:ascii="宋体" w:hAnsi="宋体"/>
          <w:szCs w:val="21"/>
          <w:highlight w:val="none"/>
        </w:rPr>
        <w:t>），各评委对计分表校核无误后全体评委在综合总得分计算表上签名确认。</w:t>
      </w:r>
    </w:p>
    <w:p>
      <w:pPr>
        <w:pStyle w:val="4"/>
        <w:ind w:left="0"/>
        <w:rPr>
          <w:rFonts w:hint="eastAsia" w:ascii="宋体" w:hAnsi="宋体" w:cs="宋体"/>
          <w:b/>
          <w:bCs/>
          <w:highlight w:val="none"/>
        </w:rPr>
      </w:pPr>
      <w:bookmarkStart w:id="228" w:name="_Toc10845"/>
      <w:bookmarkStart w:id="229" w:name="_Toc15752"/>
      <w:bookmarkStart w:id="230" w:name="_Toc15169"/>
      <w:bookmarkStart w:id="231" w:name="_Toc20061"/>
      <w:bookmarkStart w:id="232" w:name="_Toc30966"/>
      <w:bookmarkStart w:id="233" w:name="_Toc9649"/>
      <w:bookmarkStart w:id="234" w:name="_Toc28587"/>
      <w:r>
        <w:rPr>
          <w:rFonts w:hint="eastAsia" w:ascii="宋体" w:hAnsi="宋体" w:cs="宋体"/>
          <w:b/>
          <w:bCs/>
          <w:highlight w:val="none"/>
        </w:rPr>
        <w:t>3、评审细则</w:t>
      </w:r>
      <w:bookmarkEnd w:id="228"/>
      <w:bookmarkEnd w:id="229"/>
      <w:bookmarkEnd w:id="230"/>
      <w:bookmarkEnd w:id="231"/>
      <w:bookmarkEnd w:id="232"/>
      <w:bookmarkEnd w:id="233"/>
      <w:permStart w:id="24" w:edGrp="everyone"/>
      <w:r>
        <w:rPr>
          <w:rFonts w:hint="eastAsia" w:ascii="宋体" w:hAnsi="宋体" w:cs="宋体"/>
          <w:b/>
          <w:sz w:val="24"/>
          <w:highlight w:val="none"/>
        </w:rPr>
        <w:t>【</w:t>
      </w:r>
      <w:r>
        <w:rPr>
          <w:rFonts w:hint="eastAsia" w:ascii="宋体" w:hAnsi="宋体" w:cs="宋体"/>
          <w:b/>
          <w:sz w:val="24"/>
          <w:szCs w:val="22"/>
          <w:highlight w:val="none"/>
        </w:rPr>
        <w:t>子包1、2、3通用</w:t>
      </w:r>
      <w:r>
        <w:rPr>
          <w:rFonts w:hint="eastAsia" w:ascii="宋体" w:hAnsi="宋体" w:cs="宋体"/>
          <w:b/>
          <w:highlight w:val="none"/>
        </w:rPr>
        <w:t>】</w:t>
      </w:r>
      <w:bookmarkEnd w:id="234"/>
      <w:permEnd w:id="24"/>
    </w:p>
    <w:p>
      <w:pPr>
        <w:spacing w:line="360" w:lineRule="auto"/>
        <w:ind w:firstLine="482" w:firstLineChars="200"/>
        <w:rPr>
          <w:rFonts w:hint="eastAsia" w:ascii="宋体" w:hAnsi="宋体"/>
          <w:szCs w:val="21"/>
          <w:highlight w:val="none"/>
        </w:rPr>
      </w:pPr>
      <w:r>
        <w:rPr>
          <w:rFonts w:hint="eastAsia" w:ascii="宋体" w:hAnsi="宋体"/>
          <w:b/>
          <w:sz w:val="24"/>
          <w:highlight w:val="none"/>
        </w:rPr>
        <w:t>3.1</w:t>
      </w:r>
      <w:r>
        <w:rPr>
          <w:rFonts w:hint="eastAsia" w:ascii="宋体" w:hAnsi="宋体"/>
          <w:szCs w:val="21"/>
          <w:highlight w:val="none"/>
        </w:rPr>
        <w:t>评审以谈判文件、谈判响应文件、最终谈判承诺和最终报价为依据。谈判小组对所有有效供应商从商务、技术和价格三个方面进行综合评分，总分为100分。</w:t>
      </w:r>
    </w:p>
    <w:tbl>
      <w:tblPr>
        <w:tblStyle w:val="25"/>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4"/>
        <w:gridCol w:w="1815"/>
        <w:gridCol w:w="1830"/>
        <w:gridCol w:w="2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54" w:type="dxa"/>
            <w:vAlign w:val="center"/>
          </w:tcPr>
          <w:p>
            <w:pPr>
              <w:jc w:val="center"/>
              <w:rPr>
                <w:rFonts w:hint="eastAsia" w:ascii="宋体" w:hAnsi="宋体"/>
                <w:b/>
                <w:bCs/>
                <w:szCs w:val="21"/>
                <w:highlight w:val="none"/>
              </w:rPr>
            </w:pPr>
            <w:r>
              <w:rPr>
                <w:rFonts w:hint="eastAsia" w:ascii="宋体" w:hAnsi="宋体"/>
                <w:b/>
                <w:bCs/>
                <w:szCs w:val="21"/>
                <w:highlight w:val="none"/>
              </w:rPr>
              <w:t>评分项目</w:t>
            </w:r>
          </w:p>
        </w:tc>
        <w:tc>
          <w:tcPr>
            <w:tcW w:w="1815" w:type="dxa"/>
            <w:vAlign w:val="center"/>
          </w:tcPr>
          <w:p>
            <w:pPr>
              <w:jc w:val="center"/>
              <w:rPr>
                <w:rFonts w:hint="eastAsia" w:ascii="宋体" w:hAnsi="宋体"/>
                <w:b/>
                <w:bCs/>
                <w:szCs w:val="21"/>
                <w:highlight w:val="none"/>
              </w:rPr>
            </w:pPr>
            <w:r>
              <w:rPr>
                <w:rFonts w:hint="eastAsia" w:ascii="宋体" w:hAnsi="宋体"/>
                <w:b/>
                <w:bCs/>
                <w:szCs w:val="21"/>
                <w:highlight w:val="none"/>
              </w:rPr>
              <w:t>商务评分</w:t>
            </w:r>
          </w:p>
        </w:tc>
        <w:tc>
          <w:tcPr>
            <w:tcW w:w="1830" w:type="dxa"/>
            <w:vAlign w:val="center"/>
          </w:tcPr>
          <w:p>
            <w:pPr>
              <w:jc w:val="center"/>
              <w:rPr>
                <w:rFonts w:hint="eastAsia" w:ascii="宋体" w:hAnsi="宋体"/>
                <w:b/>
                <w:bCs/>
                <w:szCs w:val="21"/>
                <w:highlight w:val="none"/>
              </w:rPr>
            </w:pPr>
            <w:r>
              <w:rPr>
                <w:rFonts w:hint="eastAsia" w:ascii="宋体" w:hAnsi="宋体"/>
                <w:b/>
                <w:bCs/>
                <w:szCs w:val="21"/>
                <w:highlight w:val="none"/>
              </w:rPr>
              <w:t>技术评分</w:t>
            </w:r>
          </w:p>
        </w:tc>
        <w:tc>
          <w:tcPr>
            <w:tcW w:w="2175" w:type="dxa"/>
            <w:vAlign w:val="center"/>
          </w:tcPr>
          <w:p>
            <w:pPr>
              <w:ind w:left="1473" w:leftChars="12" w:hanging="1448" w:hangingChars="687"/>
              <w:jc w:val="center"/>
              <w:rPr>
                <w:rFonts w:hint="eastAsia" w:ascii="宋体" w:hAnsi="宋体"/>
                <w:b/>
                <w:bCs/>
                <w:szCs w:val="21"/>
                <w:highlight w:val="none"/>
              </w:rPr>
            </w:pPr>
            <w:r>
              <w:rPr>
                <w:rFonts w:hint="eastAsia" w:ascii="宋体" w:hAnsi="宋体"/>
                <w:b/>
                <w:bCs/>
                <w:szCs w:val="21"/>
                <w:highlight w:val="none"/>
              </w:rPr>
              <w:t>价格评分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54" w:type="dxa"/>
            <w:vAlign w:val="center"/>
          </w:tcPr>
          <w:p>
            <w:pPr>
              <w:jc w:val="center"/>
              <w:rPr>
                <w:rFonts w:hint="eastAsia" w:ascii="宋体" w:hAnsi="宋体"/>
                <w:b/>
                <w:bCs/>
                <w:szCs w:val="21"/>
                <w:highlight w:val="none"/>
              </w:rPr>
            </w:pPr>
            <w:r>
              <w:rPr>
                <w:rFonts w:hint="eastAsia" w:ascii="宋体" w:hAnsi="宋体"/>
                <w:b/>
                <w:bCs/>
                <w:szCs w:val="21"/>
                <w:highlight w:val="none"/>
              </w:rPr>
              <w:t>分数</w:t>
            </w:r>
          </w:p>
          <w:p>
            <w:pPr>
              <w:jc w:val="center"/>
              <w:rPr>
                <w:rFonts w:hint="eastAsia" w:ascii="宋体" w:hAnsi="宋体"/>
                <w:b/>
                <w:bCs/>
                <w:szCs w:val="21"/>
                <w:highlight w:val="none"/>
              </w:rPr>
            </w:pPr>
            <w:r>
              <w:rPr>
                <w:rFonts w:hint="eastAsia" w:ascii="宋体" w:hAnsi="宋体"/>
                <w:b/>
                <w:bCs/>
                <w:szCs w:val="21"/>
                <w:highlight w:val="none"/>
              </w:rPr>
              <w:t>（总分100分）</w:t>
            </w:r>
          </w:p>
        </w:tc>
        <w:tc>
          <w:tcPr>
            <w:tcW w:w="1815" w:type="dxa"/>
            <w:vAlign w:val="center"/>
          </w:tcPr>
          <w:p>
            <w:pPr>
              <w:jc w:val="center"/>
              <w:rPr>
                <w:rFonts w:hint="eastAsia" w:ascii="宋体" w:hAnsi="宋体"/>
                <w:b/>
                <w:bCs/>
                <w:szCs w:val="21"/>
                <w:highlight w:val="none"/>
              </w:rPr>
            </w:pPr>
            <w:r>
              <w:rPr>
                <w:rFonts w:hint="eastAsia" w:ascii="宋体" w:hAnsi="宋体"/>
                <w:b/>
                <w:bCs/>
                <w:szCs w:val="21"/>
                <w:highlight w:val="none"/>
              </w:rPr>
              <w:t>【10】分</w:t>
            </w:r>
          </w:p>
        </w:tc>
        <w:tc>
          <w:tcPr>
            <w:tcW w:w="1830" w:type="dxa"/>
            <w:vAlign w:val="center"/>
          </w:tcPr>
          <w:p>
            <w:pPr>
              <w:rPr>
                <w:rFonts w:hint="eastAsia" w:ascii="宋体" w:hAnsi="宋体"/>
                <w:b/>
                <w:bCs/>
                <w:szCs w:val="21"/>
                <w:highlight w:val="none"/>
              </w:rPr>
            </w:pPr>
            <w:r>
              <w:rPr>
                <w:rFonts w:hint="eastAsia" w:ascii="宋体" w:hAnsi="宋体"/>
                <w:b/>
                <w:bCs/>
                <w:szCs w:val="21"/>
                <w:highlight w:val="none"/>
              </w:rPr>
              <w:t xml:space="preserve">     【40】分</w:t>
            </w:r>
          </w:p>
        </w:tc>
        <w:tc>
          <w:tcPr>
            <w:tcW w:w="2175" w:type="dxa"/>
            <w:vAlign w:val="center"/>
          </w:tcPr>
          <w:p>
            <w:pPr>
              <w:jc w:val="center"/>
              <w:rPr>
                <w:rFonts w:hint="eastAsia" w:ascii="宋体" w:hAnsi="宋体"/>
                <w:b/>
                <w:bCs/>
                <w:szCs w:val="21"/>
                <w:highlight w:val="none"/>
              </w:rPr>
            </w:pPr>
            <w:r>
              <w:rPr>
                <w:rFonts w:hint="eastAsia" w:ascii="宋体" w:hAnsi="宋体"/>
                <w:b/>
                <w:bCs/>
                <w:szCs w:val="21"/>
                <w:highlight w:val="none"/>
              </w:rPr>
              <w:t>【50】分</w:t>
            </w:r>
          </w:p>
        </w:tc>
      </w:tr>
    </w:tbl>
    <w:p>
      <w:pPr>
        <w:spacing w:line="360" w:lineRule="auto"/>
        <w:ind w:firstLine="482" w:firstLineChars="200"/>
        <w:rPr>
          <w:rFonts w:hint="eastAsia" w:ascii="宋体" w:hAnsi="宋体"/>
          <w:b/>
          <w:sz w:val="24"/>
          <w:highlight w:val="none"/>
        </w:rPr>
      </w:pPr>
    </w:p>
    <w:p>
      <w:pPr>
        <w:spacing w:line="360" w:lineRule="auto"/>
        <w:ind w:firstLine="482" w:firstLineChars="200"/>
        <w:rPr>
          <w:rFonts w:hint="eastAsia" w:ascii="宋体" w:hAnsi="宋体"/>
          <w:b/>
          <w:sz w:val="24"/>
          <w:highlight w:val="none"/>
        </w:rPr>
      </w:pPr>
      <w:r>
        <w:rPr>
          <w:rFonts w:hint="eastAsia" w:ascii="宋体" w:hAnsi="宋体"/>
          <w:b/>
          <w:sz w:val="24"/>
          <w:highlight w:val="none"/>
        </w:rPr>
        <w:t>3.2评审细则表</w:t>
      </w:r>
    </w:p>
    <w:p>
      <w:pPr>
        <w:spacing w:before="156" w:beforeLines="50" w:after="156" w:afterLines="50" w:line="360" w:lineRule="auto"/>
        <w:ind w:firstLine="120" w:firstLineChars="50"/>
        <w:jc w:val="center"/>
        <w:rPr>
          <w:rFonts w:hint="eastAsia" w:ascii="宋体" w:hAnsi="宋体"/>
          <w:szCs w:val="21"/>
          <w:highlight w:val="none"/>
        </w:rPr>
      </w:pPr>
      <w:r>
        <w:rPr>
          <w:rFonts w:hint="eastAsia" w:ascii="宋体" w:hAnsi="宋体"/>
          <w:b/>
          <w:sz w:val="24"/>
          <w:highlight w:val="none"/>
        </w:rPr>
        <w:t>表</w:t>
      </w:r>
      <w:r>
        <w:rPr>
          <w:rFonts w:ascii="宋体" w:hAnsi="宋体"/>
          <w:b/>
          <w:sz w:val="24"/>
          <w:highlight w:val="none"/>
        </w:rPr>
        <w:t>1</w:t>
      </w:r>
      <w:r>
        <w:rPr>
          <w:rFonts w:hint="eastAsia" w:ascii="宋体" w:hAnsi="宋体"/>
          <w:b/>
          <w:sz w:val="24"/>
          <w:highlight w:val="none"/>
        </w:rPr>
        <w:t xml:space="preserve">  符合性评审表</w:t>
      </w:r>
    </w:p>
    <w:tbl>
      <w:tblPr>
        <w:tblStyle w:val="25"/>
        <w:tblW w:w="9030" w:type="dxa"/>
        <w:tblInd w:w="0" w:type="dxa"/>
        <w:tblLayout w:type="fixed"/>
        <w:tblCellMar>
          <w:top w:w="0" w:type="dxa"/>
          <w:left w:w="30" w:type="dxa"/>
          <w:bottom w:w="0" w:type="dxa"/>
          <w:right w:w="30" w:type="dxa"/>
        </w:tblCellMar>
      </w:tblPr>
      <w:tblGrid>
        <w:gridCol w:w="570"/>
        <w:gridCol w:w="2507"/>
        <w:gridCol w:w="5953"/>
      </w:tblGrid>
      <w:tr>
        <w:tblPrEx>
          <w:tblCellMar>
            <w:top w:w="0" w:type="dxa"/>
            <w:left w:w="30" w:type="dxa"/>
            <w:bottom w:w="0" w:type="dxa"/>
            <w:right w:w="30" w:type="dxa"/>
          </w:tblCellMar>
        </w:tblPrEx>
        <w:trPr>
          <w:trHeight w:val="545" w:hRule="atLeast"/>
        </w:trPr>
        <w:tc>
          <w:tcPr>
            <w:tcW w:w="57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60" w:lineRule="auto"/>
              <w:jc w:val="center"/>
              <w:rPr>
                <w:rFonts w:hint="eastAsia" w:ascii="宋体" w:hAnsi="宋体"/>
                <w:b/>
                <w:szCs w:val="21"/>
                <w:highlight w:val="none"/>
              </w:rPr>
            </w:pPr>
            <w:r>
              <w:rPr>
                <w:rFonts w:hint="eastAsia" w:ascii="宋体" w:hAnsi="宋体"/>
                <w:b/>
                <w:szCs w:val="21"/>
                <w:highlight w:val="none"/>
              </w:rPr>
              <w:t>序号</w:t>
            </w:r>
          </w:p>
        </w:tc>
        <w:tc>
          <w:tcPr>
            <w:tcW w:w="2507"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60" w:lineRule="auto"/>
              <w:jc w:val="center"/>
              <w:rPr>
                <w:rFonts w:hint="eastAsia" w:ascii="宋体" w:hAnsi="宋体"/>
                <w:b/>
                <w:szCs w:val="21"/>
                <w:highlight w:val="none"/>
              </w:rPr>
            </w:pPr>
            <w:r>
              <w:rPr>
                <w:rFonts w:hint="eastAsia" w:ascii="宋体" w:hAnsi="宋体"/>
                <w:b/>
                <w:szCs w:val="21"/>
                <w:highlight w:val="none"/>
              </w:rPr>
              <w:t>审查项目</w:t>
            </w:r>
          </w:p>
        </w:tc>
        <w:tc>
          <w:tcPr>
            <w:tcW w:w="595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60" w:lineRule="auto"/>
              <w:jc w:val="center"/>
              <w:rPr>
                <w:rFonts w:hint="eastAsia" w:ascii="宋体" w:hAnsi="宋体"/>
                <w:b/>
                <w:szCs w:val="21"/>
                <w:highlight w:val="none"/>
              </w:rPr>
            </w:pPr>
            <w:r>
              <w:rPr>
                <w:rFonts w:hint="eastAsia" w:ascii="宋体" w:hAnsi="宋体"/>
                <w:b/>
                <w:szCs w:val="21"/>
                <w:highlight w:val="none"/>
              </w:rPr>
              <w:t>审查内容</w:t>
            </w:r>
          </w:p>
        </w:tc>
      </w:tr>
      <w:tr>
        <w:tblPrEx>
          <w:tblCellMar>
            <w:top w:w="0" w:type="dxa"/>
            <w:left w:w="30" w:type="dxa"/>
            <w:bottom w:w="0" w:type="dxa"/>
            <w:right w:w="30" w:type="dxa"/>
          </w:tblCellMar>
        </w:tblPrEx>
        <w:trPr>
          <w:trHeight w:val="906" w:hRule="atLeast"/>
        </w:trPr>
        <w:tc>
          <w:tcPr>
            <w:tcW w:w="57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60" w:lineRule="auto"/>
              <w:jc w:val="center"/>
              <w:rPr>
                <w:rFonts w:hint="eastAsia" w:ascii="宋体" w:hAnsi="宋体"/>
                <w:b/>
                <w:szCs w:val="21"/>
                <w:highlight w:val="none"/>
              </w:rPr>
            </w:pPr>
            <w:r>
              <w:rPr>
                <w:rFonts w:hint="eastAsia" w:ascii="宋体" w:hAnsi="宋体"/>
                <w:b/>
                <w:szCs w:val="21"/>
                <w:highlight w:val="none"/>
              </w:rPr>
              <w:t>1</w:t>
            </w:r>
          </w:p>
        </w:tc>
        <w:tc>
          <w:tcPr>
            <w:tcW w:w="2507" w:type="dxa"/>
            <w:tcBorders>
              <w:top w:val="single" w:color="auto" w:sz="6" w:space="0"/>
              <w:left w:val="single" w:color="auto" w:sz="6" w:space="0"/>
              <w:bottom w:val="single" w:color="auto" w:sz="6" w:space="0"/>
              <w:right w:val="single" w:color="auto" w:sz="6" w:space="0"/>
            </w:tcBorders>
            <w:vAlign w:val="center"/>
          </w:tcPr>
          <w:p>
            <w:pPr>
              <w:spacing w:line="360" w:lineRule="auto"/>
              <w:jc w:val="left"/>
              <w:rPr>
                <w:b/>
                <w:highlight w:val="none"/>
              </w:rPr>
            </w:pPr>
            <w:r>
              <w:rPr>
                <w:rFonts w:hint="eastAsia"/>
                <w:b/>
                <w:highlight w:val="none"/>
              </w:rPr>
              <w:t>响应文件的有效性</w:t>
            </w:r>
          </w:p>
        </w:tc>
        <w:tc>
          <w:tcPr>
            <w:tcW w:w="595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60" w:lineRule="auto"/>
              <w:jc w:val="left"/>
              <w:rPr>
                <w:rFonts w:hint="eastAsia" w:ascii="宋体" w:hAnsi="宋体"/>
                <w:szCs w:val="21"/>
                <w:highlight w:val="none"/>
              </w:rPr>
            </w:pPr>
            <w:r>
              <w:rPr>
                <w:rFonts w:hint="eastAsia" w:ascii="宋体" w:hAnsi="宋体"/>
                <w:szCs w:val="21"/>
                <w:highlight w:val="none"/>
              </w:rPr>
              <w:t>响应文件要求签字盖章处无法定代表人</w:t>
            </w:r>
            <w:r>
              <w:rPr>
                <w:rFonts w:hint="eastAsia" w:ascii="宋体" w:hAnsi="宋体" w:cs="宋体"/>
                <w:szCs w:val="21"/>
                <w:highlight w:val="none"/>
              </w:rPr>
              <w:t>（分公司则为营业执照记载的负责人）</w:t>
            </w:r>
            <w:r>
              <w:rPr>
                <w:rFonts w:hint="eastAsia" w:ascii="宋体" w:hAnsi="宋体"/>
                <w:szCs w:val="21"/>
                <w:highlight w:val="none"/>
              </w:rPr>
              <w:t>签字和加盖供应商公章或签字者无供应商法定代表人有效委托书的不合格。</w:t>
            </w:r>
          </w:p>
        </w:tc>
      </w:tr>
      <w:tr>
        <w:tblPrEx>
          <w:tblCellMar>
            <w:top w:w="0" w:type="dxa"/>
            <w:left w:w="30" w:type="dxa"/>
            <w:bottom w:w="0" w:type="dxa"/>
            <w:right w:w="30" w:type="dxa"/>
          </w:tblCellMar>
        </w:tblPrEx>
        <w:trPr>
          <w:trHeight w:val="545" w:hRule="atLeast"/>
        </w:trPr>
        <w:tc>
          <w:tcPr>
            <w:tcW w:w="57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60" w:lineRule="auto"/>
              <w:jc w:val="center"/>
              <w:rPr>
                <w:rFonts w:hint="eastAsia" w:ascii="宋体" w:hAnsi="宋体"/>
                <w:b/>
                <w:szCs w:val="21"/>
                <w:highlight w:val="none"/>
              </w:rPr>
            </w:pPr>
            <w:r>
              <w:rPr>
                <w:rFonts w:hint="eastAsia" w:ascii="宋体" w:hAnsi="宋体"/>
                <w:b/>
                <w:szCs w:val="21"/>
                <w:highlight w:val="none"/>
              </w:rPr>
              <w:t>2</w:t>
            </w:r>
          </w:p>
        </w:tc>
        <w:tc>
          <w:tcPr>
            <w:tcW w:w="2507" w:type="dxa"/>
            <w:tcBorders>
              <w:top w:val="single" w:color="auto" w:sz="6" w:space="0"/>
              <w:left w:val="single" w:color="auto" w:sz="6" w:space="0"/>
              <w:bottom w:val="single" w:color="auto" w:sz="6" w:space="0"/>
              <w:right w:val="single" w:color="auto" w:sz="6" w:space="0"/>
            </w:tcBorders>
            <w:vAlign w:val="center"/>
          </w:tcPr>
          <w:p>
            <w:pPr>
              <w:spacing w:line="360" w:lineRule="auto"/>
              <w:jc w:val="left"/>
              <w:rPr>
                <w:b/>
                <w:highlight w:val="none"/>
              </w:rPr>
            </w:pPr>
            <w:r>
              <w:rPr>
                <w:rFonts w:hint="eastAsia"/>
                <w:b/>
                <w:highlight w:val="none"/>
              </w:rPr>
              <w:t>供应商的有效性</w:t>
            </w:r>
          </w:p>
        </w:tc>
        <w:tc>
          <w:tcPr>
            <w:tcW w:w="595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60" w:lineRule="auto"/>
              <w:jc w:val="left"/>
              <w:rPr>
                <w:rFonts w:hint="eastAsia" w:ascii="宋体" w:hAnsi="宋体"/>
                <w:szCs w:val="21"/>
                <w:highlight w:val="none"/>
              </w:rPr>
            </w:pPr>
            <w:r>
              <w:rPr>
                <w:rFonts w:hint="eastAsia" w:ascii="宋体" w:hAnsi="宋体"/>
                <w:szCs w:val="21"/>
                <w:highlight w:val="none"/>
              </w:rPr>
              <w:t>供应商是否满足谈判文件“供应商资格要求”。</w:t>
            </w:r>
          </w:p>
        </w:tc>
      </w:tr>
      <w:tr>
        <w:tblPrEx>
          <w:tblCellMar>
            <w:top w:w="0" w:type="dxa"/>
            <w:left w:w="30" w:type="dxa"/>
            <w:bottom w:w="0" w:type="dxa"/>
            <w:right w:w="30" w:type="dxa"/>
          </w:tblCellMar>
        </w:tblPrEx>
        <w:trPr>
          <w:trHeight w:val="545" w:hRule="atLeast"/>
        </w:trPr>
        <w:tc>
          <w:tcPr>
            <w:tcW w:w="57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60" w:lineRule="auto"/>
              <w:jc w:val="center"/>
              <w:rPr>
                <w:rFonts w:hint="eastAsia" w:ascii="宋体" w:hAnsi="宋体"/>
                <w:b/>
                <w:szCs w:val="21"/>
                <w:highlight w:val="none"/>
              </w:rPr>
            </w:pPr>
            <w:r>
              <w:rPr>
                <w:rFonts w:hint="eastAsia" w:ascii="宋体" w:hAnsi="宋体"/>
                <w:b/>
                <w:szCs w:val="21"/>
                <w:highlight w:val="none"/>
              </w:rPr>
              <w:t>3</w:t>
            </w:r>
          </w:p>
        </w:tc>
        <w:tc>
          <w:tcPr>
            <w:tcW w:w="2507" w:type="dxa"/>
            <w:tcBorders>
              <w:top w:val="single" w:color="auto" w:sz="6" w:space="0"/>
              <w:left w:val="single" w:color="auto" w:sz="6" w:space="0"/>
              <w:bottom w:val="single" w:color="auto" w:sz="6" w:space="0"/>
              <w:right w:val="single" w:color="auto" w:sz="6" w:space="0"/>
            </w:tcBorders>
            <w:vAlign w:val="center"/>
          </w:tcPr>
          <w:p>
            <w:pPr>
              <w:spacing w:line="360" w:lineRule="auto"/>
              <w:jc w:val="left"/>
              <w:rPr>
                <w:b/>
                <w:highlight w:val="none"/>
              </w:rPr>
            </w:pPr>
            <w:r>
              <w:rPr>
                <w:rFonts w:hint="eastAsia"/>
                <w:b/>
                <w:highlight w:val="none"/>
              </w:rPr>
              <w:t>响应文件的真实性</w:t>
            </w:r>
          </w:p>
        </w:tc>
        <w:tc>
          <w:tcPr>
            <w:tcW w:w="595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60" w:lineRule="auto"/>
              <w:jc w:val="left"/>
              <w:rPr>
                <w:rFonts w:hint="eastAsia" w:ascii="宋体" w:hAnsi="宋体"/>
                <w:szCs w:val="21"/>
                <w:highlight w:val="none"/>
              </w:rPr>
            </w:pPr>
            <w:r>
              <w:rPr>
                <w:rFonts w:hint="eastAsia" w:ascii="宋体" w:hAnsi="宋体"/>
                <w:szCs w:val="21"/>
                <w:highlight w:val="none"/>
              </w:rPr>
              <w:t>响应文件中有虚假资料的不合格。</w:t>
            </w:r>
          </w:p>
        </w:tc>
      </w:tr>
      <w:tr>
        <w:tblPrEx>
          <w:tblCellMar>
            <w:top w:w="0" w:type="dxa"/>
            <w:left w:w="30" w:type="dxa"/>
            <w:bottom w:w="0" w:type="dxa"/>
            <w:right w:w="30" w:type="dxa"/>
          </w:tblCellMar>
        </w:tblPrEx>
        <w:trPr>
          <w:trHeight w:val="545" w:hRule="atLeast"/>
        </w:trPr>
        <w:tc>
          <w:tcPr>
            <w:tcW w:w="57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60" w:lineRule="auto"/>
              <w:jc w:val="center"/>
              <w:rPr>
                <w:rFonts w:hint="eastAsia" w:ascii="宋体" w:hAnsi="宋体"/>
                <w:b/>
                <w:szCs w:val="21"/>
                <w:highlight w:val="none"/>
              </w:rPr>
            </w:pPr>
            <w:r>
              <w:rPr>
                <w:rFonts w:hint="eastAsia" w:ascii="宋体" w:hAnsi="宋体"/>
                <w:b/>
                <w:szCs w:val="21"/>
                <w:highlight w:val="none"/>
              </w:rPr>
              <w:t>4</w:t>
            </w:r>
          </w:p>
        </w:tc>
        <w:tc>
          <w:tcPr>
            <w:tcW w:w="2507" w:type="dxa"/>
            <w:tcBorders>
              <w:top w:val="single" w:color="auto" w:sz="6" w:space="0"/>
              <w:left w:val="single" w:color="auto" w:sz="6" w:space="0"/>
              <w:bottom w:val="single" w:color="auto" w:sz="6" w:space="0"/>
              <w:right w:val="single" w:color="auto" w:sz="6" w:space="0"/>
            </w:tcBorders>
            <w:vAlign w:val="center"/>
          </w:tcPr>
          <w:p>
            <w:pPr>
              <w:spacing w:line="360" w:lineRule="auto"/>
              <w:jc w:val="left"/>
              <w:rPr>
                <w:b/>
                <w:highlight w:val="none"/>
              </w:rPr>
            </w:pPr>
            <w:r>
              <w:rPr>
                <w:rFonts w:hint="eastAsia"/>
                <w:b/>
                <w:highlight w:val="none"/>
              </w:rPr>
              <w:t>低于成本价报价</w:t>
            </w:r>
            <w:r>
              <w:rPr>
                <w:rFonts w:hint="eastAsia"/>
                <w:bCs/>
                <w:color w:val="0000FF"/>
                <w:highlight w:val="none"/>
              </w:rPr>
              <w:t>【可视项目情况选用】</w:t>
            </w:r>
          </w:p>
        </w:tc>
        <w:tc>
          <w:tcPr>
            <w:tcW w:w="595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60" w:lineRule="auto"/>
              <w:jc w:val="left"/>
              <w:rPr>
                <w:rFonts w:hint="eastAsia" w:ascii="宋体" w:hAnsi="宋体"/>
                <w:szCs w:val="21"/>
                <w:highlight w:val="none"/>
              </w:rPr>
            </w:pPr>
            <w:r>
              <w:rPr>
                <w:rFonts w:hint="eastAsia"/>
                <w:highlight w:val="none"/>
              </w:rPr>
              <w:t>供应商的报价明显低于其他报价或者报价可能低于其个别成本的，且供应商不能合理说明或者不能提供相关证明材料的，谈判小组认定该供应商以低于成本报价的不合格。</w:t>
            </w:r>
          </w:p>
        </w:tc>
      </w:tr>
      <w:tr>
        <w:tblPrEx>
          <w:tblCellMar>
            <w:top w:w="0" w:type="dxa"/>
            <w:left w:w="30" w:type="dxa"/>
            <w:bottom w:w="0" w:type="dxa"/>
            <w:right w:w="30" w:type="dxa"/>
          </w:tblCellMar>
        </w:tblPrEx>
        <w:trPr>
          <w:trHeight w:val="545" w:hRule="atLeast"/>
        </w:trPr>
        <w:tc>
          <w:tcPr>
            <w:tcW w:w="57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60" w:lineRule="auto"/>
              <w:jc w:val="center"/>
              <w:rPr>
                <w:rFonts w:hint="eastAsia" w:ascii="宋体" w:hAnsi="宋体"/>
                <w:b/>
                <w:szCs w:val="21"/>
                <w:highlight w:val="none"/>
              </w:rPr>
            </w:pPr>
            <w:r>
              <w:rPr>
                <w:rFonts w:hint="eastAsia" w:ascii="宋体" w:hAnsi="宋体"/>
                <w:b/>
                <w:szCs w:val="21"/>
                <w:highlight w:val="none"/>
              </w:rPr>
              <w:t>5</w:t>
            </w:r>
          </w:p>
        </w:tc>
        <w:tc>
          <w:tcPr>
            <w:tcW w:w="2507" w:type="dxa"/>
            <w:tcBorders>
              <w:top w:val="single" w:color="auto" w:sz="6" w:space="0"/>
              <w:left w:val="single" w:color="auto" w:sz="6" w:space="0"/>
              <w:bottom w:val="single" w:color="auto" w:sz="6" w:space="0"/>
              <w:right w:val="single" w:color="auto" w:sz="6" w:space="0"/>
            </w:tcBorders>
            <w:vAlign w:val="center"/>
          </w:tcPr>
          <w:p>
            <w:pPr>
              <w:spacing w:line="360" w:lineRule="auto"/>
              <w:jc w:val="left"/>
              <w:rPr>
                <w:b/>
                <w:highlight w:val="none"/>
              </w:rPr>
            </w:pPr>
            <w:r>
              <w:rPr>
                <w:rFonts w:hint="eastAsia" w:ascii="宋体" w:hAnsi="宋体" w:cs="宋体"/>
                <w:b/>
                <w:highlight w:val="none"/>
              </w:rPr>
              <w:t>系统预警</w:t>
            </w:r>
          </w:p>
        </w:tc>
        <w:tc>
          <w:tcPr>
            <w:tcW w:w="595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60" w:lineRule="auto"/>
              <w:jc w:val="left"/>
              <w:rPr>
                <w:rFonts w:hint="eastAsia" w:ascii="宋体" w:hAnsi="宋体"/>
                <w:szCs w:val="21"/>
                <w:highlight w:val="none"/>
              </w:rPr>
            </w:pPr>
            <w:r>
              <w:rPr>
                <w:rFonts w:hint="eastAsia" w:ascii="宋体" w:hAnsi="宋体" w:cs="宋体"/>
                <w:color w:val="000000"/>
                <w:szCs w:val="21"/>
                <w:highlight w:val="none"/>
              </w:rPr>
              <w:t>递交文件的供应商之间在本项目过程中登陆平台，下载、递交、解密响应文件等任何一个环节存在IP地址异常一致且</w:t>
            </w:r>
            <w:r>
              <w:rPr>
                <w:rFonts w:hint="eastAsia"/>
                <w:highlight w:val="none"/>
              </w:rPr>
              <w:t>南航采购平台</w:t>
            </w:r>
            <w:r>
              <w:rPr>
                <w:rFonts w:hint="eastAsia" w:ascii="宋体" w:hAnsi="宋体" w:cs="宋体"/>
                <w:color w:val="000000"/>
                <w:szCs w:val="21"/>
                <w:highlight w:val="none"/>
              </w:rPr>
              <w:t>电子系统已经做出预警的，或者支付平台服务费、提交各类保证金等付款行为的银行账户一致的不合格。</w:t>
            </w:r>
          </w:p>
        </w:tc>
      </w:tr>
      <w:tr>
        <w:tblPrEx>
          <w:tblCellMar>
            <w:top w:w="0" w:type="dxa"/>
            <w:left w:w="30" w:type="dxa"/>
            <w:bottom w:w="0" w:type="dxa"/>
            <w:right w:w="30" w:type="dxa"/>
          </w:tblCellMar>
        </w:tblPrEx>
        <w:trPr>
          <w:trHeight w:val="545" w:hRule="atLeast"/>
        </w:trPr>
        <w:tc>
          <w:tcPr>
            <w:tcW w:w="57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60" w:lineRule="auto"/>
              <w:jc w:val="center"/>
              <w:rPr>
                <w:rFonts w:hint="eastAsia" w:ascii="宋体" w:hAnsi="宋体"/>
                <w:b/>
                <w:szCs w:val="21"/>
                <w:highlight w:val="none"/>
              </w:rPr>
            </w:pPr>
            <w:r>
              <w:rPr>
                <w:rFonts w:hint="eastAsia" w:ascii="宋体" w:hAnsi="宋体"/>
                <w:b/>
                <w:szCs w:val="21"/>
                <w:highlight w:val="none"/>
              </w:rPr>
              <w:t>6</w:t>
            </w:r>
          </w:p>
        </w:tc>
        <w:tc>
          <w:tcPr>
            <w:tcW w:w="2507" w:type="dxa"/>
            <w:tcBorders>
              <w:top w:val="single" w:color="auto" w:sz="6" w:space="0"/>
              <w:left w:val="single" w:color="auto" w:sz="6" w:space="0"/>
              <w:bottom w:val="single" w:color="auto" w:sz="6" w:space="0"/>
              <w:right w:val="single" w:color="auto" w:sz="6" w:space="0"/>
            </w:tcBorders>
            <w:vAlign w:val="center"/>
          </w:tcPr>
          <w:p>
            <w:pPr>
              <w:spacing w:line="360" w:lineRule="auto"/>
              <w:jc w:val="left"/>
              <w:rPr>
                <w:b/>
                <w:szCs w:val="21"/>
                <w:highlight w:val="none"/>
              </w:rPr>
            </w:pPr>
            <w:r>
              <w:rPr>
                <w:rFonts w:hint="eastAsia" w:ascii="宋体" w:hAnsi="宋体" w:cs="宋体"/>
                <w:b/>
                <w:highlight w:val="none"/>
              </w:rPr>
              <w:t>其他导致报价无效的条款</w:t>
            </w:r>
          </w:p>
        </w:tc>
        <w:tc>
          <w:tcPr>
            <w:tcW w:w="595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60" w:lineRule="auto"/>
              <w:jc w:val="left"/>
              <w:rPr>
                <w:rFonts w:hint="eastAsia" w:ascii="宋体" w:hAnsi="宋体"/>
                <w:b/>
                <w:szCs w:val="21"/>
                <w:highlight w:val="none"/>
              </w:rPr>
            </w:pPr>
            <w:r>
              <w:rPr>
                <w:rFonts w:hint="eastAsia" w:ascii="宋体" w:hAnsi="宋体" w:cs="宋体"/>
                <w:szCs w:val="21"/>
                <w:highlight w:val="none"/>
              </w:rPr>
              <w:t>谈判文件中列明的其他导致报价无效的条款</w:t>
            </w:r>
            <w:r>
              <w:rPr>
                <w:rFonts w:hint="eastAsia" w:ascii="宋体" w:hAnsi="宋体" w:cs="宋体"/>
                <w:b/>
                <w:bCs/>
                <w:szCs w:val="21"/>
                <w:highlight w:val="none"/>
              </w:rPr>
              <w:t>（例如：</w:t>
            </w:r>
            <w:r>
              <w:rPr>
                <w:rFonts w:hint="eastAsia" w:ascii="宋体" w:hAnsi="宋体" w:cs="宋体"/>
                <w:b/>
                <w:bCs/>
                <w:highlight w:val="none"/>
              </w:rPr>
              <w:t>标注“★”、“☆”符号的条款等</w:t>
            </w:r>
            <w:r>
              <w:rPr>
                <w:rFonts w:hint="eastAsia" w:ascii="宋体" w:hAnsi="宋体" w:cs="宋体"/>
                <w:b/>
                <w:bCs/>
                <w:szCs w:val="21"/>
                <w:highlight w:val="none"/>
              </w:rPr>
              <w:t>）</w:t>
            </w:r>
            <w:r>
              <w:rPr>
                <w:rFonts w:hint="eastAsia" w:ascii="宋体" w:hAnsi="宋体" w:cs="宋体"/>
                <w:szCs w:val="21"/>
                <w:highlight w:val="none"/>
              </w:rPr>
              <w:t>及法律法规列明的其他导致报价无效条款。</w:t>
            </w:r>
          </w:p>
        </w:tc>
      </w:tr>
      <w:tr>
        <w:tblPrEx>
          <w:tblCellMar>
            <w:top w:w="0" w:type="dxa"/>
            <w:left w:w="30" w:type="dxa"/>
            <w:bottom w:w="0" w:type="dxa"/>
            <w:right w:w="30" w:type="dxa"/>
          </w:tblCellMar>
        </w:tblPrEx>
        <w:trPr>
          <w:trHeight w:val="545" w:hRule="atLeast"/>
        </w:trPr>
        <w:tc>
          <w:tcPr>
            <w:tcW w:w="57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60" w:lineRule="auto"/>
              <w:jc w:val="center"/>
              <w:rPr>
                <w:rFonts w:hint="eastAsia" w:ascii="宋体" w:hAnsi="宋体"/>
                <w:b/>
                <w:szCs w:val="21"/>
                <w:highlight w:val="none"/>
              </w:rPr>
            </w:pPr>
            <w:r>
              <w:rPr>
                <w:rFonts w:hint="eastAsia" w:ascii="宋体" w:hAnsi="宋体"/>
                <w:b/>
                <w:szCs w:val="21"/>
                <w:highlight w:val="none"/>
              </w:rPr>
              <w:t>7</w:t>
            </w:r>
          </w:p>
        </w:tc>
        <w:tc>
          <w:tcPr>
            <w:tcW w:w="2507" w:type="dxa"/>
            <w:tcBorders>
              <w:top w:val="single" w:color="auto" w:sz="6" w:space="0"/>
              <w:left w:val="single" w:color="auto" w:sz="6" w:space="0"/>
              <w:bottom w:val="single" w:color="auto" w:sz="6" w:space="0"/>
              <w:right w:val="single" w:color="auto" w:sz="6" w:space="0"/>
            </w:tcBorders>
            <w:vAlign w:val="center"/>
          </w:tcPr>
          <w:p>
            <w:pPr>
              <w:pStyle w:val="18"/>
              <w:spacing w:line="360" w:lineRule="auto"/>
              <w:jc w:val="left"/>
              <w:rPr>
                <w:b/>
                <w:szCs w:val="21"/>
                <w:highlight w:val="none"/>
              </w:rPr>
            </w:pPr>
            <w:r>
              <w:rPr>
                <w:rFonts w:hint="eastAsia"/>
                <w:b/>
                <w:szCs w:val="21"/>
                <w:highlight w:val="none"/>
              </w:rPr>
              <w:t>符合性审查结论</w:t>
            </w:r>
          </w:p>
        </w:tc>
        <w:tc>
          <w:tcPr>
            <w:tcW w:w="595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60" w:lineRule="auto"/>
              <w:jc w:val="left"/>
              <w:rPr>
                <w:rFonts w:hint="eastAsia" w:ascii="宋体" w:hAnsi="宋体"/>
                <w:b/>
                <w:szCs w:val="21"/>
                <w:highlight w:val="none"/>
              </w:rPr>
            </w:pPr>
            <w:r>
              <w:rPr>
                <w:rFonts w:hint="eastAsia" w:ascii="宋体" w:hAnsi="宋体"/>
                <w:b/>
                <w:szCs w:val="21"/>
                <w:highlight w:val="none"/>
              </w:rPr>
              <w:t xml:space="preserve">【】 </w:t>
            </w:r>
            <w:r>
              <w:rPr>
                <w:rFonts w:hint="eastAsia" w:ascii="宋体" w:hAnsi="宋体" w:cs="宋体"/>
                <w:color w:val="0000FF"/>
                <w:szCs w:val="21"/>
                <w:highlight w:val="none"/>
              </w:rPr>
              <w:t>（由评委会以记名方式过半数的表决结果决定，在此栏填写“通过”或“不通过”。符合性审查有一项不合格即视为符合性审查不通过。）</w:t>
            </w:r>
          </w:p>
        </w:tc>
      </w:tr>
    </w:tbl>
    <w:p>
      <w:pPr>
        <w:spacing w:line="360" w:lineRule="auto"/>
        <w:ind w:firstLine="420" w:firstLineChars="200"/>
        <w:rPr>
          <w:rFonts w:hint="eastAsia" w:ascii="宋体" w:hAnsi="宋体"/>
          <w:szCs w:val="21"/>
          <w:highlight w:val="none"/>
        </w:rPr>
      </w:pPr>
      <w:r>
        <w:rPr>
          <w:rFonts w:hint="eastAsia" w:ascii="宋体" w:hAnsi="宋体"/>
          <w:szCs w:val="21"/>
          <w:highlight w:val="none"/>
        </w:rPr>
        <w:t>说明：发布第一次谈判公告后，如获取谈判文件供应商数量不足两家或获取谈判文件供应商数量有两家或以上，但评审前或评审时通过符合性审查的供应商数量少于两家，当次采购失败，将重新采购。重新采购，实施小组按照采购计划和谈判文件要求与通过符合性审查的供应商进行谈判。</w:t>
      </w:r>
    </w:p>
    <w:p>
      <w:pPr>
        <w:spacing w:line="360" w:lineRule="auto"/>
        <w:ind w:firstLine="420" w:firstLineChars="200"/>
        <w:rPr>
          <w:rFonts w:hint="eastAsia" w:ascii="宋体" w:hAnsi="宋体"/>
          <w:szCs w:val="21"/>
          <w:highlight w:val="none"/>
        </w:rPr>
      </w:pPr>
    </w:p>
    <w:p>
      <w:pPr>
        <w:spacing w:before="156" w:beforeLines="50" w:after="156" w:afterLines="50" w:line="360" w:lineRule="auto"/>
        <w:ind w:firstLine="120" w:firstLineChars="50"/>
        <w:jc w:val="center"/>
        <w:rPr>
          <w:rFonts w:hint="eastAsia" w:ascii="宋体" w:hAnsi="宋体"/>
          <w:b/>
          <w:sz w:val="24"/>
          <w:highlight w:val="none"/>
        </w:rPr>
      </w:pPr>
      <w:r>
        <w:rPr>
          <w:rFonts w:hint="eastAsia" w:ascii="宋体" w:hAnsi="宋体"/>
          <w:b/>
          <w:sz w:val="24"/>
          <w:highlight w:val="none"/>
        </w:rPr>
        <w:t>表2  商务评审表</w:t>
      </w:r>
      <w:permStart w:id="25" w:edGrp="everyone"/>
      <w:r>
        <w:rPr>
          <w:rFonts w:hint="eastAsia" w:ascii="宋体" w:hAnsi="宋体" w:cs="宋体"/>
          <w:b/>
          <w:bCs/>
          <w:szCs w:val="21"/>
          <w:highlight w:val="none"/>
        </w:rPr>
        <w:t>【</w:t>
      </w:r>
      <w:r>
        <w:rPr>
          <w:rFonts w:hint="eastAsia" w:ascii="宋体" w:hAnsi="宋体" w:cs="宋体"/>
          <w:b/>
          <w:szCs w:val="21"/>
          <w:highlight w:val="none"/>
        </w:rPr>
        <w:t>10分</w:t>
      </w:r>
      <w:r>
        <w:rPr>
          <w:rFonts w:hint="eastAsia" w:ascii="宋体" w:hAnsi="宋体" w:cs="宋体"/>
          <w:highlight w:val="none"/>
        </w:rPr>
        <w:t>】</w:t>
      </w:r>
      <w:r>
        <w:rPr>
          <w:rFonts w:hint="eastAsia" w:ascii="宋体" w:hAnsi="宋体" w:cs="宋体"/>
          <w:color w:val="0000FF"/>
          <w:highlight w:val="none"/>
          <w:lang w:eastAsia="zh"/>
        </w:rPr>
        <w:t>【</w:t>
      </w:r>
      <w:r>
        <w:rPr>
          <w:rFonts w:hint="eastAsia" w:ascii="宋体" w:hAnsi="宋体" w:cs="宋体"/>
          <w:color w:val="0000FF"/>
          <w:szCs w:val="21"/>
          <w:highlight w:val="none"/>
          <w:lang w:eastAsia="zh"/>
        </w:rPr>
        <w:t>可根据实际情况组合分数，删除不需要的评审项目】</w:t>
      </w:r>
      <w:permEnd w:id="25"/>
    </w:p>
    <w:tbl>
      <w:tblPr>
        <w:tblStyle w:val="25"/>
        <w:tblW w:w="1002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62"/>
        <w:gridCol w:w="1976"/>
        <w:gridCol w:w="5125"/>
        <w:gridCol w:w="1133"/>
        <w:gridCol w:w="113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94" w:hRule="atLeast"/>
          <w:jc w:val="center"/>
        </w:trPr>
        <w:tc>
          <w:tcPr>
            <w:tcW w:w="6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highlight w:val="none"/>
              </w:rPr>
            </w:pPr>
            <w:permStart w:id="26" w:edGrp="everyone"/>
            <w:r>
              <w:rPr>
                <w:rFonts w:hint="eastAsia" w:ascii="宋体" w:hAnsi="宋体" w:cs="宋体"/>
                <w:b/>
                <w:szCs w:val="21"/>
                <w:highlight w:val="none"/>
              </w:rPr>
              <w:t>序号</w:t>
            </w:r>
          </w:p>
        </w:tc>
        <w:tc>
          <w:tcPr>
            <w:tcW w:w="197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highlight w:val="none"/>
              </w:rPr>
            </w:pPr>
            <w:r>
              <w:rPr>
                <w:rFonts w:hint="eastAsia" w:ascii="宋体" w:hAnsi="宋体" w:cs="宋体"/>
                <w:b/>
                <w:szCs w:val="21"/>
                <w:highlight w:val="none"/>
              </w:rPr>
              <w:t>评审项目</w:t>
            </w:r>
          </w:p>
        </w:tc>
        <w:tc>
          <w:tcPr>
            <w:tcW w:w="512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highlight w:val="none"/>
              </w:rPr>
            </w:pPr>
            <w:r>
              <w:rPr>
                <w:rFonts w:hint="eastAsia" w:ascii="宋体" w:hAnsi="宋体" w:cs="宋体"/>
                <w:b/>
                <w:szCs w:val="21"/>
                <w:highlight w:val="none"/>
              </w:rPr>
              <w:t>评审内容</w:t>
            </w:r>
          </w:p>
        </w:tc>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highlight w:val="none"/>
              </w:rPr>
            </w:pPr>
            <w:r>
              <w:rPr>
                <w:rFonts w:hint="eastAsia" w:ascii="宋体" w:hAnsi="宋体" w:cs="宋体"/>
                <w:b/>
                <w:szCs w:val="21"/>
                <w:highlight w:val="none"/>
              </w:rPr>
              <w:t>对应最高</w:t>
            </w:r>
          </w:p>
          <w:p>
            <w:pPr>
              <w:jc w:val="center"/>
              <w:rPr>
                <w:rFonts w:hint="eastAsia" w:ascii="宋体" w:hAnsi="宋体" w:cs="宋体"/>
                <w:b/>
                <w:szCs w:val="21"/>
                <w:highlight w:val="none"/>
              </w:rPr>
            </w:pPr>
            <w:r>
              <w:rPr>
                <w:rFonts w:hint="eastAsia" w:ascii="宋体" w:hAnsi="宋体" w:cs="宋体"/>
                <w:b/>
                <w:szCs w:val="21"/>
                <w:highlight w:val="none"/>
              </w:rPr>
              <w:t>分值</w:t>
            </w:r>
          </w:p>
        </w:tc>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highlight w:val="none"/>
              </w:rPr>
            </w:pPr>
            <w:r>
              <w:rPr>
                <w:rFonts w:hint="eastAsia" w:ascii="宋体" w:hAnsi="宋体" w:cs="宋体"/>
                <w:b/>
                <w:szCs w:val="21"/>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64" w:hRule="atLeast"/>
          <w:jc w:val="center"/>
        </w:trPr>
        <w:tc>
          <w:tcPr>
            <w:tcW w:w="66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b/>
                <w:szCs w:val="21"/>
                <w:highlight w:val="none"/>
              </w:rPr>
            </w:pPr>
            <w:r>
              <w:rPr>
                <w:rFonts w:hint="eastAsia" w:ascii="宋体" w:hAnsi="宋体" w:cs="宋体"/>
                <w:b/>
                <w:szCs w:val="21"/>
                <w:highlight w:val="none"/>
              </w:rPr>
              <w:t>1</w:t>
            </w:r>
          </w:p>
        </w:tc>
        <w:tc>
          <w:tcPr>
            <w:tcW w:w="197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szCs w:val="21"/>
                <w:highlight w:val="none"/>
              </w:rPr>
            </w:pPr>
            <w:r>
              <w:rPr>
                <w:rFonts w:hint="eastAsia" w:ascii="宋体" w:hAnsi="宋体" w:cs="宋体"/>
                <w:szCs w:val="21"/>
                <w:highlight w:val="none"/>
              </w:rPr>
              <w:t>酒店星级/钻级</w:t>
            </w:r>
          </w:p>
          <w:p>
            <w:pPr>
              <w:jc w:val="center"/>
              <w:rPr>
                <w:rFonts w:hint="eastAsia" w:ascii="宋体" w:hAnsi="宋体" w:eastAsia="宋体" w:cs="宋体"/>
                <w:b/>
                <w:bCs/>
                <w:szCs w:val="21"/>
                <w:highlight w:val="none"/>
                <w:lang w:eastAsia="zh-CN"/>
              </w:rPr>
            </w:pPr>
            <w:r>
              <w:rPr>
                <w:rFonts w:hint="eastAsia" w:ascii="宋体" w:hAnsi="宋体" w:cs="宋体"/>
                <w:szCs w:val="21"/>
                <w:highlight w:val="none"/>
              </w:rPr>
              <w:t>及携程评分</w:t>
            </w:r>
          </w:p>
        </w:tc>
        <w:tc>
          <w:tcPr>
            <w:tcW w:w="512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rPr>
                <w:rFonts w:hint="eastAsia" w:ascii="宋体" w:hAnsi="宋体" w:cs="宋体"/>
                <w:szCs w:val="21"/>
                <w:highlight w:val="none"/>
              </w:rPr>
            </w:pPr>
            <w:r>
              <w:rPr>
                <w:rFonts w:hint="eastAsia" w:ascii="宋体" w:hAnsi="宋体" w:cs="宋体"/>
                <w:szCs w:val="21"/>
                <w:highlight w:val="none"/>
                <w:lang w:bidi="ar"/>
              </w:rPr>
              <w:t>根据酒店的评星或评钻的级别进行评分</w:t>
            </w:r>
            <w:r>
              <w:rPr>
                <w:rFonts w:hint="eastAsia" w:ascii="宋体" w:hAnsi="宋体" w:cs="宋体"/>
                <w:szCs w:val="21"/>
                <w:highlight w:val="none"/>
              </w:rPr>
              <w:t>：</w:t>
            </w:r>
          </w:p>
          <w:p>
            <w:pPr>
              <w:jc w:val="left"/>
              <w:rPr>
                <w:rFonts w:hint="eastAsia" w:ascii="宋体" w:hAnsi="宋体" w:cs="宋体"/>
                <w:szCs w:val="21"/>
                <w:highlight w:val="none"/>
              </w:rPr>
            </w:pPr>
            <w:r>
              <w:rPr>
                <w:rFonts w:hint="eastAsia" w:ascii="宋体" w:hAnsi="宋体" w:cs="宋体"/>
                <w:szCs w:val="21"/>
                <w:highlight w:val="none"/>
              </w:rPr>
              <w:t>1.酒店星级/钻级：</w:t>
            </w:r>
          </w:p>
          <w:p>
            <w:pPr>
              <w:jc w:val="left"/>
              <w:rPr>
                <w:rFonts w:hint="eastAsia" w:ascii="宋体" w:hAnsi="宋体" w:cs="宋体"/>
                <w:szCs w:val="21"/>
                <w:highlight w:val="none"/>
              </w:rPr>
            </w:pPr>
            <w:r>
              <w:rPr>
                <w:rFonts w:hint="eastAsia" w:ascii="宋体" w:hAnsi="宋体" w:cs="宋体"/>
                <w:szCs w:val="21"/>
                <w:highlight w:val="none"/>
              </w:rPr>
              <w:t>1）挂星供应商：挂牌【】级得【】分；</w:t>
            </w:r>
          </w:p>
          <w:p>
            <w:pPr>
              <w:ind w:firstLine="1470" w:firstLineChars="700"/>
              <w:jc w:val="left"/>
              <w:rPr>
                <w:rFonts w:hint="eastAsia" w:ascii="宋体" w:hAnsi="宋体" w:cs="宋体"/>
                <w:szCs w:val="21"/>
                <w:highlight w:val="none"/>
              </w:rPr>
            </w:pPr>
            <w:r>
              <w:rPr>
                <w:rFonts w:hint="eastAsia" w:ascii="宋体" w:hAnsi="宋体" w:cs="宋体"/>
                <w:szCs w:val="21"/>
                <w:highlight w:val="none"/>
              </w:rPr>
              <w:t>挂牌【】级得【】分；</w:t>
            </w:r>
          </w:p>
          <w:p>
            <w:pPr>
              <w:ind w:firstLine="1470" w:firstLineChars="700"/>
              <w:jc w:val="left"/>
              <w:rPr>
                <w:rFonts w:hint="eastAsia" w:ascii="宋体" w:hAnsi="宋体" w:cs="宋体"/>
                <w:szCs w:val="21"/>
                <w:highlight w:val="none"/>
              </w:rPr>
            </w:pPr>
            <w:r>
              <w:rPr>
                <w:rFonts w:hint="eastAsia" w:ascii="宋体" w:hAnsi="宋体" w:cs="宋体"/>
                <w:szCs w:val="21"/>
                <w:highlight w:val="none"/>
              </w:rPr>
              <w:t>挂牌【】级得【】分；</w:t>
            </w:r>
          </w:p>
          <w:p>
            <w:pPr>
              <w:ind w:left="1680" w:hanging="1680" w:hangingChars="800"/>
              <w:jc w:val="left"/>
              <w:rPr>
                <w:rFonts w:hint="eastAsia" w:ascii="宋体" w:hAnsi="宋体" w:cs="宋体"/>
                <w:szCs w:val="21"/>
                <w:highlight w:val="none"/>
                <w:lang w:eastAsia="zh"/>
              </w:rPr>
            </w:pPr>
            <w:r>
              <w:rPr>
                <w:rFonts w:hint="eastAsia" w:ascii="宋体" w:hAnsi="宋体" w:cs="宋体"/>
                <w:szCs w:val="21"/>
                <w:highlight w:val="none"/>
              </w:rPr>
              <w:t xml:space="preserve">2）非挂星供应商：携程评钻【】钻的得【】分；        </w:t>
            </w:r>
            <w:r>
              <w:rPr>
                <w:rFonts w:hint="eastAsia" w:ascii="宋体" w:hAnsi="宋体" w:cs="宋体"/>
                <w:szCs w:val="21"/>
                <w:highlight w:val="none"/>
                <w:lang w:eastAsia="zh"/>
              </w:rPr>
              <w:t xml:space="preserve">  </w:t>
            </w:r>
          </w:p>
          <w:p>
            <w:pPr>
              <w:ind w:left="1606" w:leftChars="765" w:firstLine="210" w:firstLineChars="100"/>
              <w:jc w:val="left"/>
              <w:rPr>
                <w:rFonts w:hint="eastAsia" w:ascii="宋体" w:hAnsi="宋体" w:cs="宋体"/>
                <w:szCs w:val="21"/>
                <w:highlight w:val="none"/>
              </w:rPr>
            </w:pPr>
            <w:r>
              <w:rPr>
                <w:rFonts w:hint="eastAsia" w:ascii="宋体" w:hAnsi="宋体" w:cs="宋体"/>
                <w:szCs w:val="21"/>
                <w:highlight w:val="none"/>
              </w:rPr>
              <w:t>携程评钻【】钻的得【】分；</w:t>
            </w:r>
          </w:p>
          <w:p>
            <w:pPr>
              <w:ind w:left="1606" w:leftChars="765" w:firstLine="210" w:firstLineChars="100"/>
              <w:jc w:val="left"/>
              <w:rPr>
                <w:rFonts w:hint="eastAsia" w:ascii="宋体" w:hAnsi="宋体" w:cs="宋体"/>
                <w:szCs w:val="21"/>
                <w:highlight w:val="none"/>
              </w:rPr>
            </w:pPr>
            <w:r>
              <w:rPr>
                <w:rFonts w:hint="eastAsia" w:ascii="宋体" w:hAnsi="宋体" w:cs="宋体"/>
                <w:szCs w:val="21"/>
                <w:highlight w:val="none"/>
              </w:rPr>
              <w:t xml:space="preserve">携程评钻【】钻的得【】分。 </w:t>
            </w:r>
          </w:p>
          <w:p>
            <w:pPr>
              <w:jc w:val="left"/>
              <w:rPr>
                <w:rFonts w:hint="eastAsia" w:ascii="宋体" w:hAnsi="宋体" w:cs="宋体"/>
                <w:szCs w:val="21"/>
                <w:highlight w:val="none"/>
              </w:rPr>
            </w:pPr>
            <w:r>
              <w:rPr>
                <w:rFonts w:hint="eastAsia" w:ascii="宋体" w:hAnsi="宋体" w:cs="宋体"/>
                <w:szCs w:val="21"/>
                <w:highlight w:val="none"/>
              </w:rPr>
              <w:t>2.携程评分：【4.8】分及以上得【】分；</w:t>
            </w:r>
          </w:p>
          <w:p>
            <w:pPr>
              <w:ind w:firstLine="1260" w:firstLineChars="600"/>
              <w:jc w:val="left"/>
              <w:rPr>
                <w:rFonts w:hint="eastAsia" w:ascii="宋体" w:hAnsi="宋体" w:cs="宋体"/>
                <w:szCs w:val="21"/>
                <w:highlight w:val="none"/>
              </w:rPr>
            </w:pPr>
            <w:r>
              <w:rPr>
                <w:rFonts w:hint="eastAsia" w:ascii="宋体" w:hAnsi="宋体" w:cs="宋体"/>
                <w:szCs w:val="21"/>
                <w:highlight w:val="none"/>
              </w:rPr>
              <w:t>【4.4-4.7】分得【】分；</w:t>
            </w:r>
          </w:p>
          <w:p>
            <w:pPr>
              <w:ind w:firstLine="1260" w:firstLineChars="600"/>
              <w:jc w:val="left"/>
              <w:rPr>
                <w:rFonts w:hint="eastAsia" w:ascii="宋体" w:hAnsi="宋体" w:cs="宋体"/>
                <w:szCs w:val="21"/>
                <w:highlight w:val="none"/>
              </w:rPr>
            </w:pPr>
            <w:r>
              <w:rPr>
                <w:rFonts w:hint="eastAsia" w:ascii="宋体" w:hAnsi="宋体" w:cs="宋体"/>
                <w:szCs w:val="21"/>
                <w:highlight w:val="none"/>
              </w:rPr>
              <w:t>【4.0-4.3】分得【】分；</w:t>
            </w:r>
          </w:p>
          <w:p>
            <w:pPr>
              <w:ind w:firstLine="1260" w:firstLineChars="600"/>
              <w:jc w:val="left"/>
              <w:rPr>
                <w:rFonts w:hint="eastAsia" w:ascii="宋体" w:hAnsi="宋体" w:cs="宋体"/>
                <w:szCs w:val="21"/>
                <w:highlight w:val="none"/>
              </w:rPr>
            </w:pPr>
            <w:r>
              <w:rPr>
                <w:rFonts w:hint="eastAsia" w:ascii="宋体" w:hAnsi="宋体" w:cs="宋体"/>
                <w:szCs w:val="21"/>
                <w:highlight w:val="none"/>
              </w:rPr>
              <w:t>【4】分（不含）以下不得分。</w:t>
            </w:r>
          </w:p>
          <w:p>
            <w:pPr>
              <w:jc w:val="left"/>
              <w:rPr>
                <w:rFonts w:hint="eastAsia" w:ascii="宋体" w:hAnsi="宋体" w:cs="宋体"/>
                <w:bCs/>
                <w:szCs w:val="21"/>
                <w:highlight w:val="none"/>
              </w:rPr>
            </w:pPr>
            <w:r>
              <w:rPr>
                <w:rFonts w:hint="eastAsia" w:ascii="宋体" w:hAnsi="宋体" w:cs="宋体"/>
                <w:szCs w:val="21"/>
                <w:highlight w:val="none"/>
              </w:rPr>
              <w:t>【注意：须提供酒店星级评定证书扫描件或携程评钻查询截图，以及提供携程评分查询截图，未提供或不符合要求的不得分】</w:t>
            </w:r>
          </w:p>
        </w:tc>
        <w:tc>
          <w:tcPr>
            <w:tcW w:w="1133" w:type="dxa"/>
            <w:tcBorders>
              <w:top w:val="single" w:color="auto" w:sz="4" w:space="0"/>
              <w:left w:val="single" w:color="auto" w:sz="4" w:space="0"/>
              <w:right w:val="single" w:color="auto" w:sz="4" w:space="0"/>
            </w:tcBorders>
            <w:tcMar>
              <w:top w:w="0" w:type="dxa"/>
              <w:left w:w="28" w:type="dxa"/>
              <w:bottom w:w="0" w:type="dxa"/>
              <w:right w:w="28" w:type="dxa"/>
            </w:tcMar>
            <w:vAlign w:val="center"/>
          </w:tcPr>
          <w:p>
            <w:pPr>
              <w:widowControl/>
              <w:jc w:val="center"/>
              <w:rPr>
                <w:rFonts w:hint="eastAsia" w:ascii="宋体" w:hAnsi="宋体" w:cs="宋体"/>
                <w:bCs/>
                <w:szCs w:val="21"/>
                <w:highlight w:val="none"/>
              </w:rPr>
            </w:pPr>
            <w:r>
              <w:rPr>
                <w:rFonts w:hint="eastAsia" w:ascii="宋体" w:hAnsi="宋体" w:cs="宋体"/>
                <w:szCs w:val="21"/>
                <w:highlight w:val="none"/>
              </w:rPr>
              <w:t>【</w:t>
            </w:r>
            <w:r>
              <w:rPr>
                <w:rFonts w:hint="eastAsia" w:ascii="宋体" w:hAnsi="宋体" w:cs="宋体"/>
                <w:highlight w:val="none"/>
              </w:rPr>
              <w:t>】</w:t>
            </w:r>
          </w:p>
        </w:tc>
        <w:tc>
          <w:tcPr>
            <w:tcW w:w="1133" w:type="dxa"/>
            <w:tcBorders>
              <w:top w:val="single" w:color="auto" w:sz="4" w:space="0"/>
              <w:left w:val="single" w:color="auto" w:sz="4" w:space="0"/>
              <w:right w:val="single" w:color="auto" w:sz="4" w:space="0"/>
            </w:tcBorders>
            <w:tcMar>
              <w:top w:w="0" w:type="dxa"/>
              <w:left w:w="28" w:type="dxa"/>
              <w:bottom w:w="0" w:type="dxa"/>
              <w:right w:w="28" w:type="dxa"/>
            </w:tcMar>
            <w:vAlign w:val="center"/>
          </w:tcPr>
          <w:p>
            <w:pPr>
              <w:widowControl/>
              <w:jc w:val="center"/>
              <w:rPr>
                <w:rFonts w:hint="eastAsia" w:ascii="宋体" w:hAnsi="宋体" w:cs="宋体"/>
                <w:szCs w:val="21"/>
                <w:highlight w:val="none"/>
              </w:rPr>
            </w:pPr>
            <w:r>
              <w:rPr>
                <w:rFonts w:hint="eastAsia" w:ascii="宋体" w:hAnsi="宋体" w:cs="宋体"/>
                <w:szCs w:val="21"/>
                <w:highlight w:val="none"/>
              </w:rPr>
              <w:t>客观项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76" w:hRule="atLeast"/>
          <w:jc w:val="center"/>
        </w:trPr>
        <w:tc>
          <w:tcPr>
            <w:tcW w:w="66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b/>
                <w:szCs w:val="21"/>
                <w:highlight w:val="none"/>
              </w:rPr>
            </w:pPr>
            <w:r>
              <w:rPr>
                <w:rFonts w:hint="eastAsia" w:ascii="宋体" w:hAnsi="宋体" w:cs="宋体"/>
                <w:b/>
                <w:szCs w:val="21"/>
                <w:highlight w:val="none"/>
              </w:rPr>
              <w:t>2</w:t>
            </w:r>
          </w:p>
        </w:tc>
        <w:tc>
          <w:tcPr>
            <w:tcW w:w="197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b/>
                <w:bCs/>
                <w:szCs w:val="21"/>
                <w:highlight w:val="none"/>
              </w:rPr>
            </w:pPr>
            <w:r>
              <w:rPr>
                <w:rFonts w:hint="eastAsia" w:ascii="宋体" w:hAnsi="宋体" w:cs="宋体"/>
                <w:szCs w:val="21"/>
                <w:highlight w:val="none"/>
              </w:rPr>
              <w:t>餐饮资质</w:t>
            </w:r>
          </w:p>
        </w:tc>
        <w:tc>
          <w:tcPr>
            <w:tcW w:w="512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left"/>
              <w:rPr>
                <w:rFonts w:hint="eastAsia" w:ascii="宋体" w:hAnsi="宋体" w:cs="宋体"/>
                <w:szCs w:val="21"/>
                <w:highlight w:val="none"/>
              </w:rPr>
            </w:pPr>
            <w:r>
              <w:rPr>
                <w:rFonts w:hint="eastAsia" w:ascii="宋体" w:hAnsi="宋体" w:cs="宋体"/>
                <w:szCs w:val="21"/>
                <w:highlight w:val="none"/>
              </w:rPr>
              <w:t>根据酒店的餐饮资质情况进行评分：</w:t>
            </w:r>
          </w:p>
          <w:p>
            <w:pPr>
              <w:jc w:val="left"/>
              <w:rPr>
                <w:rFonts w:hint="eastAsia" w:ascii="宋体" w:hAnsi="宋体" w:cs="宋体"/>
                <w:szCs w:val="21"/>
                <w:highlight w:val="none"/>
              </w:rPr>
            </w:pPr>
            <w:r>
              <w:rPr>
                <w:rFonts w:hint="eastAsia" w:ascii="宋体" w:hAnsi="宋体" w:cs="宋体"/>
                <w:szCs w:val="21"/>
                <w:highlight w:val="none"/>
              </w:rPr>
              <w:t>1.具备行政部门颁发的餐饮服务食品安全等级A级认证得【】分；</w:t>
            </w:r>
          </w:p>
          <w:p>
            <w:pPr>
              <w:jc w:val="left"/>
              <w:rPr>
                <w:rFonts w:hint="eastAsia" w:ascii="宋体" w:hAnsi="宋体" w:cs="宋体"/>
                <w:szCs w:val="21"/>
                <w:highlight w:val="none"/>
              </w:rPr>
            </w:pPr>
            <w:r>
              <w:rPr>
                <w:rFonts w:hint="eastAsia" w:ascii="宋体" w:hAnsi="宋体" w:cs="宋体"/>
                <w:szCs w:val="21"/>
                <w:highlight w:val="none"/>
              </w:rPr>
              <w:t>2.具备行政部门颁发的餐饮服务食品安全等级B级认证得【】分。</w:t>
            </w:r>
          </w:p>
          <w:p>
            <w:pPr>
              <w:jc w:val="left"/>
              <w:rPr>
                <w:rFonts w:hint="eastAsia" w:ascii="宋体" w:hAnsi="宋体" w:cs="宋体"/>
                <w:bCs/>
                <w:szCs w:val="21"/>
                <w:highlight w:val="none"/>
              </w:rPr>
            </w:pPr>
            <w:r>
              <w:rPr>
                <w:rFonts w:hint="eastAsia" w:ascii="宋体" w:hAnsi="宋体" w:cs="宋体"/>
                <w:szCs w:val="21"/>
                <w:highlight w:val="none"/>
              </w:rPr>
              <w:t>【注意：须提供图片证明材料，未提供或不符合要求的不得分】</w:t>
            </w:r>
          </w:p>
        </w:tc>
        <w:tc>
          <w:tcPr>
            <w:tcW w:w="113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widowControl/>
              <w:jc w:val="center"/>
              <w:rPr>
                <w:rFonts w:hint="eastAsia" w:ascii="宋体" w:hAnsi="宋体" w:cs="宋体"/>
                <w:szCs w:val="21"/>
                <w:highlight w:val="none"/>
              </w:rPr>
            </w:pPr>
            <w:r>
              <w:rPr>
                <w:rFonts w:hint="eastAsia" w:ascii="宋体" w:hAnsi="宋体" w:cs="宋体"/>
                <w:szCs w:val="21"/>
                <w:highlight w:val="none"/>
              </w:rPr>
              <w:t>【</w:t>
            </w:r>
            <w:r>
              <w:rPr>
                <w:rFonts w:hint="eastAsia" w:ascii="宋体" w:hAnsi="宋体" w:cs="宋体"/>
                <w:highlight w:val="none"/>
              </w:rPr>
              <w:t>】</w:t>
            </w:r>
          </w:p>
        </w:tc>
        <w:tc>
          <w:tcPr>
            <w:tcW w:w="113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widowControl/>
              <w:jc w:val="center"/>
              <w:rPr>
                <w:rFonts w:hint="eastAsia" w:ascii="宋体" w:hAnsi="宋体" w:cs="宋体"/>
                <w:szCs w:val="21"/>
                <w:highlight w:val="none"/>
              </w:rPr>
            </w:pPr>
            <w:r>
              <w:rPr>
                <w:rFonts w:hint="eastAsia" w:ascii="宋体" w:hAnsi="宋体" w:cs="宋体"/>
                <w:szCs w:val="21"/>
                <w:highlight w:val="none"/>
              </w:rPr>
              <w:t>客观项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76" w:hRule="atLeast"/>
          <w:jc w:val="center"/>
        </w:trPr>
        <w:tc>
          <w:tcPr>
            <w:tcW w:w="66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b/>
                <w:szCs w:val="21"/>
                <w:highlight w:val="none"/>
                <w:lang w:eastAsia="zh"/>
              </w:rPr>
            </w:pPr>
            <w:r>
              <w:rPr>
                <w:rFonts w:hint="eastAsia" w:ascii="宋体" w:hAnsi="宋体" w:cs="宋体"/>
                <w:b/>
                <w:szCs w:val="21"/>
                <w:highlight w:val="none"/>
                <w:lang w:eastAsia="zh"/>
              </w:rPr>
              <w:t>3</w:t>
            </w:r>
          </w:p>
        </w:tc>
        <w:tc>
          <w:tcPr>
            <w:tcW w:w="197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szCs w:val="21"/>
                <w:highlight w:val="none"/>
                <w:lang w:eastAsia="zh"/>
              </w:rPr>
            </w:pPr>
            <w:r>
              <w:rPr>
                <w:rFonts w:hint="eastAsia" w:ascii="宋体" w:hAnsi="宋体" w:cs="宋体"/>
                <w:szCs w:val="21"/>
                <w:highlight w:val="none"/>
                <w:lang w:eastAsia="zh"/>
              </w:rPr>
              <w:t>保障经验</w:t>
            </w:r>
          </w:p>
        </w:tc>
        <w:tc>
          <w:tcPr>
            <w:tcW w:w="512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left"/>
              <w:rPr>
                <w:rFonts w:hint="eastAsia" w:ascii="宋体" w:hAnsi="宋体" w:cs="宋体"/>
                <w:szCs w:val="21"/>
                <w:highlight w:val="none"/>
              </w:rPr>
            </w:pPr>
            <w:r>
              <w:rPr>
                <w:rFonts w:hint="eastAsia" w:ascii="宋体" w:hAnsi="宋体" w:cs="宋体"/>
                <w:szCs w:val="21"/>
                <w:highlight w:val="none"/>
                <w:lang w:bidi="ar"/>
              </w:rPr>
              <w:t>根据供应商</w:t>
            </w:r>
            <w:r>
              <w:rPr>
                <w:rFonts w:hint="eastAsia" w:ascii="宋体" w:hAnsi="宋体" w:cs="宋体"/>
                <w:szCs w:val="21"/>
                <w:highlight w:val="none"/>
                <w:lang w:eastAsia="zh" w:bidi="ar"/>
              </w:rPr>
              <w:t>【</w:t>
            </w:r>
            <w:r>
              <w:rPr>
                <w:rFonts w:hint="eastAsia" w:ascii="宋体" w:hAnsi="宋体" w:cs="宋体"/>
                <w:szCs w:val="21"/>
                <w:highlight w:val="none"/>
                <w:lang w:bidi="ar"/>
              </w:rPr>
              <w:t>202X年X月X日</w:t>
            </w:r>
            <w:r>
              <w:rPr>
                <w:rFonts w:hint="eastAsia" w:ascii="宋体" w:hAnsi="宋体" w:cs="宋体"/>
                <w:szCs w:val="21"/>
                <w:highlight w:val="none"/>
                <w:lang w:eastAsia="zh" w:bidi="ar"/>
              </w:rPr>
              <w:t>】</w:t>
            </w:r>
            <w:r>
              <w:rPr>
                <w:rFonts w:hint="eastAsia" w:ascii="宋体" w:hAnsi="宋体" w:cs="宋体"/>
                <w:szCs w:val="21"/>
                <w:highlight w:val="none"/>
                <w:lang w:bidi="ar"/>
              </w:rPr>
              <w:t>至采购公告发布日（以合同签订的日期为准，如合同未体现签署日期，则以合同生效日期为准）保障航空公司的航延旅客酒店服务经验进行评分，每提供一份航延旅客酒店服务合同，得1分，本项最高【】分。</w:t>
            </w:r>
          </w:p>
          <w:p>
            <w:pPr>
              <w:rPr>
                <w:rFonts w:hint="eastAsia" w:ascii="宋体" w:hAnsi="宋体" w:cs="宋体"/>
                <w:szCs w:val="21"/>
                <w:highlight w:val="none"/>
              </w:rPr>
            </w:pPr>
            <w:r>
              <w:rPr>
                <w:rFonts w:hint="eastAsia" w:ascii="宋体" w:hAnsi="宋体" w:cs="宋体"/>
                <w:szCs w:val="21"/>
                <w:highlight w:val="none"/>
                <w:lang w:bidi="ar"/>
              </w:rPr>
              <w:t>【注意：须填写</w:t>
            </w:r>
            <w:r>
              <w:rPr>
                <w:rFonts w:hint="eastAsia" w:ascii="宋体" w:hAnsi="宋体" w:cs="宋体"/>
                <w:bCs/>
                <w:szCs w:val="21"/>
                <w:highlight w:val="none"/>
                <w:lang w:bidi="ar"/>
              </w:rPr>
              <w:t>本采购文件第六章“格式九-2 销售业绩响应格式”提供业绩汇总表且按顺序附上：（1）合同主体为供应商</w:t>
            </w:r>
            <w:r>
              <w:rPr>
                <w:rFonts w:hint="eastAsia" w:ascii="宋体" w:hAnsi="宋体" w:cs="宋体"/>
                <w:kern w:val="0"/>
                <w:szCs w:val="21"/>
                <w:highlight w:val="none"/>
                <w:lang w:bidi="ar"/>
              </w:rPr>
              <w:t>的</w:t>
            </w:r>
            <w:r>
              <w:rPr>
                <w:rFonts w:hint="eastAsia" w:ascii="宋体" w:hAnsi="宋体" w:cs="宋体"/>
                <w:szCs w:val="21"/>
                <w:highlight w:val="none"/>
                <w:lang w:bidi="ar"/>
              </w:rPr>
              <w:t>合同关键页</w:t>
            </w:r>
            <w:r>
              <w:rPr>
                <w:rFonts w:hint="eastAsia" w:ascii="宋体" w:hAnsi="宋体" w:cs="宋体"/>
                <w:color w:val="000000"/>
                <w:szCs w:val="21"/>
                <w:highlight w:val="none"/>
                <w:lang w:bidi="ar"/>
              </w:rPr>
              <w:t>（包括合同封面页、内容页及签字盖章页等）复印件；（2）履约期间</w:t>
            </w:r>
            <w:r>
              <w:rPr>
                <w:rFonts w:hint="eastAsia" w:ascii="宋体" w:hAnsi="宋体" w:cs="宋体"/>
                <w:bCs/>
                <w:szCs w:val="21"/>
                <w:highlight w:val="none"/>
                <w:lang w:bidi="ar"/>
              </w:rPr>
              <w:t>供应商</w:t>
            </w:r>
            <w:r>
              <w:rPr>
                <w:rFonts w:hint="eastAsia" w:ascii="宋体" w:hAnsi="宋体" w:cs="宋体"/>
                <w:color w:val="000000"/>
                <w:szCs w:val="21"/>
                <w:highlight w:val="none"/>
                <w:lang w:bidi="ar"/>
              </w:rPr>
              <w:t>实际开具的任一增值税发票复印件；（3）该发票在“国家税务总局全国增值税发票检验平台”上的检验截图以供评标，否则不得分。注意：签署</w:t>
            </w:r>
            <w:r>
              <w:rPr>
                <w:rFonts w:hint="eastAsia" w:ascii="宋体" w:hAnsi="宋体" w:cs="宋体"/>
                <w:szCs w:val="21"/>
                <w:highlight w:val="none"/>
                <w:lang w:bidi="ar"/>
              </w:rPr>
              <w:t>时间及服务内容均以合同为准，如合同中未体现，则须提供其他证明材料；</w:t>
            </w:r>
            <w:r>
              <w:rPr>
                <w:rFonts w:hint="eastAsia" w:ascii="宋体" w:hAnsi="宋体" w:cs="宋体"/>
                <w:color w:val="000000"/>
                <w:szCs w:val="21"/>
                <w:highlight w:val="none"/>
                <w:lang w:bidi="ar"/>
              </w:rPr>
              <w:t>（4）</w:t>
            </w:r>
            <w:r>
              <w:rPr>
                <w:rFonts w:hint="eastAsia" w:ascii="宋体" w:hAnsi="宋体" w:cs="宋体"/>
                <w:szCs w:val="21"/>
                <w:highlight w:val="none"/>
                <w:lang w:bidi="ar"/>
              </w:rPr>
              <w:t>同一航空公司多份业绩不可累计得分；】</w:t>
            </w:r>
          </w:p>
        </w:tc>
        <w:tc>
          <w:tcPr>
            <w:tcW w:w="113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widowControl/>
              <w:jc w:val="center"/>
              <w:rPr>
                <w:rFonts w:hint="eastAsia" w:ascii="宋体" w:hAnsi="宋体" w:cs="宋体"/>
                <w:szCs w:val="21"/>
                <w:highlight w:val="none"/>
              </w:rPr>
            </w:pPr>
            <w:r>
              <w:rPr>
                <w:rFonts w:hint="eastAsia" w:ascii="宋体" w:hAnsi="宋体" w:cs="宋体"/>
                <w:szCs w:val="21"/>
                <w:highlight w:val="none"/>
              </w:rPr>
              <w:t>【</w:t>
            </w:r>
            <w:r>
              <w:rPr>
                <w:rFonts w:hint="eastAsia" w:ascii="宋体" w:hAnsi="宋体" w:cs="宋体"/>
                <w:highlight w:val="none"/>
              </w:rPr>
              <w:t>】</w:t>
            </w:r>
          </w:p>
        </w:tc>
        <w:tc>
          <w:tcPr>
            <w:tcW w:w="113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widowControl/>
              <w:jc w:val="center"/>
              <w:rPr>
                <w:rFonts w:hint="eastAsia" w:ascii="宋体" w:hAnsi="宋体" w:cs="宋体"/>
                <w:szCs w:val="21"/>
                <w:highlight w:val="none"/>
              </w:rPr>
            </w:pPr>
            <w:r>
              <w:rPr>
                <w:rFonts w:hint="eastAsia" w:ascii="宋体" w:hAnsi="宋体" w:cs="宋体"/>
                <w:szCs w:val="21"/>
                <w:highlight w:val="none"/>
              </w:rPr>
              <w:t>客观项</w:t>
            </w:r>
          </w:p>
        </w:tc>
      </w:tr>
      <w:permEnd w:id="26"/>
    </w:tbl>
    <w:p>
      <w:pPr>
        <w:spacing w:before="156" w:beforeLines="50" w:after="156" w:afterLines="50" w:line="360" w:lineRule="auto"/>
        <w:ind w:firstLine="120" w:firstLineChars="50"/>
        <w:jc w:val="center"/>
        <w:rPr>
          <w:rFonts w:hint="eastAsia" w:ascii="宋体" w:hAnsi="宋体"/>
          <w:b/>
          <w:sz w:val="24"/>
          <w:highlight w:val="none"/>
        </w:rPr>
      </w:pPr>
    </w:p>
    <w:p>
      <w:pPr>
        <w:spacing w:line="360" w:lineRule="auto"/>
        <w:rPr>
          <w:rFonts w:hint="eastAsia" w:ascii="宋体" w:hAnsi="宋体"/>
          <w:b/>
          <w:sz w:val="24"/>
          <w:highlight w:val="none"/>
        </w:rPr>
      </w:pPr>
    </w:p>
    <w:p>
      <w:pPr>
        <w:spacing w:before="156" w:beforeLines="50" w:after="156" w:afterLines="50" w:line="360" w:lineRule="auto"/>
        <w:ind w:firstLine="120" w:firstLineChars="50"/>
        <w:jc w:val="center"/>
        <w:rPr>
          <w:rFonts w:hint="eastAsia" w:ascii="宋体" w:hAnsi="宋体"/>
          <w:b/>
          <w:sz w:val="24"/>
          <w:highlight w:val="none"/>
        </w:rPr>
      </w:pPr>
      <w:r>
        <w:rPr>
          <w:rFonts w:hint="eastAsia" w:ascii="宋体" w:hAnsi="宋体"/>
          <w:b/>
          <w:sz w:val="24"/>
          <w:highlight w:val="none"/>
        </w:rPr>
        <w:t>表3  技术评审表</w:t>
      </w:r>
      <w:permStart w:id="27" w:edGrp="everyone"/>
      <w:r>
        <w:rPr>
          <w:rFonts w:hint="eastAsia" w:ascii="宋体" w:hAnsi="宋体" w:cs="宋体"/>
          <w:szCs w:val="21"/>
          <w:highlight w:val="none"/>
        </w:rPr>
        <w:t>【</w:t>
      </w:r>
      <w:r>
        <w:rPr>
          <w:rFonts w:hint="eastAsia" w:ascii="宋体" w:hAnsi="宋体" w:cs="宋体"/>
          <w:b/>
          <w:szCs w:val="21"/>
          <w:highlight w:val="none"/>
        </w:rPr>
        <w:t>40分</w:t>
      </w:r>
      <w:r>
        <w:rPr>
          <w:rFonts w:hint="eastAsia" w:ascii="宋体" w:hAnsi="宋体" w:cs="宋体"/>
          <w:szCs w:val="21"/>
          <w:highlight w:val="none"/>
        </w:rPr>
        <w:t>】</w:t>
      </w:r>
      <w:r>
        <w:rPr>
          <w:rFonts w:hint="eastAsia" w:ascii="宋体" w:hAnsi="宋体" w:cs="宋体"/>
          <w:color w:val="0000FF"/>
          <w:highlight w:val="none"/>
          <w:lang w:eastAsia="zh"/>
        </w:rPr>
        <w:t>【</w:t>
      </w:r>
      <w:r>
        <w:rPr>
          <w:rFonts w:hint="eastAsia" w:ascii="宋体" w:hAnsi="宋体" w:cs="宋体"/>
          <w:color w:val="0000FF"/>
          <w:szCs w:val="21"/>
          <w:highlight w:val="none"/>
          <w:lang w:eastAsia="zh"/>
        </w:rPr>
        <w:t>可根据实际情况组合分数，删除不需要的评审项目】</w:t>
      </w:r>
      <w:permEnd w:id="27"/>
    </w:p>
    <w:tbl>
      <w:tblPr>
        <w:tblStyle w:val="25"/>
        <w:tblW w:w="1002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62"/>
        <w:gridCol w:w="1969"/>
        <w:gridCol w:w="5132"/>
        <w:gridCol w:w="1133"/>
        <w:gridCol w:w="113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94" w:hRule="atLeast"/>
          <w:jc w:val="center"/>
        </w:trPr>
        <w:tc>
          <w:tcPr>
            <w:tcW w:w="6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highlight w:val="none"/>
              </w:rPr>
            </w:pPr>
            <w:permStart w:id="28" w:edGrp="everyone"/>
            <w:r>
              <w:rPr>
                <w:rFonts w:hint="eastAsia" w:ascii="宋体" w:hAnsi="宋体" w:cs="宋体"/>
                <w:b/>
                <w:szCs w:val="21"/>
                <w:highlight w:val="none"/>
              </w:rPr>
              <w:t>序号</w:t>
            </w:r>
          </w:p>
        </w:tc>
        <w:tc>
          <w:tcPr>
            <w:tcW w:w="19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highlight w:val="none"/>
              </w:rPr>
            </w:pPr>
            <w:r>
              <w:rPr>
                <w:rFonts w:hint="eastAsia" w:ascii="宋体" w:hAnsi="宋体" w:cs="宋体"/>
                <w:b/>
                <w:szCs w:val="21"/>
                <w:highlight w:val="none"/>
              </w:rPr>
              <w:t>评审项目</w:t>
            </w:r>
          </w:p>
        </w:tc>
        <w:tc>
          <w:tcPr>
            <w:tcW w:w="513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highlight w:val="none"/>
              </w:rPr>
            </w:pPr>
            <w:r>
              <w:rPr>
                <w:rFonts w:hint="eastAsia" w:ascii="宋体" w:hAnsi="宋体" w:cs="宋体"/>
                <w:b/>
                <w:szCs w:val="21"/>
                <w:highlight w:val="none"/>
              </w:rPr>
              <w:t>评审内容</w:t>
            </w:r>
          </w:p>
        </w:tc>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highlight w:val="none"/>
              </w:rPr>
            </w:pPr>
            <w:r>
              <w:rPr>
                <w:rFonts w:hint="eastAsia" w:ascii="宋体" w:hAnsi="宋体" w:cs="宋体"/>
                <w:b/>
                <w:szCs w:val="21"/>
                <w:highlight w:val="none"/>
              </w:rPr>
              <w:t>对应最高</w:t>
            </w:r>
          </w:p>
          <w:p>
            <w:pPr>
              <w:jc w:val="center"/>
              <w:rPr>
                <w:rFonts w:hint="eastAsia" w:ascii="宋体" w:hAnsi="宋体" w:cs="宋体"/>
                <w:b/>
                <w:szCs w:val="21"/>
                <w:highlight w:val="none"/>
              </w:rPr>
            </w:pPr>
            <w:r>
              <w:rPr>
                <w:rFonts w:hint="eastAsia" w:ascii="宋体" w:hAnsi="宋体" w:cs="宋体"/>
                <w:b/>
                <w:szCs w:val="21"/>
                <w:highlight w:val="none"/>
              </w:rPr>
              <w:t>分值</w:t>
            </w:r>
          </w:p>
        </w:tc>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highlight w:val="none"/>
              </w:rPr>
            </w:pPr>
            <w:r>
              <w:rPr>
                <w:rFonts w:hint="eastAsia" w:ascii="宋体" w:hAnsi="宋体" w:cs="宋体"/>
                <w:b/>
                <w:szCs w:val="21"/>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76" w:hRule="atLeast"/>
          <w:jc w:val="center"/>
        </w:trPr>
        <w:tc>
          <w:tcPr>
            <w:tcW w:w="662" w:type="dxa"/>
            <w:tcBorders>
              <w:top w:val="single" w:color="auto" w:sz="4" w:space="0"/>
              <w:left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b/>
                <w:szCs w:val="21"/>
                <w:highlight w:val="none"/>
              </w:rPr>
            </w:pPr>
            <w:r>
              <w:rPr>
                <w:rFonts w:hint="eastAsia" w:ascii="宋体" w:hAnsi="宋体" w:cs="宋体"/>
                <w:b/>
                <w:szCs w:val="21"/>
                <w:highlight w:val="none"/>
              </w:rPr>
              <w:t>1</w:t>
            </w:r>
          </w:p>
        </w:tc>
        <w:tc>
          <w:tcPr>
            <w:tcW w:w="1969" w:type="dxa"/>
            <w:tcBorders>
              <w:top w:val="single" w:color="auto" w:sz="4" w:space="0"/>
              <w:left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bCs/>
                <w:szCs w:val="21"/>
                <w:highlight w:val="none"/>
              </w:rPr>
            </w:pPr>
            <w:r>
              <w:rPr>
                <w:rFonts w:hint="eastAsia" w:ascii="宋体" w:hAnsi="宋体" w:cs="宋体"/>
                <w:bCs/>
                <w:szCs w:val="21"/>
                <w:highlight w:val="none"/>
                <w:lang w:eastAsia="zh"/>
              </w:rPr>
              <w:t>服务方案</w:t>
            </w:r>
          </w:p>
        </w:tc>
        <w:tc>
          <w:tcPr>
            <w:tcW w:w="513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rPr>
                <w:rFonts w:hint="eastAsia" w:ascii="宋体" w:hAnsi="宋体" w:cs="宋体"/>
                <w:szCs w:val="21"/>
                <w:highlight w:val="none"/>
              </w:rPr>
            </w:pPr>
            <w:r>
              <w:rPr>
                <w:rFonts w:hint="eastAsia" w:ascii="宋体" w:hAnsi="宋体" w:cs="宋体"/>
                <w:szCs w:val="21"/>
                <w:highlight w:val="none"/>
                <w:lang w:bidi="ar"/>
              </w:rPr>
              <w:t>横向对比各供应商提供的</w:t>
            </w:r>
            <w:r>
              <w:rPr>
                <w:rFonts w:hint="eastAsia" w:ascii="宋体" w:hAnsi="宋体" w:cs="宋体"/>
                <w:color w:val="000000"/>
                <w:kern w:val="0"/>
                <w:szCs w:val="21"/>
                <w:highlight w:val="none"/>
                <w:lang w:bidi="ar"/>
              </w:rPr>
              <w:t>服务</w:t>
            </w:r>
            <w:r>
              <w:rPr>
                <w:rFonts w:hint="eastAsia" w:ascii="宋体" w:hAnsi="宋体" w:cs="宋体"/>
                <w:szCs w:val="21"/>
                <w:highlight w:val="none"/>
                <w:lang w:bidi="ar"/>
              </w:rPr>
              <w:t>方案，包括不限于：大面积航延服务保障机制、客房环境、</w:t>
            </w:r>
            <w:r>
              <w:rPr>
                <w:rFonts w:hint="eastAsia" w:ascii="宋体" w:hAnsi="宋体" w:cs="宋体"/>
                <w:bCs/>
                <w:szCs w:val="21"/>
                <w:highlight w:val="none"/>
                <w:lang w:eastAsia="zh"/>
              </w:rPr>
              <w:t>旅客接送服务、旅客安抚服务</w:t>
            </w:r>
            <w:r>
              <w:rPr>
                <w:rFonts w:hint="eastAsia" w:ascii="宋体" w:hAnsi="宋体" w:cs="宋体"/>
                <w:bCs/>
                <w:szCs w:val="21"/>
                <w:highlight w:val="none"/>
              </w:rPr>
              <w:t>等方面</w:t>
            </w:r>
            <w:r>
              <w:rPr>
                <w:rFonts w:hint="eastAsia" w:ascii="宋体" w:hAnsi="宋体" w:cs="宋体"/>
                <w:szCs w:val="21"/>
                <w:highlight w:val="none"/>
                <w:lang w:bidi="ar"/>
              </w:rPr>
              <w:t>。</w:t>
            </w:r>
          </w:p>
          <w:p>
            <w:pPr>
              <w:rPr>
                <w:szCs w:val="21"/>
                <w:highlight w:val="none"/>
              </w:rPr>
            </w:pPr>
            <w:r>
              <w:rPr>
                <w:rFonts w:hint="eastAsia" w:ascii="宋体" w:hAnsi="宋体" w:cs="宋体"/>
                <w:szCs w:val="21"/>
                <w:highlight w:val="none"/>
                <w:lang w:bidi="ar"/>
              </w:rPr>
              <w:t>环境豪华，方案合理完善、可操作性强的，得【】分；</w:t>
            </w:r>
          </w:p>
          <w:p>
            <w:pPr>
              <w:rPr>
                <w:szCs w:val="21"/>
                <w:highlight w:val="none"/>
              </w:rPr>
            </w:pPr>
            <w:r>
              <w:rPr>
                <w:rFonts w:hint="eastAsia" w:ascii="宋体" w:hAnsi="宋体" w:cs="宋体"/>
                <w:szCs w:val="21"/>
                <w:highlight w:val="none"/>
                <w:lang w:bidi="ar"/>
              </w:rPr>
              <w:t>环境舒适，方案完整、可操作性一般的，得</w:t>
            </w:r>
            <w:r>
              <w:rPr>
                <w:rFonts w:hint="eastAsia"/>
                <w:szCs w:val="21"/>
                <w:highlight w:val="none"/>
                <w:lang w:bidi="ar"/>
              </w:rPr>
              <w:t>【】</w:t>
            </w:r>
            <w:r>
              <w:rPr>
                <w:rFonts w:hint="eastAsia" w:ascii="宋体" w:hAnsi="宋体" w:cs="宋体"/>
                <w:szCs w:val="21"/>
                <w:highlight w:val="none"/>
                <w:lang w:bidi="ar"/>
              </w:rPr>
              <w:t>分；</w:t>
            </w:r>
          </w:p>
          <w:p>
            <w:pPr>
              <w:rPr>
                <w:szCs w:val="21"/>
                <w:highlight w:val="none"/>
              </w:rPr>
            </w:pPr>
            <w:r>
              <w:rPr>
                <w:rFonts w:hint="eastAsia" w:ascii="宋体" w:hAnsi="宋体" w:cs="宋体"/>
                <w:szCs w:val="21"/>
                <w:highlight w:val="none"/>
                <w:lang w:bidi="ar"/>
              </w:rPr>
              <w:t>环境简单，方案不完整、可操作性差的，得</w:t>
            </w:r>
            <w:r>
              <w:rPr>
                <w:rFonts w:hint="eastAsia"/>
                <w:szCs w:val="21"/>
                <w:highlight w:val="none"/>
                <w:lang w:bidi="ar"/>
              </w:rPr>
              <w:t>【】</w:t>
            </w:r>
            <w:r>
              <w:rPr>
                <w:rFonts w:hint="eastAsia" w:ascii="宋体" w:hAnsi="宋体" w:cs="宋体"/>
                <w:szCs w:val="21"/>
                <w:highlight w:val="none"/>
                <w:lang w:bidi="ar"/>
              </w:rPr>
              <w:t>分。</w:t>
            </w:r>
          </w:p>
          <w:p>
            <w:pPr>
              <w:rPr>
                <w:rFonts w:hint="eastAsia" w:ascii="宋体" w:hAnsi="宋体" w:cs="宋体"/>
                <w:bCs/>
                <w:szCs w:val="21"/>
                <w:highlight w:val="none"/>
              </w:rPr>
            </w:pPr>
            <w:r>
              <w:rPr>
                <w:rFonts w:hint="eastAsia" w:ascii="宋体" w:hAnsi="宋体" w:cs="宋体"/>
                <w:szCs w:val="21"/>
                <w:highlight w:val="none"/>
                <w:lang w:bidi="ar"/>
              </w:rPr>
              <w:t>【</w:t>
            </w:r>
            <w:r>
              <w:rPr>
                <w:rFonts w:hint="eastAsia" w:ascii="宋体" w:hAnsi="宋体" w:cs="宋体"/>
                <w:szCs w:val="21"/>
                <w:highlight w:val="none"/>
              </w:rPr>
              <w:t>注意：</w:t>
            </w:r>
            <w:r>
              <w:rPr>
                <w:rFonts w:hint="eastAsia" w:ascii="宋体" w:hAnsi="宋体" w:cs="宋体"/>
                <w:kern w:val="0"/>
                <w:szCs w:val="21"/>
                <w:highlight w:val="none"/>
                <w:lang w:bidi="ar"/>
              </w:rPr>
              <w:t>须</w:t>
            </w:r>
            <w:r>
              <w:rPr>
                <w:rFonts w:hint="eastAsia" w:ascii="宋体" w:hAnsi="宋体" w:cs="宋体"/>
                <w:szCs w:val="21"/>
                <w:highlight w:val="none"/>
                <w:lang w:bidi="ar"/>
              </w:rPr>
              <w:t>提供服务方案，内容格式自拟并加盖公章，</w:t>
            </w:r>
            <w:r>
              <w:rPr>
                <w:rFonts w:hint="eastAsia" w:ascii="宋体" w:hAnsi="宋体" w:cs="宋体"/>
                <w:szCs w:val="21"/>
                <w:highlight w:val="none"/>
              </w:rPr>
              <w:t>未提供或不符合要求的不得分</w:t>
            </w:r>
            <w:r>
              <w:rPr>
                <w:rFonts w:hint="eastAsia" w:ascii="宋体" w:hAnsi="宋体" w:cs="宋体"/>
                <w:szCs w:val="21"/>
                <w:highlight w:val="none"/>
                <w:lang w:bidi="ar"/>
              </w:rPr>
              <w:t>。】</w:t>
            </w:r>
          </w:p>
        </w:tc>
        <w:tc>
          <w:tcPr>
            <w:tcW w:w="113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widowControl/>
              <w:jc w:val="center"/>
              <w:rPr>
                <w:rFonts w:hint="eastAsia" w:ascii="宋体" w:hAnsi="宋体" w:cs="宋体"/>
                <w:szCs w:val="21"/>
                <w:highlight w:val="none"/>
              </w:rPr>
            </w:pPr>
            <w:r>
              <w:rPr>
                <w:rFonts w:hint="eastAsia" w:ascii="宋体" w:hAnsi="宋体" w:cs="宋体"/>
                <w:szCs w:val="21"/>
                <w:highlight w:val="none"/>
              </w:rPr>
              <w:t>【】</w:t>
            </w:r>
          </w:p>
        </w:tc>
        <w:tc>
          <w:tcPr>
            <w:tcW w:w="113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widowControl/>
              <w:jc w:val="center"/>
              <w:rPr>
                <w:rFonts w:hint="eastAsia" w:ascii="宋体" w:hAnsi="宋体" w:cs="宋体"/>
                <w:szCs w:val="21"/>
                <w:highlight w:val="none"/>
              </w:rPr>
            </w:pPr>
            <w:r>
              <w:rPr>
                <w:rFonts w:hint="eastAsia" w:ascii="宋体" w:hAnsi="宋体" w:cs="宋体"/>
                <w:szCs w:val="21"/>
                <w:highlight w:val="none"/>
              </w:rPr>
              <w:t>主观项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76" w:hRule="atLeast"/>
          <w:jc w:val="center"/>
        </w:trPr>
        <w:tc>
          <w:tcPr>
            <w:tcW w:w="662" w:type="dxa"/>
            <w:tcBorders>
              <w:top w:val="single" w:color="auto" w:sz="4" w:space="0"/>
              <w:left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b/>
                <w:szCs w:val="21"/>
                <w:highlight w:val="none"/>
              </w:rPr>
            </w:pPr>
            <w:r>
              <w:rPr>
                <w:rFonts w:hint="eastAsia" w:ascii="宋体" w:hAnsi="宋体" w:cs="宋体"/>
                <w:b/>
                <w:szCs w:val="21"/>
                <w:highlight w:val="none"/>
              </w:rPr>
              <w:t>2</w:t>
            </w:r>
          </w:p>
        </w:tc>
        <w:tc>
          <w:tcPr>
            <w:tcW w:w="1969" w:type="dxa"/>
            <w:tcBorders>
              <w:top w:val="single" w:color="auto" w:sz="4" w:space="0"/>
              <w:left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bCs/>
                <w:szCs w:val="21"/>
                <w:highlight w:val="none"/>
              </w:rPr>
            </w:pPr>
            <w:r>
              <w:rPr>
                <w:rFonts w:hint="eastAsia"/>
                <w:highlight w:val="none"/>
              </w:rPr>
              <w:t>增值服务及车辆保障能力</w:t>
            </w:r>
          </w:p>
        </w:tc>
        <w:tc>
          <w:tcPr>
            <w:tcW w:w="513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numPr>
                <w:ilvl w:val="255"/>
                <w:numId w:val="0"/>
              </w:numPr>
              <w:rPr>
                <w:highlight w:val="none"/>
              </w:rPr>
            </w:pPr>
            <w:r>
              <w:rPr>
                <w:rFonts w:hint="eastAsia"/>
                <w:highlight w:val="none"/>
              </w:rPr>
              <w:t>根据供应商为本项目提供的优惠政策及车辆保障能力进行评分：</w:t>
            </w:r>
          </w:p>
          <w:p>
            <w:pPr>
              <w:numPr>
                <w:ilvl w:val="255"/>
                <w:numId w:val="0"/>
              </w:numPr>
              <w:rPr>
                <w:highlight w:val="none"/>
              </w:rPr>
            </w:pPr>
            <w:r>
              <w:rPr>
                <w:rFonts w:hint="eastAsia"/>
                <w:highlight w:val="none"/>
              </w:rPr>
              <w:t>1.能为本项目航延旅客提供免费早餐的，得【】分 【注意：供应商须针对本项提供服务响应函，内容格式自拟，</w:t>
            </w:r>
            <w:r>
              <w:rPr>
                <w:rFonts w:hint="eastAsia" w:ascii="宋体" w:hAnsi="宋体" w:cs="宋体"/>
                <w:szCs w:val="21"/>
                <w:highlight w:val="none"/>
              </w:rPr>
              <w:t>未提供或不符合要求的不得分。</w:t>
            </w:r>
            <w:r>
              <w:rPr>
                <w:rFonts w:hint="eastAsia"/>
                <w:highlight w:val="none"/>
              </w:rPr>
              <w:t>】</w:t>
            </w:r>
          </w:p>
          <w:p>
            <w:pPr>
              <w:numPr>
                <w:ilvl w:val="255"/>
                <w:numId w:val="0"/>
              </w:numPr>
              <w:rPr>
                <w:highlight w:val="none"/>
              </w:rPr>
            </w:pPr>
            <w:r>
              <w:rPr>
                <w:rFonts w:hint="eastAsia"/>
                <w:highlight w:val="none"/>
              </w:rPr>
              <w:t>2.A类、B类酒店：酒店在具备接送旅客车辆【】辆（含自有及租赁车辆）的基础上，每增多【】台&lt;车型或座位数&gt;车辆加1分，最高【】分；C类酒店：酒店在具备接送旅客车辆【】辆（含自有及租赁车辆），且车辆座位数之和在【】个的基础上，每增多【】个（含）座位加1分，最高3分；</w:t>
            </w:r>
          </w:p>
          <w:p>
            <w:pPr>
              <w:numPr>
                <w:ilvl w:val="255"/>
                <w:numId w:val="0"/>
              </w:numPr>
              <w:rPr>
                <w:highlight w:val="none"/>
              </w:rPr>
            </w:pPr>
            <w:r>
              <w:rPr>
                <w:rFonts w:hint="eastAsia"/>
                <w:highlight w:val="none"/>
              </w:rPr>
              <w:t>3.酒店在配备【】名A1驾照资格的司机的基础上，每增多【】个A1驾照资格司机加【】分，最高【】分。</w:t>
            </w:r>
          </w:p>
          <w:p>
            <w:pPr>
              <w:rPr>
                <w:highlight w:val="none"/>
              </w:rPr>
            </w:pPr>
            <w:r>
              <w:rPr>
                <w:rFonts w:hint="eastAsia"/>
                <w:highlight w:val="none"/>
              </w:rPr>
              <w:t>此项累计最高得【】分。</w:t>
            </w:r>
          </w:p>
          <w:p>
            <w:pPr>
              <w:rPr>
                <w:rFonts w:hint="eastAsia" w:ascii="宋体" w:hAnsi="宋体" w:cs="宋体"/>
                <w:bCs/>
                <w:szCs w:val="21"/>
                <w:highlight w:val="none"/>
              </w:rPr>
            </w:pPr>
            <w:r>
              <w:rPr>
                <w:rFonts w:hint="eastAsia"/>
                <w:highlight w:val="none"/>
              </w:rPr>
              <w:t>【注意：</w:t>
            </w:r>
            <w:r>
              <w:rPr>
                <w:rFonts w:hint="eastAsia"/>
                <w:highlight w:val="none"/>
                <w:lang w:eastAsia="zh"/>
              </w:rPr>
              <w:t>1.</w:t>
            </w:r>
            <w:r>
              <w:rPr>
                <w:rFonts w:hint="eastAsia" w:ascii="宋体" w:hAnsi="宋体" w:cs="宋体"/>
                <w:szCs w:val="21"/>
                <w:highlight w:val="none"/>
                <w:lang w:bidi="ar"/>
              </w:rPr>
              <w:t>若为自购车辆：车辆所有权人应是供应商，须提供行驶证扫描件、车辆照片及车辆座位数量证明材料加盖公章；若为租赁车辆：车辆承租方应是该供应商，车辆所有人应是租赁公司，须提供车辆租赁合同扫描件加盖公章、行驶证扫描件、车辆照片及车辆座位数量证明材料加盖公章；2.须提供A1驾照资格司机驾驶证及劳动关系证明加盖公章；3.须提供24小时随时调度服务响应函加盖公章，内容格式自拟，</w:t>
            </w:r>
            <w:r>
              <w:rPr>
                <w:rFonts w:hint="eastAsia" w:ascii="宋体" w:hAnsi="宋体" w:cs="宋体"/>
                <w:szCs w:val="21"/>
                <w:highlight w:val="none"/>
              </w:rPr>
              <w:t>未提供或不符合要求的不得分</w:t>
            </w:r>
            <w:r>
              <w:rPr>
                <w:rFonts w:hint="eastAsia" w:ascii="宋体" w:hAnsi="宋体" w:cs="宋体"/>
                <w:szCs w:val="21"/>
                <w:highlight w:val="none"/>
                <w:lang w:bidi="ar"/>
              </w:rPr>
              <w:t>。</w:t>
            </w:r>
            <w:r>
              <w:rPr>
                <w:rFonts w:hint="eastAsia"/>
                <w:highlight w:val="none"/>
              </w:rPr>
              <w:t>】</w:t>
            </w:r>
          </w:p>
        </w:tc>
        <w:tc>
          <w:tcPr>
            <w:tcW w:w="113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widowControl/>
              <w:jc w:val="center"/>
              <w:rPr>
                <w:rFonts w:hint="eastAsia" w:ascii="宋体" w:hAnsi="宋体" w:cs="宋体"/>
                <w:szCs w:val="21"/>
                <w:highlight w:val="none"/>
              </w:rPr>
            </w:pPr>
            <w:r>
              <w:rPr>
                <w:rFonts w:hint="eastAsia" w:ascii="宋体" w:hAnsi="宋体" w:cs="宋体"/>
                <w:szCs w:val="21"/>
                <w:highlight w:val="none"/>
              </w:rPr>
              <w:t>【</w:t>
            </w:r>
            <w:r>
              <w:rPr>
                <w:rFonts w:hint="eastAsia" w:ascii="宋体" w:hAnsi="宋体" w:cs="宋体"/>
                <w:highlight w:val="none"/>
              </w:rPr>
              <w:t>】</w:t>
            </w:r>
          </w:p>
        </w:tc>
        <w:tc>
          <w:tcPr>
            <w:tcW w:w="113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widowControl/>
              <w:jc w:val="center"/>
              <w:rPr>
                <w:rFonts w:hint="eastAsia" w:ascii="宋体" w:hAnsi="宋体" w:cs="宋体"/>
                <w:szCs w:val="21"/>
                <w:highlight w:val="none"/>
              </w:rPr>
            </w:pPr>
            <w:r>
              <w:rPr>
                <w:rFonts w:hint="eastAsia" w:ascii="宋体" w:hAnsi="宋体" w:cs="宋体"/>
                <w:szCs w:val="21"/>
                <w:highlight w:val="none"/>
              </w:rPr>
              <w:t>客观项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28" w:hRule="atLeast"/>
          <w:jc w:val="center"/>
        </w:trPr>
        <w:tc>
          <w:tcPr>
            <w:tcW w:w="662" w:type="dxa"/>
            <w:tcBorders>
              <w:top w:val="single" w:color="auto" w:sz="4" w:space="0"/>
              <w:left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b/>
                <w:szCs w:val="21"/>
                <w:highlight w:val="none"/>
              </w:rPr>
            </w:pPr>
            <w:r>
              <w:rPr>
                <w:rFonts w:hint="eastAsia" w:ascii="宋体" w:hAnsi="宋体" w:cs="宋体"/>
                <w:b/>
                <w:szCs w:val="21"/>
                <w:highlight w:val="none"/>
              </w:rPr>
              <w:t>3</w:t>
            </w:r>
          </w:p>
        </w:tc>
        <w:tc>
          <w:tcPr>
            <w:tcW w:w="1969" w:type="dxa"/>
            <w:tcBorders>
              <w:top w:val="single" w:color="auto" w:sz="4" w:space="0"/>
              <w:left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bCs/>
                <w:szCs w:val="21"/>
                <w:highlight w:val="none"/>
              </w:rPr>
            </w:pPr>
            <w:r>
              <w:rPr>
                <w:rFonts w:hint="eastAsia" w:ascii="宋体" w:hAnsi="宋体" w:cs="宋体"/>
                <w:szCs w:val="21"/>
                <w:highlight w:val="none"/>
              </w:rPr>
              <w:t>房间数量</w:t>
            </w:r>
          </w:p>
        </w:tc>
        <w:tc>
          <w:tcPr>
            <w:tcW w:w="5132" w:type="dxa"/>
            <w:tcBorders>
              <w:top w:val="single" w:color="auto" w:sz="4" w:space="0"/>
              <w:left w:val="single" w:color="auto" w:sz="4" w:space="0"/>
              <w:right w:val="single" w:color="auto" w:sz="4" w:space="0"/>
            </w:tcBorders>
            <w:tcMar>
              <w:top w:w="0" w:type="dxa"/>
              <w:left w:w="28" w:type="dxa"/>
              <w:bottom w:w="0" w:type="dxa"/>
              <w:right w:w="28" w:type="dxa"/>
            </w:tcMar>
            <w:vAlign w:val="center"/>
          </w:tcPr>
          <w:p>
            <w:pPr>
              <w:jc w:val="left"/>
              <w:rPr>
                <w:rFonts w:hint="eastAsia" w:ascii="宋体" w:hAnsi="宋体" w:cs="宋体"/>
                <w:kern w:val="0"/>
                <w:szCs w:val="21"/>
                <w:highlight w:val="none"/>
              </w:rPr>
            </w:pPr>
            <w:r>
              <w:rPr>
                <w:rFonts w:hint="eastAsia" w:ascii="宋体" w:hAnsi="宋体" w:cs="宋体"/>
                <w:kern w:val="0"/>
                <w:szCs w:val="21"/>
                <w:highlight w:val="none"/>
              </w:rPr>
              <w:t>根据供应商拥有的房间数量进行评分：</w:t>
            </w:r>
          </w:p>
          <w:p>
            <w:pPr>
              <w:jc w:val="left"/>
              <w:rPr>
                <w:rFonts w:hint="eastAsia" w:ascii="宋体" w:hAnsi="宋体" w:cs="宋体"/>
                <w:kern w:val="0"/>
                <w:szCs w:val="21"/>
                <w:highlight w:val="none"/>
              </w:rPr>
            </w:pPr>
            <w:r>
              <w:rPr>
                <w:rFonts w:hint="eastAsia" w:ascii="宋体" w:hAnsi="宋体" w:cs="宋体"/>
                <w:kern w:val="0"/>
                <w:szCs w:val="21"/>
                <w:highlight w:val="none"/>
              </w:rPr>
              <w:t>供应商客房数量在</w:t>
            </w:r>
            <w:r>
              <w:rPr>
                <w:rFonts w:hint="eastAsia" w:ascii="宋体" w:hAnsi="宋体" w:cs="宋体"/>
                <w:szCs w:val="21"/>
                <w:highlight w:val="none"/>
              </w:rPr>
              <w:t>【】</w:t>
            </w:r>
            <w:r>
              <w:rPr>
                <w:rFonts w:hint="eastAsia" w:ascii="宋体" w:hAnsi="宋体" w:cs="宋体"/>
                <w:kern w:val="0"/>
                <w:szCs w:val="21"/>
                <w:highlight w:val="none"/>
              </w:rPr>
              <w:t>间基础上，每增多</w:t>
            </w:r>
            <w:r>
              <w:rPr>
                <w:rFonts w:hint="eastAsia" w:ascii="宋体" w:hAnsi="宋体" w:cs="宋体"/>
                <w:szCs w:val="21"/>
                <w:highlight w:val="none"/>
              </w:rPr>
              <w:t>【】</w:t>
            </w:r>
            <w:r>
              <w:rPr>
                <w:rFonts w:hint="eastAsia" w:ascii="宋体" w:hAnsi="宋体" w:cs="宋体"/>
                <w:kern w:val="0"/>
                <w:szCs w:val="21"/>
                <w:highlight w:val="none"/>
              </w:rPr>
              <w:t>间</w:t>
            </w:r>
            <w:r>
              <w:rPr>
                <w:rFonts w:hint="eastAsia" w:ascii="宋体" w:hAnsi="宋体" w:cs="宋体"/>
                <w:kern w:val="0"/>
                <w:szCs w:val="21"/>
                <w:highlight w:val="none"/>
                <w:lang w:eastAsia="zh"/>
              </w:rPr>
              <w:t>（含）</w:t>
            </w:r>
            <w:r>
              <w:rPr>
                <w:rFonts w:hint="eastAsia" w:ascii="宋体" w:hAnsi="宋体" w:cs="宋体"/>
                <w:kern w:val="0"/>
                <w:szCs w:val="21"/>
                <w:highlight w:val="none"/>
              </w:rPr>
              <w:t>加1分，以此类推，最高</w:t>
            </w:r>
            <w:r>
              <w:rPr>
                <w:rFonts w:hint="eastAsia" w:ascii="宋体" w:hAnsi="宋体" w:cs="宋体"/>
                <w:szCs w:val="21"/>
                <w:highlight w:val="none"/>
              </w:rPr>
              <w:t>【】</w:t>
            </w:r>
            <w:r>
              <w:rPr>
                <w:rFonts w:hint="eastAsia" w:ascii="宋体" w:hAnsi="宋体" w:cs="宋体"/>
                <w:kern w:val="0"/>
                <w:szCs w:val="21"/>
                <w:highlight w:val="none"/>
              </w:rPr>
              <w:t>分。</w:t>
            </w:r>
          </w:p>
          <w:p>
            <w:pPr>
              <w:jc w:val="left"/>
              <w:rPr>
                <w:rFonts w:hint="eastAsia" w:ascii="宋体" w:hAnsi="宋体" w:cs="宋体"/>
                <w:bCs/>
                <w:szCs w:val="21"/>
                <w:highlight w:val="none"/>
              </w:rPr>
            </w:pPr>
            <w:r>
              <w:rPr>
                <w:rFonts w:hint="eastAsia" w:ascii="宋体" w:hAnsi="宋体" w:cs="宋体"/>
                <w:kern w:val="0"/>
                <w:szCs w:val="21"/>
                <w:highlight w:val="none"/>
              </w:rPr>
              <w:t>【</w:t>
            </w:r>
            <w:r>
              <w:rPr>
                <w:rFonts w:hint="eastAsia" w:ascii="宋体" w:hAnsi="宋体" w:cs="宋体"/>
                <w:szCs w:val="21"/>
                <w:highlight w:val="none"/>
              </w:rPr>
              <w:t>注意：</w:t>
            </w:r>
            <w:r>
              <w:rPr>
                <w:rFonts w:hint="eastAsia" w:ascii="宋体" w:hAnsi="宋体" w:cs="宋体"/>
                <w:kern w:val="0"/>
                <w:szCs w:val="21"/>
                <w:highlight w:val="none"/>
              </w:rPr>
              <w:t>须提供酒店管理系统房态截图或携程网客房数量截图或其他证明材料，</w:t>
            </w:r>
            <w:r>
              <w:rPr>
                <w:rFonts w:hint="eastAsia" w:ascii="宋体" w:hAnsi="宋体" w:cs="宋体"/>
                <w:szCs w:val="21"/>
                <w:highlight w:val="none"/>
              </w:rPr>
              <w:t>未提供或不符合要求的不得分。</w:t>
            </w:r>
            <w:r>
              <w:rPr>
                <w:rFonts w:hint="eastAsia" w:ascii="宋体" w:hAnsi="宋体" w:cs="宋体"/>
                <w:kern w:val="0"/>
                <w:szCs w:val="21"/>
                <w:highlight w:val="none"/>
              </w:rPr>
              <w:t>】</w:t>
            </w:r>
          </w:p>
        </w:tc>
        <w:tc>
          <w:tcPr>
            <w:tcW w:w="113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widowControl/>
              <w:jc w:val="center"/>
              <w:rPr>
                <w:rFonts w:hint="eastAsia" w:ascii="宋体" w:hAnsi="宋体" w:cs="宋体"/>
                <w:szCs w:val="21"/>
                <w:highlight w:val="none"/>
              </w:rPr>
            </w:pPr>
            <w:r>
              <w:rPr>
                <w:rFonts w:hint="eastAsia" w:ascii="宋体" w:hAnsi="宋体" w:cs="宋体"/>
                <w:szCs w:val="21"/>
                <w:highlight w:val="none"/>
              </w:rPr>
              <w:t>【</w:t>
            </w:r>
            <w:r>
              <w:rPr>
                <w:rFonts w:hint="eastAsia" w:ascii="宋体" w:hAnsi="宋体" w:cs="宋体"/>
                <w:highlight w:val="none"/>
              </w:rPr>
              <w:t>】</w:t>
            </w:r>
          </w:p>
        </w:tc>
        <w:tc>
          <w:tcPr>
            <w:tcW w:w="113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widowControl/>
              <w:jc w:val="center"/>
              <w:rPr>
                <w:rFonts w:hint="eastAsia" w:ascii="宋体" w:hAnsi="宋体" w:cs="宋体"/>
                <w:szCs w:val="21"/>
                <w:highlight w:val="none"/>
              </w:rPr>
            </w:pPr>
            <w:r>
              <w:rPr>
                <w:rFonts w:hint="eastAsia" w:ascii="宋体" w:hAnsi="宋体" w:cs="宋体"/>
                <w:szCs w:val="21"/>
                <w:highlight w:val="none"/>
              </w:rPr>
              <w:t>客观项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76" w:hRule="atLeast"/>
          <w:jc w:val="center"/>
        </w:trPr>
        <w:tc>
          <w:tcPr>
            <w:tcW w:w="66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b/>
                <w:szCs w:val="21"/>
                <w:highlight w:val="none"/>
              </w:rPr>
            </w:pPr>
            <w:r>
              <w:rPr>
                <w:rFonts w:hint="eastAsia" w:ascii="宋体" w:hAnsi="宋体" w:cs="宋体"/>
                <w:b/>
                <w:szCs w:val="21"/>
                <w:highlight w:val="none"/>
              </w:rPr>
              <w:t>4</w:t>
            </w:r>
          </w:p>
        </w:tc>
        <w:tc>
          <w:tcPr>
            <w:tcW w:w="196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szCs w:val="21"/>
                <w:highlight w:val="none"/>
              </w:rPr>
            </w:pPr>
            <w:r>
              <w:rPr>
                <w:rFonts w:hint="eastAsia" w:ascii="宋体" w:hAnsi="宋体" w:cs="宋体"/>
                <w:szCs w:val="21"/>
                <w:highlight w:val="none"/>
              </w:rPr>
              <w:t>安全体系</w:t>
            </w:r>
          </w:p>
        </w:tc>
        <w:tc>
          <w:tcPr>
            <w:tcW w:w="513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left"/>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根据供应商酒店的安全体系完善情况进行评分：</w:t>
            </w:r>
          </w:p>
          <w:p>
            <w:pPr>
              <w:jc w:val="left"/>
              <w:rPr>
                <w:rFonts w:hint="eastAsia" w:ascii="宋体" w:hAnsi="宋体" w:cs="宋体"/>
                <w:kern w:val="0"/>
                <w:szCs w:val="21"/>
                <w:highlight w:val="none"/>
                <w:lang w:bidi="ar"/>
              </w:rPr>
            </w:pPr>
            <w:r>
              <w:rPr>
                <w:rFonts w:hint="eastAsia" w:ascii="宋体" w:hAnsi="宋体" w:cs="宋体"/>
                <w:kern w:val="0"/>
                <w:szCs w:val="21"/>
                <w:highlight w:val="none"/>
                <w:lang w:bidi="ar"/>
              </w:rPr>
              <w:t>1.酒店有完善的门禁系统（酒店电梯须安装刷卡门禁），摄像头覆盖全面，得</w:t>
            </w:r>
            <w:r>
              <w:rPr>
                <w:rFonts w:hint="eastAsia" w:ascii="宋体" w:hAnsi="宋体" w:cs="宋体"/>
                <w:szCs w:val="21"/>
                <w:highlight w:val="none"/>
              </w:rPr>
              <w:t>【</w:t>
            </w:r>
            <w:r>
              <w:rPr>
                <w:rFonts w:hint="eastAsia" w:ascii="宋体" w:hAnsi="宋体" w:cs="宋体"/>
                <w:kern w:val="0"/>
                <w:szCs w:val="21"/>
                <w:highlight w:val="none"/>
              </w:rPr>
              <w:t>】</w:t>
            </w:r>
            <w:r>
              <w:rPr>
                <w:rFonts w:hint="eastAsia" w:ascii="宋体" w:hAnsi="宋体" w:cs="宋体"/>
                <w:kern w:val="0"/>
                <w:szCs w:val="21"/>
                <w:highlight w:val="none"/>
                <w:lang w:bidi="ar"/>
              </w:rPr>
              <w:t>分；</w:t>
            </w:r>
          </w:p>
          <w:p>
            <w:pPr>
              <w:jc w:val="left"/>
              <w:rPr>
                <w:rFonts w:hint="eastAsia" w:ascii="宋体" w:hAnsi="宋体" w:cs="宋体"/>
                <w:kern w:val="0"/>
                <w:szCs w:val="21"/>
                <w:highlight w:val="none"/>
                <w:lang w:bidi="ar"/>
              </w:rPr>
            </w:pPr>
            <w:r>
              <w:rPr>
                <w:rFonts w:hint="eastAsia" w:ascii="宋体" w:hAnsi="宋体" w:cs="宋体"/>
                <w:kern w:val="0"/>
                <w:szCs w:val="21"/>
                <w:highlight w:val="none"/>
                <w:lang w:bidi="ar"/>
              </w:rPr>
              <w:t>2.设立独立监控室并24小时有专人值班，得</w:t>
            </w:r>
            <w:r>
              <w:rPr>
                <w:rFonts w:hint="eastAsia" w:ascii="宋体" w:hAnsi="宋体" w:cs="宋体"/>
                <w:szCs w:val="21"/>
                <w:highlight w:val="none"/>
              </w:rPr>
              <w:t>【】</w:t>
            </w:r>
            <w:r>
              <w:rPr>
                <w:rFonts w:hint="eastAsia" w:ascii="宋体" w:hAnsi="宋体" w:cs="宋体"/>
                <w:kern w:val="0"/>
                <w:szCs w:val="21"/>
                <w:highlight w:val="none"/>
                <w:lang w:bidi="ar"/>
              </w:rPr>
              <w:t>分；</w:t>
            </w:r>
          </w:p>
          <w:p>
            <w:pPr>
              <w:jc w:val="left"/>
              <w:rPr>
                <w:rFonts w:hint="eastAsia" w:ascii="宋体" w:hAnsi="宋体" w:cs="宋体"/>
                <w:kern w:val="0"/>
                <w:szCs w:val="21"/>
                <w:highlight w:val="none"/>
                <w:lang w:bidi="ar"/>
              </w:rPr>
            </w:pPr>
            <w:r>
              <w:rPr>
                <w:rFonts w:hint="eastAsia" w:ascii="宋体" w:hAnsi="宋体" w:cs="宋体"/>
                <w:kern w:val="0"/>
                <w:szCs w:val="21"/>
                <w:highlight w:val="none"/>
                <w:lang w:bidi="ar"/>
              </w:rPr>
              <w:t>3.对外来人员有来访登记制度，得</w:t>
            </w:r>
            <w:r>
              <w:rPr>
                <w:rFonts w:hint="eastAsia" w:ascii="宋体" w:hAnsi="宋体" w:cs="宋体"/>
                <w:szCs w:val="21"/>
                <w:highlight w:val="none"/>
              </w:rPr>
              <w:t>【】</w:t>
            </w:r>
            <w:r>
              <w:rPr>
                <w:rFonts w:hint="eastAsia" w:ascii="宋体" w:hAnsi="宋体" w:cs="宋体"/>
                <w:kern w:val="0"/>
                <w:szCs w:val="21"/>
                <w:highlight w:val="none"/>
                <w:lang w:bidi="ar"/>
              </w:rPr>
              <w:t>分；</w:t>
            </w:r>
          </w:p>
          <w:p>
            <w:pPr>
              <w:jc w:val="left"/>
              <w:rPr>
                <w:rFonts w:hint="eastAsia" w:ascii="宋体" w:hAnsi="宋体" w:cs="宋体"/>
                <w:kern w:val="0"/>
                <w:szCs w:val="21"/>
                <w:highlight w:val="none"/>
                <w:lang w:bidi="ar"/>
              </w:rPr>
            </w:pPr>
            <w:r>
              <w:rPr>
                <w:rFonts w:hint="eastAsia" w:ascii="宋体" w:hAnsi="宋体" w:cs="宋体"/>
                <w:kern w:val="0"/>
                <w:szCs w:val="21"/>
                <w:highlight w:val="none"/>
                <w:lang w:bidi="ar"/>
              </w:rPr>
              <w:t>4.酒店各公共区域配备灭火器、消防栓、防毒面具、逃生锤、安全出口指示图的，全部齐全的，得</w:t>
            </w:r>
            <w:r>
              <w:rPr>
                <w:rFonts w:hint="eastAsia" w:ascii="宋体" w:hAnsi="宋体" w:cs="宋体"/>
                <w:szCs w:val="21"/>
                <w:highlight w:val="none"/>
              </w:rPr>
              <w:t>【</w:t>
            </w:r>
            <w:r>
              <w:rPr>
                <w:rFonts w:hint="eastAsia" w:ascii="宋体" w:hAnsi="宋体" w:cs="宋体"/>
                <w:kern w:val="0"/>
                <w:szCs w:val="21"/>
                <w:highlight w:val="none"/>
              </w:rPr>
              <w:t>】</w:t>
            </w:r>
            <w:r>
              <w:rPr>
                <w:rFonts w:hint="eastAsia" w:ascii="宋体" w:hAnsi="宋体" w:cs="宋体"/>
                <w:kern w:val="0"/>
                <w:szCs w:val="21"/>
                <w:highlight w:val="none"/>
                <w:lang w:bidi="ar"/>
              </w:rPr>
              <w:t>分。</w:t>
            </w:r>
          </w:p>
          <w:p>
            <w:pPr>
              <w:jc w:val="left"/>
              <w:rPr>
                <w:rFonts w:hint="eastAsia" w:ascii="宋体" w:hAnsi="宋体" w:cs="宋体"/>
                <w:kern w:val="0"/>
                <w:szCs w:val="21"/>
                <w:highlight w:val="none"/>
                <w:lang w:bidi="ar"/>
              </w:rPr>
            </w:pPr>
            <w:r>
              <w:rPr>
                <w:rFonts w:hint="eastAsia" w:ascii="宋体" w:hAnsi="宋体" w:cs="宋体"/>
                <w:kern w:val="0"/>
                <w:szCs w:val="21"/>
                <w:highlight w:val="none"/>
                <w:lang w:bidi="ar"/>
              </w:rPr>
              <w:t>【</w:t>
            </w:r>
            <w:r>
              <w:rPr>
                <w:rFonts w:hint="eastAsia" w:ascii="宋体" w:hAnsi="宋体" w:cs="宋体"/>
                <w:szCs w:val="21"/>
                <w:highlight w:val="none"/>
              </w:rPr>
              <w:t>注意：</w:t>
            </w:r>
            <w:r>
              <w:rPr>
                <w:rFonts w:hint="eastAsia" w:ascii="宋体" w:hAnsi="宋体" w:cs="宋体"/>
                <w:kern w:val="0"/>
                <w:szCs w:val="21"/>
                <w:highlight w:val="none"/>
                <w:lang w:bidi="ar"/>
              </w:rPr>
              <w:t>须提供现场图片作为证明材料，</w:t>
            </w:r>
            <w:r>
              <w:rPr>
                <w:rFonts w:hint="eastAsia" w:ascii="宋体" w:hAnsi="宋体" w:cs="宋体"/>
                <w:szCs w:val="21"/>
                <w:highlight w:val="none"/>
              </w:rPr>
              <w:t>未提供或不符合要求的不得分。</w:t>
            </w:r>
            <w:r>
              <w:rPr>
                <w:rFonts w:hint="eastAsia" w:ascii="宋体" w:hAnsi="宋体" w:cs="宋体"/>
                <w:kern w:val="0"/>
                <w:szCs w:val="21"/>
                <w:highlight w:val="none"/>
                <w:lang w:bidi="ar"/>
              </w:rPr>
              <w:t>】</w:t>
            </w:r>
          </w:p>
          <w:p>
            <w:pPr>
              <w:jc w:val="left"/>
              <w:rPr>
                <w:rFonts w:hint="eastAsia" w:ascii="宋体" w:hAnsi="宋体" w:cs="宋体"/>
                <w:szCs w:val="21"/>
                <w:highlight w:val="none"/>
              </w:rPr>
            </w:pPr>
            <w:r>
              <w:rPr>
                <w:rFonts w:hint="eastAsia"/>
                <w:highlight w:val="none"/>
              </w:rPr>
              <w:t>注：要求供应商按照第六章格式十-4提供。</w:t>
            </w:r>
          </w:p>
        </w:tc>
        <w:tc>
          <w:tcPr>
            <w:tcW w:w="113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widowControl/>
              <w:jc w:val="center"/>
              <w:rPr>
                <w:rFonts w:hint="eastAsia" w:ascii="宋体" w:hAnsi="宋体" w:cs="宋体"/>
                <w:szCs w:val="21"/>
                <w:highlight w:val="none"/>
              </w:rPr>
            </w:pPr>
            <w:r>
              <w:rPr>
                <w:rFonts w:hint="eastAsia" w:ascii="宋体" w:hAnsi="宋体" w:cs="宋体"/>
                <w:szCs w:val="21"/>
                <w:highlight w:val="none"/>
              </w:rPr>
              <w:t>【</w:t>
            </w:r>
            <w:r>
              <w:rPr>
                <w:rFonts w:hint="eastAsia" w:ascii="宋体" w:hAnsi="宋体" w:cs="宋体"/>
                <w:highlight w:val="none"/>
              </w:rPr>
              <w:t>】</w:t>
            </w:r>
          </w:p>
        </w:tc>
        <w:tc>
          <w:tcPr>
            <w:tcW w:w="113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widowControl/>
              <w:jc w:val="center"/>
              <w:rPr>
                <w:rFonts w:hint="eastAsia" w:ascii="宋体" w:hAnsi="宋体" w:cs="宋体"/>
                <w:szCs w:val="21"/>
                <w:highlight w:val="none"/>
              </w:rPr>
            </w:pPr>
            <w:r>
              <w:rPr>
                <w:rFonts w:hint="eastAsia" w:ascii="宋体" w:hAnsi="宋体" w:cs="宋体"/>
                <w:szCs w:val="21"/>
                <w:highlight w:val="none"/>
              </w:rPr>
              <w:t>客观项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76" w:hRule="atLeast"/>
          <w:jc w:val="center"/>
        </w:trPr>
        <w:tc>
          <w:tcPr>
            <w:tcW w:w="66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b/>
                <w:szCs w:val="21"/>
                <w:highlight w:val="none"/>
              </w:rPr>
            </w:pPr>
            <w:r>
              <w:rPr>
                <w:rFonts w:hint="eastAsia" w:ascii="宋体" w:hAnsi="宋体" w:cs="宋体"/>
                <w:b/>
                <w:szCs w:val="21"/>
                <w:highlight w:val="none"/>
              </w:rPr>
              <w:t>5</w:t>
            </w:r>
          </w:p>
        </w:tc>
        <w:tc>
          <w:tcPr>
            <w:tcW w:w="196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bCs/>
                <w:szCs w:val="21"/>
                <w:highlight w:val="none"/>
              </w:rPr>
            </w:pPr>
            <w:r>
              <w:rPr>
                <w:rFonts w:hint="eastAsia" w:ascii="宋体" w:hAnsi="宋体" w:cs="宋体"/>
                <w:szCs w:val="21"/>
                <w:highlight w:val="none"/>
              </w:rPr>
              <w:t>航延响应程度</w:t>
            </w:r>
          </w:p>
        </w:tc>
        <w:tc>
          <w:tcPr>
            <w:tcW w:w="513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left"/>
              <w:rPr>
                <w:rFonts w:hint="eastAsia" w:ascii="宋体" w:hAnsi="宋体" w:cs="宋体"/>
                <w:kern w:val="0"/>
                <w:szCs w:val="21"/>
                <w:highlight w:val="none"/>
                <w:lang w:bidi="ar"/>
              </w:rPr>
            </w:pPr>
            <w:r>
              <w:rPr>
                <w:rFonts w:hint="eastAsia" w:ascii="宋体" w:hAnsi="宋体" w:cs="宋体"/>
                <w:color w:val="000000"/>
                <w:kern w:val="0"/>
                <w:szCs w:val="21"/>
                <w:highlight w:val="none"/>
                <w:lang w:bidi="ar"/>
              </w:rPr>
              <w:t>根据大面积航延时，供应商能提供的床位进行评分：</w:t>
            </w:r>
          </w:p>
          <w:p>
            <w:pPr>
              <w:jc w:val="left"/>
              <w:rPr>
                <w:rFonts w:hint="eastAsia" w:ascii="宋体" w:hAnsi="宋体" w:cs="宋体"/>
                <w:kern w:val="0"/>
                <w:szCs w:val="21"/>
                <w:highlight w:val="none"/>
                <w:lang w:bidi="ar"/>
              </w:rPr>
            </w:pPr>
            <w:r>
              <w:rPr>
                <w:rFonts w:hint="eastAsia" w:ascii="宋体" w:hAnsi="宋体" w:cs="宋体"/>
                <w:kern w:val="0"/>
                <w:szCs w:val="21"/>
                <w:highlight w:val="none"/>
                <w:lang w:bidi="ar"/>
              </w:rPr>
              <w:t>【】地区发生大面积航延时，能确认优先保障南航航延旅客，提供</w:t>
            </w:r>
            <w:r>
              <w:rPr>
                <w:rFonts w:hint="eastAsia" w:ascii="宋体" w:hAnsi="宋体" w:cs="宋体"/>
                <w:szCs w:val="21"/>
                <w:highlight w:val="none"/>
              </w:rPr>
              <w:t>【】</w:t>
            </w:r>
            <w:r>
              <w:rPr>
                <w:rFonts w:hint="eastAsia" w:ascii="宋体" w:hAnsi="宋体" w:cs="宋体"/>
                <w:kern w:val="0"/>
                <w:szCs w:val="21"/>
                <w:highlight w:val="none"/>
                <w:lang w:bidi="ar"/>
              </w:rPr>
              <w:t>个床位得</w:t>
            </w:r>
            <w:r>
              <w:rPr>
                <w:rFonts w:hint="eastAsia" w:ascii="宋体" w:hAnsi="宋体" w:cs="宋体"/>
                <w:szCs w:val="21"/>
                <w:highlight w:val="none"/>
              </w:rPr>
              <w:t>【</w:t>
            </w:r>
            <w:r>
              <w:rPr>
                <w:rFonts w:hint="eastAsia" w:ascii="宋体" w:hAnsi="宋体" w:cs="宋体"/>
                <w:kern w:val="0"/>
                <w:szCs w:val="21"/>
                <w:highlight w:val="none"/>
                <w:lang w:bidi="ar"/>
              </w:rPr>
              <w:t xml:space="preserve"> </w:t>
            </w:r>
            <w:r>
              <w:rPr>
                <w:rFonts w:hint="eastAsia" w:ascii="宋体" w:hAnsi="宋体" w:cs="宋体"/>
                <w:szCs w:val="21"/>
                <w:highlight w:val="none"/>
              </w:rPr>
              <w:t>】</w:t>
            </w:r>
            <w:r>
              <w:rPr>
                <w:rFonts w:hint="eastAsia" w:ascii="宋体" w:hAnsi="宋体" w:cs="宋体"/>
                <w:kern w:val="0"/>
                <w:szCs w:val="21"/>
                <w:highlight w:val="none"/>
                <w:lang w:bidi="ar"/>
              </w:rPr>
              <w:t>分，每确认增加</w:t>
            </w:r>
            <w:r>
              <w:rPr>
                <w:rFonts w:hint="eastAsia" w:ascii="宋体" w:hAnsi="宋体" w:cs="宋体"/>
                <w:szCs w:val="21"/>
                <w:highlight w:val="none"/>
              </w:rPr>
              <w:t>【】</w:t>
            </w:r>
            <w:r>
              <w:rPr>
                <w:rFonts w:hint="eastAsia" w:ascii="宋体" w:hAnsi="宋体" w:cs="宋体"/>
                <w:kern w:val="0"/>
                <w:szCs w:val="21"/>
                <w:highlight w:val="none"/>
                <w:lang w:bidi="ar"/>
              </w:rPr>
              <w:t>个床位的加1分，本项最高得分为</w:t>
            </w:r>
            <w:r>
              <w:rPr>
                <w:rFonts w:hint="eastAsia" w:ascii="宋体" w:hAnsi="宋体" w:cs="宋体"/>
                <w:szCs w:val="21"/>
                <w:highlight w:val="none"/>
              </w:rPr>
              <w:t>【】</w:t>
            </w:r>
            <w:r>
              <w:rPr>
                <w:rFonts w:hint="eastAsia" w:ascii="宋体" w:hAnsi="宋体" w:cs="宋体"/>
                <w:kern w:val="0"/>
                <w:szCs w:val="21"/>
                <w:highlight w:val="none"/>
                <w:lang w:bidi="ar"/>
              </w:rPr>
              <w:t>分。</w:t>
            </w:r>
          </w:p>
          <w:p>
            <w:pPr>
              <w:jc w:val="left"/>
              <w:rPr>
                <w:rFonts w:hint="eastAsia" w:ascii="宋体" w:hAnsi="宋体" w:cs="宋体"/>
                <w:bCs/>
                <w:szCs w:val="21"/>
                <w:highlight w:val="none"/>
              </w:rPr>
            </w:pPr>
            <w:r>
              <w:rPr>
                <w:rFonts w:hint="eastAsia" w:ascii="宋体" w:hAnsi="宋体" w:cs="宋体"/>
                <w:kern w:val="0"/>
                <w:szCs w:val="21"/>
                <w:highlight w:val="none"/>
                <w:lang w:bidi="ar"/>
              </w:rPr>
              <w:t>【</w:t>
            </w:r>
            <w:r>
              <w:rPr>
                <w:rFonts w:hint="eastAsia" w:ascii="宋体" w:hAnsi="宋体" w:cs="宋体"/>
                <w:szCs w:val="21"/>
                <w:highlight w:val="none"/>
              </w:rPr>
              <w:t>注意：</w:t>
            </w:r>
            <w:r>
              <w:rPr>
                <w:rFonts w:hint="eastAsia" w:ascii="宋体" w:hAnsi="宋体" w:cs="宋体"/>
                <w:kern w:val="0"/>
                <w:szCs w:val="21"/>
                <w:highlight w:val="none"/>
                <w:lang w:bidi="ar"/>
              </w:rPr>
              <w:t>须针对本项提供航延响应材料，未提供的不得分</w:t>
            </w:r>
            <w:r>
              <w:rPr>
                <w:rFonts w:hint="eastAsia" w:ascii="宋体" w:hAnsi="宋体" w:cs="宋体"/>
                <w:kern w:val="0"/>
                <w:szCs w:val="21"/>
                <w:highlight w:val="none"/>
                <w:lang w:eastAsia="zh" w:bidi="ar"/>
              </w:rPr>
              <w:t>。响应内容将在合同中约定，如未满足，采购人有权按约处理。</w:t>
            </w:r>
            <w:r>
              <w:rPr>
                <w:rFonts w:hint="eastAsia" w:ascii="宋体" w:hAnsi="宋体" w:cs="宋体"/>
                <w:kern w:val="0"/>
                <w:szCs w:val="21"/>
                <w:highlight w:val="none"/>
                <w:lang w:bidi="ar"/>
              </w:rPr>
              <w:t>】</w:t>
            </w:r>
          </w:p>
        </w:tc>
        <w:tc>
          <w:tcPr>
            <w:tcW w:w="113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bCs/>
                <w:szCs w:val="21"/>
                <w:highlight w:val="none"/>
              </w:rPr>
            </w:pPr>
            <w:r>
              <w:rPr>
                <w:rFonts w:hint="eastAsia" w:ascii="宋体" w:hAnsi="宋体" w:cs="宋体"/>
                <w:szCs w:val="21"/>
                <w:highlight w:val="none"/>
              </w:rPr>
              <w:t>【</w:t>
            </w:r>
            <w:r>
              <w:rPr>
                <w:rFonts w:hint="eastAsia" w:ascii="宋体" w:hAnsi="宋体" w:cs="宋体"/>
                <w:highlight w:val="none"/>
              </w:rPr>
              <w:t>】</w:t>
            </w:r>
          </w:p>
        </w:tc>
        <w:tc>
          <w:tcPr>
            <w:tcW w:w="113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szCs w:val="21"/>
                <w:highlight w:val="none"/>
              </w:rPr>
            </w:pPr>
            <w:r>
              <w:rPr>
                <w:rFonts w:hint="eastAsia" w:ascii="宋体" w:hAnsi="宋体" w:cs="宋体"/>
                <w:szCs w:val="21"/>
                <w:highlight w:val="none"/>
              </w:rPr>
              <w:t>主观项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76" w:hRule="atLeast"/>
          <w:jc w:val="center"/>
        </w:trPr>
        <w:tc>
          <w:tcPr>
            <w:tcW w:w="66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b/>
                <w:szCs w:val="21"/>
                <w:highlight w:val="none"/>
              </w:rPr>
            </w:pPr>
            <w:r>
              <w:rPr>
                <w:rFonts w:hint="eastAsia" w:ascii="宋体" w:hAnsi="宋体" w:cs="宋体"/>
                <w:b/>
                <w:szCs w:val="21"/>
                <w:highlight w:val="none"/>
              </w:rPr>
              <w:t>6</w:t>
            </w:r>
          </w:p>
        </w:tc>
        <w:tc>
          <w:tcPr>
            <w:tcW w:w="196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szCs w:val="21"/>
                <w:highlight w:val="none"/>
              </w:rPr>
            </w:pPr>
            <w:r>
              <w:rPr>
                <w:rFonts w:hint="eastAsia" w:ascii="宋体" w:hAnsi="宋体" w:cs="宋体"/>
                <w:szCs w:val="21"/>
                <w:highlight w:val="none"/>
              </w:rPr>
              <w:t>车程距离</w:t>
            </w:r>
          </w:p>
        </w:tc>
        <w:tc>
          <w:tcPr>
            <w:tcW w:w="513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left"/>
              <w:rPr>
                <w:rFonts w:hint="eastAsia" w:ascii="宋体" w:hAnsi="宋体" w:cs="宋体"/>
                <w:kern w:val="0"/>
                <w:szCs w:val="21"/>
                <w:highlight w:val="none"/>
                <w:lang w:bidi="ar"/>
              </w:rPr>
            </w:pPr>
            <w:r>
              <w:rPr>
                <w:rFonts w:hint="eastAsia" w:ascii="宋体" w:hAnsi="宋体" w:cs="宋体"/>
                <w:color w:val="000000"/>
                <w:kern w:val="0"/>
                <w:szCs w:val="21"/>
                <w:highlight w:val="none"/>
                <w:lang w:eastAsia="zh" w:bidi="ar"/>
              </w:rPr>
              <w:t>根据酒店至【×××】机场【T×航站楼】</w:t>
            </w:r>
            <w:r>
              <w:rPr>
                <w:rFonts w:hint="eastAsia" w:ascii="宋体" w:hAnsi="宋体" w:cs="宋体"/>
                <w:color w:val="0000FF"/>
                <w:kern w:val="0"/>
                <w:szCs w:val="21"/>
                <w:highlight w:val="none"/>
                <w:lang w:bidi="ar"/>
              </w:rPr>
              <w:t>（若</w:t>
            </w:r>
            <w:r>
              <w:rPr>
                <w:rFonts w:hint="eastAsia" w:ascii="宋体" w:hAnsi="宋体" w:cs="宋体"/>
                <w:color w:val="0000FF"/>
                <w:kern w:val="0"/>
                <w:szCs w:val="21"/>
                <w:highlight w:val="none"/>
                <w:lang w:eastAsia="zh" w:bidi="ar"/>
              </w:rPr>
              <w:t>没有多个航站楼可删除</w:t>
            </w:r>
            <w:r>
              <w:rPr>
                <w:rFonts w:hint="eastAsia" w:ascii="宋体" w:hAnsi="宋体" w:cs="宋体"/>
                <w:color w:val="0000FF"/>
                <w:kern w:val="0"/>
                <w:szCs w:val="21"/>
                <w:highlight w:val="none"/>
                <w:lang w:bidi="ar"/>
              </w:rPr>
              <w:t>）</w:t>
            </w:r>
            <w:r>
              <w:rPr>
                <w:rFonts w:hint="eastAsia" w:ascii="宋体" w:hAnsi="宋体" w:cs="宋体"/>
                <w:color w:val="000000"/>
                <w:kern w:val="0"/>
                <w:szCs w:val="21"/>
                <w:highlight w:val="none"/>
                <w:lang w:eastAsia="zh" w:bidi="ar"/>
              </w:rPr>
              <w:t>的车辆驾驶单程车程时间进行评分</w:t>
            </w:r>
            <w:r>
              <w:rPr>
                <w:rFonts w:hint="eastAsia" w:ascii="宋体" w:hAnsi="宋体" w:cs="宋体"/>
                <w:color w:val="000000"/>
                <w:kern w:val="0"/>
                <w:szCs w:val="21"/>
                <w:highlight w:val="none"/>
                <w:lang w:bidi="ar"/>
              </w:rPr>
              <w:t>：</w:t>
            </w:r>
          </w:p>
          <w:p>
            <w:pPr>
              <w:jc w:val="left"/>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1.</w:t>
            </w:r>
            <w:r>
              <w:rPr>
                <w:rFonts w:hint="eastAsia" w:ascii="宋体" w:hAnsi="宋体" w:cs="宋体"/>
                <w:szCs w:val="21"/>
                <w:highlight w:val="none"/>
              </w:rPr>
              <w:t>【</w:t>
            </w:r>
            <w:r>
              <w:rPr>
                <w:rFonts w:hint="eastAsia" w:ascii="宋体" w:hAnsi="宋体" w:cs="宋体"/>
                <w:color w:val="000000"/>
                <w:kern w:val="0"/>
                <w:szCs w:val="21"/>
                <w:highlight w:val="none"/>
                <w:lang w:bidi="ar"/>
              </w:rPr>
              <w:t>10</w:t>
            </w:r>
            <w:r>
              <w:rPr>
                <w:rFonts w:hint="eastAsia" w:ascii="宋体" w:hAnsi="宋体" w:cs="宋体"/>
                <w:szCs w:val="21"/>
                <w:highlight w:val="none"/>
              </w:rPr>
              <w:t>】</w:t>
            </w:r>
            <w:r>
              <w:rPr>
                <w:rFonts w:hint="eastAsia" w:ascii="宋体" w:hAnsi="宋体" w:cs="宋体"/>
                <w:color w:val="000000"/>
                <w:kern w:val="0"/>
                <w:szCs w:val="21"/>
                <w:highlight w:val="none"/>
                <w:lang w:bidi="ar"/>
              </w:rPr>
              <w:t>分钟（不含）</w:t>
            </w:r>
            <w:r>
              <w:rPr>
                <w:rFonts w:hint="eastAsia" w:ascii="宋体" w:hAnsi="宋体" w:cs="宋体"/>
                <w:color w:val="000000"/>
                <w:kern w:val="0"/>
                <w:szCs w:val="21"/>
                <w:highlight w:val="none"/>
                <w:lang w:eastAsia="zh" w:bidi="ar"/>
              </w:rPr>
              <w:t>以下</w:t>
            </w:r>
            <w:r>
              <w:rPr>
                <w:rFonts w:hint="eastAsia" w:ascii="宋体" w:hAnsi="宋体" w:cs="宋体"/>
                <w:color w:val="000000"/>
                <w:kern w:val="0"/>
                <w:szCs w:val="21"/>
                <w:highlight w:val="none"/>
                <w:lang w:bidi="ar"/>
              </w:rPr>
              <w:t>，得</w:t>
            </w:r>
            <w:r>
              <w:rPr>
                <w:rFonts w:hint="eastAsia" w:ascii="宋体" w:hAnsi="宋体" w:cs="宋体"/>
                <w:szCs w:val="21"/>
                <w:highlight w:val="none"/>
              </w:rPr>
              <w:t>【】</w:t>
            </w:r>
            <w:r>
              <w:rPr>
                <w:rFonts w:hint="eastAsia" w:ascii="宋体" w:hAnsi="宋体" w:cs="宋体"/>
                <w:color w:val="000000"/>
                <w:kern w:val="0"/>
                <w:szCs w:val="21"/>
                <w:highlight w:val="none"/>
                <w:lang w:bidi="ar"/>
              </w:rPr>
              <w:t>分；</w:t>
            </w:r>
          </w:p>
          <w:p>
            <w:pPr>
              <w:jc w:val="left"/>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2.</w:t>
            </w:r>
            <w:r>
              <w:rPr>
                <w:rFonts w:hint="eastAsia" w:ascii="宋体" w:hAnsi="宋体" w:cs="宋体"/>
                <w:szCs w:val="21"/>
                <w:highlight w:val="none"/>
              </w:rPr>
              <w:t>【</w:t>
            </w:r>
            <w:r>
              <w:rPr>
                <w:rFonts w:hint="eastAsia" w:ascii="宋体" w:hAnsi="宋体" w:cs="宋体"/>
                <w:color w:val="000000"/>
                <w:kern w:val="0"/>
                <w:szCs w:val="21"/>
                <w:highlight w:val="none"/>
                <w:lang w:bidi="ar"/>
              </w:rPr>
              <w:t>10</w:t>
            </w:r>
            <w:r>
              <w:rPr>
                <w:rFonts w:hint="eastAsia" w:ascii="宋体" w:hAnsi="宋体" w:cs="宋体"/>
                <w:szCs w:val="21"/>
                <w:highlight w:val="none"/>
              </w:rPr>
              <w:t>】</w:t>
            </w:r>
            <w:r>
              <w:rPr>
                <w:rFonts w:hint="eastAsia" w:ascii="宋体" w:hAnsi="宋体" w:cs="宋体"/>
                <w:color w:val="000000"/>
                <w:kern w:val="0"/>
                <w:szCs w:val="21"/>
                <w:highlight w:val="none"/>
                <w:lang w:bidi="ar"/>
              </w:rPr>
              <w:t>（含）-</w:t>
            </w:r>
            <w:r>
              <w:rPr>
                <w:rFonts w:hint="eastAsia" w:ascii="宋体" w:hAnsi="宋体" w:cs="宋体"/>
                <w:szCs w:val="21"/>
                <w:highlight w:val="none"/>
              </w:rPr>
              <w:t>【</w:t>
            </w:r>
            <w:r>
              <w:rPr>
                <w:rFonts w:hint="eastAsia" w:ascii="宋体" w:hAnsi="宋体" w:cs="宋体"/>
                <w:color w:val="000000"/>
                <w:kern w:val="0"/>
                <w:szCs w:val="21"/>
                <w:highlight w:val="none"/>
                <w:lang w:bidi="ar"/>
              </w:rPr>
              <w:t>15</w:t>
            </w:r>
            <w:r>
              <w:rPr>
                <w:rFonts w:hint="eastAsia" w:ascii="宋体" w:hAnsi="宋体" w:cs="宋体"/>
                <w:szCs w:val="21"/>
                <w:highlight w:val="none"/>
              </w:rPr>
              <w:t>】</w:t>
            </w:r>
            <w:r>
              <w:rPr>
                <w:rFonts w:hint="eastAsia" w:ascii="宋体" w:hAnsi="宋体" w:cs="宋体"/>
                <w:color w:val="000000"/>
                <w:kern w:val="0"/>
                <w:szCs w:val="21"/>
                <w:highlight w:val="none"/>
                <w:lang w:bidi="ar"/>
              </w:rPr>
              <w:t>分钟（不含），得</w:t>
            </w:r>
            <w:r>
              <w:rPr>
                <w:rFonts w:hint="eastAsia" w:ascii="宋体" w:hAnsi="宋体" w:cs="宋体"/>
                <w:szCs w:val="21"/>
                <w:highlight w:val="none"/>
              </w:rPr>
              <w:t>【】</w:t>
            </w:r>
            <w:r>
              <w:rPr>
                <w:rFonts w:hint="eastAsia" w:ascii="宋体" w:hAnsi="宋体" w:cs="宋体"/>
                <w:color w:val="000000"/>
                <w:kern w:val="0"/>
                <w:szCs w:val="21"/>
                <w:highlight w:val="none"/>
                <w:lang w:bidi="ar"/>
              </w:rPr>
              <w:t>分；</w:t>
            </w:r>
          </w:p>
          <w:p>
            <w:pPr>
              <w:jc w:val="left"/>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3.</w:t>
            </w:r>
            <w:r>
              <w:rPr>
                <w:rFonts w:hint="eastAsia" w:ascii="宋体" w:hAnsi="宋体" w:cs="宋体"/>
                <w:szCs w:val="21"/>
                <w:highlight w:val="none"/>
              </w:rPr>
              <w:t>【</w:t>
            </w:r>
            <w:r>
              <w:rPr>
                <w:rFonts w:hint="eastAsia" w:ascii="宋体" w:hAnsi="宋体" w:cs="宋体"/>
                <w:color w:val="000000"/>
                <w:kern w:val="0"/>
                <w:szCs w:val="21"/>
                <w:highlight w:val="none"/>
                <w:lang w:bidi="ar"/>
              </w:rPr>
              <w:t>15</w:t>
            </w:r>
            <w:r>
              <w:rPr>
                <w:rFonts w:hint="eastAsia" w:ascii="宋体" w:hAnsi="宋体" w:cs="宋体"/>
                <w:szCs w:val="21"/>
                <w:highlight w:val="none"/>
              </w:rPr>
              <w:t>】</w:t>
            </w:r>
            <w:r>
              <w:rPr>
                <w:rFonts w:hint="eastAsia" w:ascii="宋体" w:hAnsi="宋体" w:cs="宋体"/>
                <w:color w:val="000000"/>
                <w:kern w:val="0"/>
                <w:szCs w:val="21"/>
                <w:highlight w:val="none"/>
                <w:lang w:bidi="ar"/>
              </w:rPr>
              <w:t>（含）-</w:t>
            </w:r>
            <w:r>
              <w:rPr>
                <w:rFonts w:hint="eastAsia" w:ascii="宋体" w:hAnsi="宋体" w:cs="宋体"/>
                <w:szCs w:val="21"/>
                <w:highlight w:val="none"/>
              </w:rPr>
              <w:t>【</w:t>
            </w:r>
            <w:r>
              <w:rPr>
                <w:rFonts w:hint="eastAsia" w:ascii="宋体" w:hAnsi="宋体" w:cs="宋体"/>
                <w:color w:val="000000"/>
                <w:kern w:val="0"/>
                <w:szCs w:val="21"/>
                <w:highlight w:val="none"/>
                <w:lang w:bidi="ar"/>
              </w:rPr>
              <w:t>20</w:t>
            </w:r>
            <w:r>
              <w:rPr>
                <w:rFonts w:hint="eastAsia" w:ascii="宋体" w:hAnsi="宋体" w:cs="宋体"/>
                <w:szCs w:val="21"/>
                <w:highlight w:val="none"/>
              </w:rPr>
              <w:t>】</w:t>
            </w:r>
            <w:r>
              <w:rPr>
                <w:rFonts w:hint="eastAsia" w:ascii="宋体" w:hAnsi="宋体" w:cs="宋体"/>
                <w:color w:val="000000"/>
                <w:kern w:val="0"/>
                <w:szCs w:val="21"/>
                <w:highlight w:val="none"/>
                <w:lang w:bidi="ar"/>
              </w:rPr>
              <w:t>分钟（不含），得</w:t>
            </w:r>
            <w:r>
              <w:rPr>
                <w:rFonts w:hint="eastAsia" w:ascii="宋体" w:hAnsi="宋体" w:cs="宋体"/>
                <w:szCs w:val="21"/>
                <w:highlight w:val="none"/>
              </w:rPr>
              <w:t>【】</w:t>
            </w:r>
            <w:r>
              <w:rPr>
                <w:rFonts w:hint="eastAsia" w:ascii="宋体" w:hAnsi="宋体" w:cs="宋体"/>
                <w:color w:val="000000"/>
                <w:kern w:val="0"/>
                <w:szCs w:val="21"/>
                <w:highlight w:val="none"/>
                <w:lang w:bidi="ar"/>
              </w:rPr>
              <w:t>分；</w:t>
            </w:r>
          </w:p>
          <w:p>
            <w:pPr>
              <w:jc w:val="left"/>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4.</w:t>
            </w:r>
            <w:r>
              <w:rPr>
                <w:rFonts w:hint="eastAsia" w:ascii="宋体" w:hAnsi="宋体" w:cs="宋体"/>
                <w:szCs w:val="21"/>
                <w:highlight w:val="none"/>
              </w:rPr>
              <w:t>【</w:t>
            </w:r>
            <w:r>
              <w:rPr>
                <w:rFonts w:hint="eastAsia" w:ascii="宋体" w:hAnsi="宋体" w:cs="宋体"/>
                <w:color w:val="000000"/>
                <w:kern w:val="0"/>
                <w:szCs w:val="21"/>
                <w:highlight w:val="none"/>
                <w:lang w:bidi="ar"/>
              </w:rPr>
              <w:t>20</w:t>
            </w:r>
            <w:r>
              <w:rPr>
                <w:rFonts w:hint="eastAsia" w:ascii="宋体" w:hAnsi="宋体" w:cs="宋体"/>
                <w:szCs w:val="21"/>
                <w:highlight w:val="none"/>
              </w:rPr>
              <w:t>】</w:t>
            </w:r>
            <w:r>
              <w:rPr>
                <w:rFonts w:hint="eastAsia" w:ascii="宋体" w:hAnsi="宋体" w:cs="宋体"/>
                <w:color w:val="000000"/>
                <w:kern w:val="0"/>
                <w:szCs w:val="21"/>
                <w:highlight w:val="none"/>
                <w:lang w:bidi="ar"/>
              </w:rPr>
              <w:t>（含）-</w:t>
            </w:r>
            <w:r>
              <w:rPr>
                <w:rFonts w:hint="eastAsia" w:ascii="宋体" w:hAnsi="宋体" w:cs="宋体"/>
                <w:szCs w:val="21"/>
                <w:highlight w:val="none"/>
              </w:rPr>
              <w:t>【</w:t>
            </w:r>
            <w:r>
              <w:rPr>
                <w:rFonts w:hint="eastAsia" w:ascii="宋体" w:hAnsi="宋体" w:cs="宋体"/>
                <w:color w:val="000000"/>
                <w:kern w:val="0"/>
                <w:szCs w:val="21"/>
                <w:highlight w:val="none"/>
                <w:lang w:bidi="ar"/>
              </w:rPr>
              <w:t>25</w:t>
            </w:r>
            <w:r>
              <w:rPr>
                <w:rFonts w:hint="eastAsia" w:ascii="宋体" w:hAnsi="宋体" w:cs="宋体"/>
                <w:szCs w:val="21"/>
                <w:highlight w:val="none"/>
              </w:rPr>
              <w:t>】</w:t>
            </w:r>
            <w:r>
              <w:rPr>
                <w:rFonts w:hint="eastAsia" w:ascii="宋体" w:hAnsi="宋体" w:cs="宋体"/>
                <w:color w:val="000000"/>
                <w:kern w:val="0"/>
                <w:szCs w:val="21"/>
                <w:highlight w:val="none"/>
                <w:lang w:bidi="ar"/>
              </w:rPr>
              <w:t>分钟（不含），得</w:t>
            </w:r>
            <w:r>
              <w:rPr>
                <w:rFonts w:hint="eastAsia" w:ascii="宋体" w:hAnsi="宋体" w:cs="宋体"/>
                <w:szCs w:val="21"/>
                <w:highlight w:val="none"/>
              </w:rPr>
              <w:t>【】</w:t>
            </w:r>
            <w:r>
              <w:rPr>
                <w:rFonts w:hint="eastAsia" w:ascii="宋体" w:hAnsi="宋体" w:cs="宋体"/>
                <w:color w:val="000000"/>
                <w:kern w:val="0"/>
                <w:szCs w:val="21"/>
                <w:highlight w:val="none"/>
                <w:lang w:bidi="ar"/>
              </w:rPr>
              <w:t>分；</w:t>
            </w:r>
          </w:p>
          <w:p>
            <w:pPr>
              <w:jc w:val="left"/>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5.</w:t>
            </w:r>
            <w:r>
              <w:rPr>
                <w:rFonts w:hint="eastAsia" w:ascii="宋体" w:hAnsi="宋体" w:cs="宋体"/>
                <w:szCs w:val="21"/>
                <w:highlight w:val="none"/>
              </w:rPr>
              <w:t>【</w:t>
            </w:r>
            <w:r>
              <w:rPr>
                <w:rFonts w:hint="eastAsia" w:ascii="宋体" w:hAnsi="宋体" w:cs="宋体"/>
                <w:color w:val="000000"/>
                <w:kern w:val="0"/>
                <w:szCs w:val="21"/>
                <w:highlight w:val="none"/>
                <w:lang w:bidi="ar"/>
              </w:rPr>
              <w:t>25</w:t>
            </w:r>
            <w:r>
              <w:rPr>
                <w:rFonts w:hint="eastAsia" w:ascii="宋体" w:hAnsi="宋体" w:cs="宋体"/>
                <w:szCs w:val="21"/>
                <w:highlight w:val="none"/>
              </w:rPr>
              <w:t>】</w:t>
            </w:r>
            <w:r>
              <w:rPr>
                <w:rFonts w:hint="eastAsia" w:ascii="宋体" w:hAnsi="宋体" w:cs="宋体"/>
                <w:color w:val="000000"/>
                <w:kern w:val="0"/>
                <w:szCs w:val="21"/>
                <w:highlight w:val="none"/>
                <w:lang w:bidi="ar"/>
              </w:rPr>
              <w:t>（含）-</w:t>
            </w:r>
            <w:r>
              <w:rPr>
                <w:rFonts w:hint="eastAsia" w:ascii="宋体" w:hAnsi="宋体" w:cs="宋体"/>
                <w:szCs w:val="21"/>
                <w:highlight w:val="none"/>
              </w:rPr>
              <w:t>【</w:t>
            </w:r>
            <w:r>
              <w:rPr>
                <w:rFonts w:hint="eastAsia" w:ascii="宋体" w:hAnsi="宋体" w:cs="宋体"/>
                <w:color w:val="000000"/>
                <w:kern w:val="0"/>
                <w:szCs w:val="21"/>
                <w:highlight w:val="none"/>
                <w:lang w:bidi="ar"/>
              </w:rPr>
              <w:t>30</w:t>
            </w:r>
            <w:r>
              <w:rPr>
                <w:rFonts w:hint="eastAsia" w:ascii="宋体" w:hAnsi="宋体" w:cs="宋体"/>
                <w:szCs w:val="21"/>
                <w:highlight w:val="none"/>
              </w:rPr>
              <w:t>】</w:t>
            </w:r>
            <w:r>
              <w:rPr>
                <w:rFonts w:hint="eastAsia" w:ascii="宋体" w:hAnsi="宋体" w:cs="宋体"/>
                <w:color w:val="000000"/>
                <w:kern w:val="0"/>
                <w:szCs w:val="21"/>
                <w:highlight w:val="none"/>
                <w:lang w:bidi="ar"/>
              </w:rPr>
              <w:t>分钟（不含），得</w:t>
            </w:r>
            <w:r>
              <w:rPr>
                <w:rFonts w:hint="eastAsia" w:ascii="宋体" w:hAnsi="宋体" w:cs="宋体"/>
                <w:szCs w:val="21"/>
                <w:highlight w:val="none"/>
              </w:rPr>
              <w:t>【】</w:t>
            </w:r>
            <w:r>
              <w:rPr>
                <w:rFonts w:hint="eastAsia" w:ascii="宋体" w:hAnsi="宋体" w:cs="宋体"/>
                <w:color w:val="000000"/>
                <w:kern w:val="0"/>
                <w:szCs w:val="21"/>
                <w:highlight w:val="none"/>
                <w:lang w:bidi="ar"/>
              </w:rPr>
              <w:t>分。</w:t>
            </w:r>
          </w:p>
          <w:p>
            <w:pPr>
              <w:rPr>
                <w:rFonts w:hint="eastAsia" w:ascii="宋体" w:hAnsi="宋体" w:cs="宋体"/>
                <w:bCs/>
                <w:szCs w:val="21"/>
                <w:highlight w:val="none"/>
              </w:rPr>
            </w:pPr>
            <w:r>
              <w:rPr>
                <w:rFonts w:hint="eastAsia" w:ascii="宋体" w:hAnsi="宋体" w:cs="宋体"/>
                <w:szCs w:val="21"/>
                <w:highlight w:val="none"/>
                <w:lang w:bidi="ar"/>
              </w:rPr>
              <w:t>【</w:t>
            </w:r>
            <w:r>
              <w:rPr>
                <w:rFonts w:hint="eastAsia" w:ascii="宋体" w:hAnsi="宋体" w:cs="宋体"/>
                <w:szCs w:val="21"/>
                <w:highlight w:val="none"/>
              </w:rPr>
              <w:t>注意：</w:t>
            </w:r>
            <w:r>
              <w:rPr>
                <w:rFonts w:hint="eastAsia" w:ascii="宋体" w:hAnsi="宋体" w:cs="宋体"/>
                <w:kern w:val="0"/>
                <w:szCs w:val="21"/>
                <w:highlight w:val="none"/>
                <w:lang w:bidi="ar"/>
              </w:rPr>
              <w:t>须</w:t>
            </w:r>
            <w:r>
              <w:rPr>
                <w:rFonts w:hint="eastAsia" w:ascii="宋体" w:hAnsi="宋体" w:cs="宋体"/>
                <w:szCs w:val="21"/>
                <w:highlight w:val="none"/>
                <w:lang w:bidi="ar"/>
              </w:rPr>
              <w:t>提供“百度地图”酒店至【机场名称×××】机场【T×航站楼】的车辆驾驶最短距离时间截图，不提供或不满足不得分】</w:t>
            </w:r>
          </w:p>
        </w:tc>
        <w:tc>
          <w:tcPr>
            <w:tcW w:w="113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bCs/>
                <w:szCs w:val="21"/>
                <w:highlight w:val="none"/>
              </w:rPr>
            </w:pPr>
            <w:r>
              <w:rPr>
                <w:rFonts w:hint="eastAsia" w:ascii="宋体" w:hAnsi="宋体" w:cs="宋体"/>
                <w:szCs w:val="21"/>
                <w:highlight w:val="none"/>
              </w:rPr>
              <w:t>【</w:t>
            </w:r>
            <w:r>
              <w:rPr>
                <w:rFonts w:hint="eastAsia" w:ascii="宋体" w:hAnsi="宋体" w:cs="宋体"/>
                <w:highlight w:val="none"/>
              </w:rPr>
              <w:t>】</w:t>
            </w:r>
          </w:p>
        </w:tc>
        <w:tc>
          <w:tcPr>
            <w:tcW w:w="113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szCs w:val="21"/>
                <w:highlight w:val="none"/>
              </w:rPr>
            </w:pPr>
            <w:r>
              <w:rPr>
                <w:rFonts w:hint="eastAsia" w:ascii="宋体" w:hAnsi="宋体" w:cs="宋体"/>
                <w:szCs w:val="21"/>
                <w:highlight w:val="none"/>
              </w:rPr>
              <w:t>客观项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76" w:hRule="atLeast"/>
          <w:jc w:val="center"/>
        </w:trPr>
        <w:tc>
          <w:tcPr>
            <w:tcW w:w="66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b/>
                <w:szCs w:val="21"/>
                <w:highlight w:val="none"/>
              </w:rPr>
            </w:pPr>
            <w:r>
              <w:rPr>
                <w:rFonts w:hint="eastAsia" w:ascii="宋体" w:hAnsi="宋体" w:cs="宋体"/>
                <w:b/>
                <w:szCs w:val="21"/>
                <w:highlight w:val="none"/>
              </w:rPr>
              <w:t>7</w:t>
            </w:r>
          </w:p>
        </w:tc>
        <w:tc>
          <w:tcPr>
            <w:tcW w:w="196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szCs w:val="21"/>
                <w:highlight w:val="none"/>
              </w:rPr>
            </w:pPr>
            <w:r>
              <w:rPr>
                <w:rFonts w:hint="eastAsia" w:ascii="宋体" w:hAnsi="宋体" w:cs="宋体"/>
                <w:szCs w:val="21"/>
                <w:highlight w:val="none"/>
              </w:rPr>
              <w:t>项目成员经验</w:t>
            </w:r>
          </w:p>
        </w:tc>
        <w:tc>
          <w:tcPr>
            <w:tcW w:w="513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left"/>
              <w:rPr>
                <w:rFonts w:hint="eastAsia" w:ascii="宋体" w:hAnsi="宋体" w:cs="宋体"/>
                <w:kern w:val="0"/>
                <w:szCs w:val="21"/>
                <w:highlight w:val="none"/>
                <w:lang w:bidi="ar"/>
              </w:rPr>
            </w:pPr>
            <w:r>
              <w:rPr>
                <w:rFonts w:hint="eastAsia" w:ascii="宋体" w:hAnsi="宋体" w:cs="宋体"/>
                <w:kern w:val="0"/>
                <w:szCs w:val="21"/>
                <w:highlight w:val="none"/>
                <w:lang w:bidi="ar"/>
              </w:rPr>
              <w:t>根据拟投入本项目的项目成员（包括不限于项目经理、前台接待、客房服务、服务质量专员、报账整理、财务等专职人员）的教育背景、执业经验情况评分：</w:t>
            </w:r>
          </w:p>
          <w:p>
            <w:pPr>
              <w:jc w:val="left"/>
              <w:rPr>
                <w:rFonts w:hint="eastAsia" w:ascii="宋体" w:hAnsi="宋体" w:cs="宋体"/>
                <w:kern w:val="0"/>
                <w:szCs w:val="21"/>
                <w:highlight w:val="none"/>
                <w:lang w:bidi="ar"/>
              </w:rPr>
            </w:pPr>
            <w:r>
              <w:rPr>
                <w:rFonts w:hint="eastAsia" w:ascii="宋体" w:hAnsi="宋体" w:cs="宋体"/>
                <w:kern w:val="0"/>
                <w:szCs w:val="21"/>
                <w:highlight w:val="none"/>
                <w:lang w:bidi="ar"/>
              </w:rPr>
              <w:t>1.学历情况：获得大学英语四级（含）以上证书人员</w:t>
            </w:r>
            <w:r>
              <w:rPr>
                <w:rFonts w:hint="eastAsia" w:ascii="宋体" w:hAnsi="宋体" w:cs="宋体"/>
                <w:szCs w:val="21"/>
                <w:highlight w:val="none"/>
              </w:rPr>
              <w:t>【】</w:t>
            </w:r>
            <w:r>
              <w:rPr>
                <w:rFonts w:hint="eastAsia" w:ascii="宋体" w:hAnsi="宋体" w:cs="宋体"/>
                <w:kern w:val="0"/>
                <w:szCs w:val="21"/>
                <w:highlight w:val="none"/>
                <w:lang w:bidi="ar"/>
              </w:rPr>
              <w:t>人（含）以上得</w:t>
            </w:r>
            <w:r>
              <w:rPr>
                <w:rFonts w:hint="eastAsia" w:ascii="宋体" w:hAnsi="宋体" w:cs="宋体"/>
                <w:szCs w:val="21"/>
                <w:highlight w:val="none"/>
              </w:rPr>
              <w:t>【】</w:t>
            </w:r>
            <w:r>
              <w:rPr>
                <w:rFonts w:hint="eastAsia" w:ascii="宋体" w:hAnsi="宋体" w:cs="宋体"/>
                <w:kern w:val="0"/>
                <w:szCs w:val="21"/>
                <w:highlight w:val="none"/>
                <w:lang w:bidi="ar"/>
              </w:rPr>
              <w:t>分，</w:t>
            </w:r>
            <w:r>
              <w:rPr>
                <w:rFonts w:hint="eastAsia" w:ascii="宋体" w:hAnsi="宋体" w:cs="宋体"/>
                <w:szCs w:val="21"/>
                <w:highlight w:val="none"/>
              </w:rPr>
              <w:t>其他情况</w:t>
            </w:r>
            <w:r>
              <w:rPr>
                <w:rFonts w:hint="eastAsia" w:ascii="宋体" w:hAnsi="宋体" w:cs="宋体"/>
                <w:kern w:val="0"/>
                <w:szCs w:val="21"/>
                <w:highlight w:val="none"/>
                <w:lang w:bidi="ar"/>
              </w:rPr>
              <w:t>不得分。【</w:t>
            </w:r>
            <w:r>
              <w:rPr>
                <w:rFonts w:hint="eastAsia" w:ascii="宋体" w:hAnsi="宋体" w:cs="宋体"/>
                <w:szCs w:val="21"/>
                <w:highlight w:val="none"/>
              </w:rPr>
              <w:t>注意：</w:t>
            </w:r>
            <w:r>
              <w:rPr>
                <w:rFonts w:hint="eastAsia" w:ascii="宋体" w:hAnsi="宋体" w:cs="宋体"/>
                <w:kern w:val="0"/>
                <w:szCs w:val="21"/>
                <w:highlight w:val="none"/>
                <w:lang w:bidi="ar"/>
              </w:rPr>
              <w:t>须提供相关人员名单、劳动合同及证书扫描件，此项得分、排名可并列，未提供的不得分】。</w:t>
            </w:r>
          </w:p>
          <w:p>
            <w:pPr>
              <w:jc w:val="left"/>
              <w:rPr>
                <w:rFonts w:hint="eastAsia" w:ascii="宋体" w:hAnsi="宋体" w:cs="宋体"/>
                <w:bCs/>
                <w:szCs w:val="21"/>
                <w:highlight w:val="none"/>
              </w:rPr>
            </w:pPr>
            <w:r>
              <w:rPr>
                <w:rFonts w:hint="eastAsia" w:ascii="宋体" w:hAnsi="宋体" w:cs="宋体"/>
                <w:kern w:val="0"/>
                <w:szCs w:val="21"/>
                <w:highlight w:val="none"/>
                <w:lang w:bidi="ar"/>
              </w:rPr>
              <w:t>2.工作经验：具备</w:t>
            </w:r>
            <w:r>
              <w:rPr>
                <w:rFonts w:hint="eastAsia" w:ascii="宋体" w:hAnsi="宋体" w:cs="宋体"/>
                <w:szCs w:val="21"/>
                <w:highlight w:val="none"/>
              </w:rPr>
              <w:t>【】</w:t>
            </w:r>
            <w:r>
              <w:rPr>
                <w:rFonts w:hint="eastAsia" w:ascii="宋体" w:hAnsi="宋体" w:cs="宋体"/>
                <w:kern w:val="0"/>
                <w:szCs w:val="21"/>
                <w:highlight w:val="none"/>
                <w:lang w:bidi="ar"/>
              </w:rPr>
              <w:t>年（含）以上酒店相关岗位工作经验人员</w:t>
            </w:r>
            <w:r>
              <w:rPr>
                <w:rFonts w:hint="eastAsia" w:ascii="宋体" w:hAnsi="宋体" w:cs="宋体"/>
                <w:szCs w:val="21"/>
                <w:highlight w:val="none"/>
              </w:rPr>
              <w:t>【】</w:t>
            </w:r>
            <w:r>
              <w:rPr>
                <w:rFonts w:hint="eastAsia" w:ascii="宋体" w:hAnsi="宋体" w:cs="宋体"/>
                <w:kern w:val="0"/>
                <w:szCs w:val="21"/>
                <w:highlight w:val="none"/>
                <w:lang w:bidi="ar"/>
              </w:rPr>
              <w:t>人（含）以上得</w:t>
            </w:r>
            <w:r>
              <w:rPr>
                <w:rFonts w:hint="eastAsia" w:ascii="宋体" w:hAnsi="宋体" w:cs="宋体"/>
                <w:szCs w:val="21"/>
                <w:highlight w:val="none"/>
              </w:rPr>
              <w:t>【】</w:t>
            </w:r>
            <w:r>
              <w:rPr>
                <w:rFonts w:hint="eastAsia" w:ascii="宋体" w:hAnsi="宋体" w:cs="宋体"/>
                <w:kern w:val="0"/>
                <w:szCs w:val="21"/>
                <w:highlight w:val="none"/>
                <w:lang w:bidi="ar"/>
              </w:rPr>
              <w:t>分，</w:t>
            </w:r>
            <w:r>
              <w:rPr>
                <w:rFonts w:hint="eastAsia" w:ascii="宋体" w:hAnsi="宋体" w:cs="宋体"/>
                <w:szCs w:val="21"/>
                <w:highlight w:val="none"/>
              </w:rPr>
              <w:t>其他情况</w:t>
            </w:r>
            <w:r>
              <w:rPr>
                <w:rFonts w:hint="eastAsia" w:ascii="宋体" w:hAnsi="宋体" w:cs="宋体"/>
                <w:kern w:val="0"/>
                <w:szCs w:val="21"/>
                <w:highlight w:val="none"/>
                <w:lang w:bidi="ar"/>
              </w:rPr>
              <w:t>不得分。【</w:t>
            </w:r>
            <w:r>
              <w:rPr>
                <w:rFonts w:hint="eastAsia" w:ascii="宋体" w:hAnsi="宋体" w:cs="宋体"/>
                <w:szCs w:val="21"/>
                <w:highlight w:val="none"/>
              </w:rPr>
              <w:t>注意：</w:t>
            </w:r>
            <w:r>
              <w:rPr>
                <w:rFonts w:hint="eastAsia" w:ascii="宋体" w:hAnsi="宋体" w:cs="宋体"/>
                <w:kern w:val="0"/>
                <w:szCs w:val="21"/>
                <w:highlight w:val="none"/>
                <w:lang w:bidi="ar"/>
              </w:rPr>
              <w:t>须提供劳动合同及近【6个月】社保证明文件，未提供的不得分】。</w:t>
            </w:r>
          </w:p>
        </w:tc>
        <w:tc>
          <w:tcPr>
            <w:tcW w:w="113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bCs/>
                <w:szCs w:val="21"/>
                <w:highlight w:val="none"/>
              </w:rPr>
            </w:pPr>
            <w:r>
              <w:rPr>
                <w:rFonts w:hint="eastAsia" w:ascii="宋体" w:hAnsi="宋体" w:cs="宋体"/>
                <w:szCs w:val="21"/>
                <w:highlight w:val="none"/>
              </w:rPr>
              <w:t>【</w:t>
            </w:r>
            <w:r>
              <w:rPr>
                <w:rFonts w:hint="eastAsia" w:ascii="宋体" w:hAnsi="宋体" w:cs="宋体"/>
                <w:highlight w:val="none"/>
              </w:rPr>
              <w:t>】</w:t>
            </w:r>
          </w:p>
        </w:tc>
        <w:tc>
          <w:tcPr>
            <w:tcW w:w="113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szCs w:val="21"/>
                <w:highlight w:val="none"/>
              </w:rPr>
            </w:pPr>
            <w:r>
              <w:rPr>
                <w:rFonts w:hint="eastAsia" w:ascii="宋体" w:hAnsi="宋体" w:cs="宋体"/>
                <w:szCs w:val="21"/>
                <w:highlight w:val="none"/>
              </w:rPr>
              <w:t>客观项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76" w:hRule="atLeast"/>
          <w:jc w:val="center"/>
        </w:trPr>
        <w:tc>
          <w:tcPr>
            <w:tcW w:w="66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b/>
                <w:szCs w:val="21"/>
                <w:highlight w:val="none"/>
              </w:rPr>
            </w:pPr>
            <w:r>
              <w:rPr>
                <w:rFonts w:hint="eastAsia" w:ascii="宋体" w:hAnsi="宋体" w:cs="宋体"/>
                <w:b/>
                <w:szCs w:val="21"/>
                <w:highlight w:val="none"/>
              </w:rPr>
              <w:t>8</w:t>
            </w:r>
          </w:p>
        </w:tc>
        <w:tc>
          <w:tcPr>
            <w:tcW w:w="196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szCs w:val="21"/>
                <w:highlight w:val="none"/>
                <w:lang w:eastAsia="zh"/>
              </w:rPr>
            </w:pPr>
            <w:r>
              <w:rPr>
                <w:rFonts w:hint="eastAsia" w:ascii="宋体" w:hAnsi="宋体" w:cs="宋体"/>
                <w:szCs w:val="21"/>
                <w:highlight w:val="none"/>
                <w:lang w:eastAsia="zh"/>
              </w:rPr>
              <w:t>餐饮服务</w:t>
            </w:r>
          </w:p>
        </w:tc>
        <w:tc>
          <w:tcPr>
            <w:tcW w:w="513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tbl>
            <w:tblPr>
              <w:tblStyle w:val="25"/>
              <w:tblW w:w="5000" w:type="pct"/>
              <w:jc w:val="center"/>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5066"/>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376" w:hRule="atLeast"/>
                <w:jc w:val="center"/>
              </w:trPr>
              <w:tc>
                <w:tcPr>
                  <w:tcW w:w="5000" w:type="pct"/>
                  <w:tcBorders>
                    <w:top w:val="single" w:color="auto" w:sz="4" w:space="0"/>
                    <w:left w:val="single" w:color="auto" w:sz="4" w:space="0"/>
                    <w:bottom w:val="single" w:color="auto" w:sz="4" w:space="0"/>
                    <w:right w:val="single" w:color="auto" w:sz="4" w:space="0"/>
                  </w:tcBorders>
                  <w:tcMar>
                    <w:left w:w="28" w:type="dxa"/>
                    <w:right w:w="28" w:type="dxa"/>
                  </w:tcMar>
                  <w:vAlign w:val="center"/>
                </w:tcPr>
                <w:p>
                  <w:pPr>
                    <w:widowControl/>
                    <w:jc w:val="left"/>
                    <w:rPr>
                      <w:rFonts w:hint="eastAsia" w:ascii="宋体" w:hAnsi="宋体" w:cs="宋体"/>
                      <w:kern w:val="0"/>
                      <w:szCs w:val="21"/>
                      <w:highlight w:val="none"/>
                      <w:lang w:bidi="ar"/>
                    </w:rPr>
                  </w:pPr>
                  <w:r>
                    <w:rPr>
                      <w:rFonts w:hint="eastAsia" w:ascii="宋体" w:hAnsi="宋体" w:cs="宋体"/>
                      <w:kern w:val="0"/>
                      <w:szCs w:val="21"/>
                      <w:highlight w:val="none"/>
                      <w:lang w:bidi="ar"/>
                    </w:rPr>
                    <w:t>根据供应商提供的餐食模式进行评分：</w:t>
                  </w:r>
                </w:p>
                <w:p>
                  <w:pPr>
                    <w:widowControl/>
                    <w:jc w:val="left"/>
                    <w:rPr>
                      <w:rFonts w:hint="eastAsia" w:ascii="宋体" w:hAnsi="宋体" w:cs="宋体"/>
                      <w:kern w:val="0"/>
                      <w:szCs w:val="21"/>
                      <w:highlight w:val="none"/>
                      <w:lang w:bidi="ar"/>
                    </w:rPr>
                  </w:pPr>
                  <w:r>
                    <w:rPr>
                      <w:rFonts w:hint="eastAsia" w:ascii="宋体" w:hAnsi="宋体" w:cs="宋体"/>
                      <w:kern w:val="0"/>
                      <w:szCs w:val="21"/>
                      <w:highlight w:val="none"/>
                      <w:lang w:bidi="ar"/>
                    </w:rPr>
                    <w:t>1.早午晚餐能提供自助、围桌、餐盒等用餐模式、宵夜可提供热食或轻便餐（方便面、袋装饼干、八宝粥、饮料等），可提供清真餐，得</w:t>
                  </w:r>
                  <w:r>
                    <w:rPr>
                      <w:rFonts w:hint="eastAsia" w:ascii="宋体" w:hAnsi="宋体" w:cs="宋体"/>
                      <w:szCs w:val="21"/>
                      <w:highlight w:val="none"/>
                    </w:rPr>
                    <w:t>【】</w:t>
                  </w:r>
                  <w:r>
                    <w:rPr>
                      <w:rFonts w:hint="eastAsia" w:ascii="宋体" w:hAnsi="宋体" w:cs="宋体"/>
                      <w:kern w:val="0"/>
                      <w:szCs w:val="21"/>
                      <w:highlight w:val="none"/>
                      <w:lang w:bidi="ar"/>
                    </w:rPr>
                    <w:t>分；</w:t>
                  </w:r>
                </w:p>
                <w:p>
                  <w:pPr>
                    <w:widowControl/>
                    <w:jc w:val="left"/>
                    <w:rPr>
                      <w:rFonts w:hint="eastAsia" w:ascii="宋体" w:hAnsi="宋体" w:cs="宋体"/>
                      <w:kern w:val="0"/>
                      <w:szCs w:val="21"/>
                      <w:highlight w:val="none"/>
                      <w:lang w:bidi="ar"/>
                    </w:rPr>
                  </w:pPr>
                  <w:r>
                    <w:rPr>
                      <w:rFonts w:hint="eastAsia" w:ascii="宋体" w:hAnsi="宋体" w:cs="宋体"/>
                      <w:kern w:val="0"/>
                      <w:szCs w:val="21"/>
                      <w:highlight w:val="none"/>
                      <w:lang w:bidi="ar"/>
                    </w:rPr>
                    <w:t>2.早午晚餐能提供自助、围桌、餐盒等用餐模式、宵夜可提供热食或轻便餐（方便面、袋装饼干、八宝粥、饮料等），得</w:t>
                  </w:r>
                  <w:r>
                    <w:rPr>
                      <w:rFonts w:hint="eastAsia" w:ascii="宋体" w:hAnsi="宋体" w:cs="宋体"/>
                      <w:szCs w:val="21"/>
                      <w:highlight w:val="none"/>
                    </w:rPr>
                    <w:t>【】</w:t>
                  </w:r>
                  <w:r>
                    <w:rPr>
                      <w:rFonts w:hint="eastAsia" w:ascii="宋体" w:hAnsi="宋体" w:cs="宋体"/>
                      <w:kern w:val="0"/>
                      <w:szCs w:val="21"/>
                      <w:highlight w:val="none"/>
                      <w:lang w:bidi="ar"/>
                    </w:rPr>
                    <w:t>分；</w:t>
                  </w:r>
                </w:p>
                <w:p>
                  <w:pPr>
                    <w:widowControl/>
                    <w:jc w:val="left"/>
                    <w:rPr>
                      <w:rFonts w:hint="eastAsia" w:ascii="宋体" w:hAnsi="宋体" w:cs="宋体"/>
                      <w:kern w:val="0"/>
                      <w:szCs w:val="21"/>
                      <w:highlight w:val="none"/>
                      <w:lang w:bidi="ar"/>
                    </w:rPr>
                  </w:pPr>
                  <w:r>
                    <w:rPr>
                      <w:rFonts w:hint="eastAsia" w:ascii="宋体" w:hAnsi="宋体" w:cs="宋体"/>
                      <w:kern w:val="0"/>
                      <w:szCs w:val="21"/>
                      <w:highlight w:val="none"/>
                      <w:lang w:bidi="ar"/>
                    </w:rPr>
                    <w:t>3.早午晚餐能提供自助、围桌、餐盒等用餐模式，宵夜仅有轻便餐（方便面、袋装饼干、八宝粥、饮料等），得</w:t>
                  </w:r>
                  <w:r>
                    <w:rPr>
                      <w:rFonts w:hint="eastAsia" w:ascii="宋体" w:hAnsi="宋体" w:cs="宋体"/>
                      <w:szCs w:val="21"/>
                      <w:highlight w:val="none"/>
                    </w:rPr>
                    <w:t>【】</w:t>
                  </w:r>
                  <w:r>
                    <w:rPr>
                      <w:rFonts w:hint="eastAsia" w:ascii="宋体" w:hAnsi="宋体" w:cs="宋体"/>
                      <w:kern w:val="0"/>
                      <w:szCs w:val="21"/>
                      <w:highlight w:val="none"/>
                      <w:lang w:bidi="ar"/>
                    </w:rPr>
                    <w:t>分。</w:t>
                  </w:r>
                </w:p>
                <w:p>
                  <w:pPr>
                    <w:widowControl/>
                    <w:jc w:val="left"/>
                    <w:rPr>
                      <w:rFonts w:hint="eastAsia" w:ascii="宋体" w:hAnsi="宋体" w:cs="宋体"/>
                      <w:szCs w:val="21"/>
                      <w:highlight w:val="none"/>
                    </w:rPr>
                  </w:pPr>
                  <w:r>
                    <w:rPr>
                      <w:rFonts w:hint="eastAsia" w:ascii="宋体" w:hAnsi="宋体" w:cs="宋体"/>
                      <w:kern w:val="0"/>
                      <w:szCs w:val="21"/>
                      <w:highlight w:val="none"/>
                      <w:lang w:bidi="ar"/>
                    </w:rPr>
                    <w:t>【注意：供应商须提供菜单证明材料及服务响应函，内容格式自拟，未提供的不得分。】</w:t>
                  </w:r>
                </w:p>
              </w:tc>
            </w:tr>
          </w:tbl>
          <w:p>
            <w:pPr>
              <w:jc w:val="left"/>
              <w:rPr>
                <w:rFonts w:hint="eastAsia" w:ascii="宋体" w:hAnsi="宋体" w:cs="宋体"/>
                <w:kern w:val="0"/>
                <w:szCs w:val="21"/>
                <w:highlight w:val="none"/>
                <w:lang w:bidi="ar"/>
              </w:rPr>
            </w:pPr>
          </w:p>
        </w:tc>
        <w:tc>
          <w:tcPr>
            <w:tcW w:w="113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szCs w:val="21"/>
                <w:highlight w:val="none"/>
                <w:lang w:eastAsia="zh"/>
              </w:rPr>
            </w:pPr>
            <w:r>
              <w:rPr>
                <w:rFonts w:hint="eastAsia" w:ascii="宋体" w:hAnsi="宋体" w:cs="宋体"/>
                <w:szCs w:val="21"/>
                <w:highlight w:val="none"/>
                <w:lang w:eastAsia="zh"/>
              </w:rPr>
              <w:t>【】</w:t>
            </w:r>
          </w:p>
        </w:tc>
        <w:tc>
          <w:tcPr>
            <w:tcW w:w="113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hint="eastAsia" w:ascii="宋体" w:hAnsi="宋体" w:cs="宋体"/>
                <w:szCs w:val="21"/>
                <w:highlight w:val="none"/>
              </w:rPr>
            </w:pPr>
            <w:r>
              <w:rPr>
                <w:rFonts w:hint="eastAsia" w:ascii="宋体" w:hAnsi="宋体" w:cs="宋体"/>
                <w:szCs w:val="21"/>
                <w:highlight w:val="none"/>
                <w:lang w:eastAsia="zh"/>
              </w:rPr>
              <w:t>【】</w:t>
            </w:r>
          </w:p>
        </w:tc>
      </w:tr>
      <w:permEnd w:id="28"/>
    </w:tbl>
    <w:p>
      <w:pPr>
        <w:widowControl/>
        <w:spacing w:line="360" w:lineRule="auto"/>
        <w:ind w:firstLine="422" w:firstLineChars="200"/>
        <w:rPr>
          <w:rFonts w:hint="eastAsia" w:ascii="宋体" w:hAnsi="宋体" w:cs="宋体"/>
          <w:color w:val="FF0000"/>
          <w:szCs w:val="21"/>
          <w:highlight w:val="none"/>
        </w:rPr>
      </w:pPr>
      <w:r>
        <w:rPr>
          <w:rFonts w:hint="eastAsia" w:ascii="宋体" w:hAnsi="宋体" w:cs="宋体"/>
          <w:b/>
          <w:bCs/>
          <w:szCs w:val="21"/>
          <w:highlight w:val="none"/>
        </w:rPr>
        <w:t>说明：</w:t>
      </w:r>
      <w:r>
        <w:rPr>
          <w:rFonts w:hint="eastAsia" w:ascii="宋体" w:hAnsi="宋体" w:cs="宋体"/>
          <w:b/>
          <w:bCs/>
          <w:color w:val="FF0000"/>
          <w:szCs w:val="21"/>
          <w:highlight w:val="none"/>
          <w:lang w:bidi="ar"/>
        </w:rPr>
        <w:t>注意：供应商提供的所有材料应真实存在，采购人需求单位有权在包括但不限于评审结束后，以实地考察或其他方式对供应商提供的资料进行验证查验，如发现存在弄虚作假、佐证材料与实际不一致的情况，采购人有权无责取消供应商响应资格、成交资格、终止或解除合同，并将存在弄虚作假行为的供应商列入南航限制或禁止交易供应商名单；同时该供应商将承担违约责任。</w:t>
      </w:r>
    </w:p>
    <w:p>
      <w:pPr>
        <w:spacing w:before="156" w:beforeLines="50" w:after="156" w:afterLines="50" w:line="360" w:lineRule="auto"/>
        <w:ind w:firstLine="120" w:firstLineChars="50"/>
        <w:jc w:val="center"/>
        <w:rPr>
          <w:rFonts w:hint="eastAsia" w:ascii="宋体" w:hAnsi="宋体"/>
          <w:b/>
          <w:sz w:val="24"/>
          <w:highlight w:val="none"/>
        </w:rPr>
      </w:pPr>
    </w:p>
    <w:p>
      <w:pPr>
        <w:spacing w:before="156" w:beforeLines="50" w:after="156" w:afterLines="50" w:line="360" w:lineRule="auto"/>
        <w:ind w:firstLine="120" w:firstLineChars="50"/>
        <w:jc w:val="center"/>
        <w:rPr>
          <w:rFonts w:hint="eastAsia" w:ascii="宋体" w:hAnsi="宋体"/>
          <w:b/>
          <w:sz w:val="24"/>
          <w:highlight w:val="none"/>
        </w:rPr>
      </w:pPr>
      <w:r>
        <w:rPr>
          <w:rFonts w:hint="eastAsia" w:ascii="宋体" w:hAnsi="宋体"/>
          <w:b/>
          <w:sz w:val="24"/>
          <w:highlight w:val="none"/>
        </w:rPr>
        <w:t>表4  价格评审细则</w:t>
      </w:r>
      <w:permStart w:id="29" w:edGrp="everyone"/>
      <w:r>
        <w:rPr>
          <w:rFonts w:hint="eastAsia" w:ascii="宋体" w:hAnsi="宋体" w:cs="宋体"/>
          <w:szCs w:val="21"/>
          <w:highlight w:val="none"/>
        </w:rPr>
        <w:t>【</w:t>
      </w:r>
      <w:r>
        <w:rPr>
          <w:rFonts w:hint="eastAsia" w:ascii="宋体" w:hAnsi="宋体" w:cs="宋体"/>
          <w:b/>
          <w:szCs w:val="21"/>
          <w:highlight w:val="none"/>
        </w:rPr>
        <w:t>50分</w:t>
      </w:r>
      <w:r>
        <w:rPr>
          <w:rFonts w:hint="eastAsia" w:ascii="宋体" w:hAnsi="宋体" w:cs="宋体"/>
          <w:szCs w:val="21"/>
          <w:highlight w:val="none"/>
        </w:rPr>
        <w:t>】</w:t>
      </w:r>
      <w:permEnd w:id="29"/>
    </w:p>
    <w:p>
      <w:pPr>
        <w:pStyle w:val="24"/>
        <w:spacing w:line="360" w:lineRule="auto"/>
        <w:ind w:firstLine="218" w:firstLineChars="104"/>
        <w:jc w:val="both"/>
        <w:rPr>
          <w:rFonts w:hint="eastAsia" w:ascii="宋体" w:hAnsi="宋体" w:cs="宋体"/>
          <w:sz w:val="21"/>
          <w:szCs w:val="21"/>
          <w:highlight w:val="none"/>
          <w:lang w:eastAsia="zh"/>
        </w:rPr>
      </w:pPr>
      <w:permStart w:id="30" w:edGrp="everyone"/>
      <w:r>
        <w:rPr>
          <w:rFonts w:hint="eastAsia" w:ascii="宋体" w:hAnsi="宋体" w:cs="宋体"/>
          <w:sz w:val="21"/>
          <w:szCs w:val="21"/>
          <w:highlight w:val="none"/>
          <w:lang w:eastAsia="zh"/>
        </w:rPr>
        <w:t>选择1：</w:t>
      </w:r>
    </w:p>
    <w:p>
      <w:pPr>
        <w:pStyle w:val="24"/>
        <w:spacing w:line="360" w:lineRule="auto"/>
        <w:ind w:firstLine="218" w:firstLineChars="104"/>
        <w:jc w:val="both"/>
        <w:rPr>
          <w:rFonts w:hint="eastAsia" w:ascii="宋体" w:hAnsi="宋体" w:cs="宋体"/>
          <w:kern w:val="2"/>
          <w:sz w:val="21"/>
          <w:szCs w:val="21"/>
          <w:highlight w:val="none"/>
        </w:rPr>
      </w:pPr>
      <w:r>
        <w:rPr>
          <w:rFonts w:hint="eastAsia" w:ascii="宋体" w:hAnsi="宋体" w:cs="宋体"/>
          <w:kern w:val="2"/>
          <w:sz w:val="21"/>
          <w:szCs w:val="21"/>
          <w:highlight w:val="none"/>
          <w:lang w:bidi="ar"/>
        </w:rPr>
        <w:t>价格评审为客观计算得分。以各供应商报价总价作为评审的依据，供应商价格得分评分方法如下：</w:t>
      </w:r>
    </w:p>
    <w:p>
      <w:pPr>
        <w:pStyle w:val="24"/>
        <w:spacing w:line="360" w:lineRule="auto"/>
        <w:ind w:firstLine="218" w:firstLineChars="104"/>
        <w:jc w:val="both"/>
        <w:rPr>
          <w:rFonts w:hint="eastAsia" w:ascii="宋体" w:hAnsi="宋体" w:cs="宋体"/>
          <w:kern w:val="2"/>
          <w:sz w:val="21"/>
          <w:szCs w:val="21"/>
          <w:highlight w:val="none"/>
        </w:rPr>
      </w:pPr>
      <w:r>
        <w:rPr>
          <w:rFonts w:hint="eastAsia" w:ascii="宋体" w:hAnsi="宋体" w:cs="宋体"/>
          <w:kern w:val="2"/>
          <w:sz w:val="21"/>
          <w:szCs w:val="21"/>
          <w:highlight w:val="none"/>
          <w:lang w:bidi="ar"/>
        </w:rPr>
        <w:t>1、所有通过符合性审查的供应商中，经修正后的有效评审价的算术平均值为评审基准价，供应商报价等于评审基准价得满分，每高于评审基准价1%扣【1】分，每低于评审基准价1%扣【0.5】分，扣到0分为止。</w:t>
      </w:r>
    </w:p>
    <w:p>
      <w:pPr>
        <w:spacing w:line="360" w:lineRule="auto"/>
        <w:ind w:firstLine="218" w:firstLineChars="104"/>
        <w:rPr>
          <w:rFonts w:hint="eastAsia" w:ascii="宋体" w:hAnsi="宋体" w:cs="宋体"/>
          <w:szCs w:val="21"/>
          <w:highlight w:val="none"/>
        </w:rPr>
      </w:pPr>
      <w:r>
        <w:rPr>
          <w:rFonts w:hint="eastAsia" w:ascii="宋体" w:hAnsi="宋体" w:cs="宋体"/>
          <w:szCs w:val="21"/>
          <w:highlight w:val="none"/>
          <w:lang w:bidi="ar"/>
        </w:rPr>
        <w:t>2、价格得分＝价格分数-（报价总价-评审基准价）/评审基准价×100×【1】</w:t>
      </w:r>
    </w:p>
    <w:p>
      <w:pPr>
        <w:spacing w:line="360" w:lineRule="auto"/>
        <w:ind w:firstLine="218" w:firstLineChars="104"/>
        <w:rPr>
          <w:rFonts w:hint="eastAsia" w:ascii="宋体" w:hAnsi="宋体" w:cs="宋体"/>
          <w:szCs w:val="21"/>
          <w:highlight w:val="none"/>
        </w:rPr>
      </w:pPr>
      <w:r>
        <w:rPr>
          <w:rFonts w:hint="eastAsia" w:ascii="宋体" w:hAnsi="宋体" w:cs="宋体"/>
          <w:szCs w:val="21"/>
          <w:highlight w:val="none"/>
          <w:lang w:bidi="ar"/>
        </w:rPr>
        <w:t>或 价格分数-（评审基准价-报价总价）/评审基准价×100×【0.5】</w:t>
      </w:r>
    </w:p>
    <w:p>
      <w:pPr>
        <w:rPr>
          <w:highlight w:val="none"/>
        </w:rPr>
      </w:pPr>
      <w:r>
        <w:rPr>
          <w:rFonts w:hint="eastAsia" w:ascii="宋体" w:hAnsi="宋体" w:cs="宋体"/>
          <w:szCs w:val="21"/>
          <w:highlight w:val="none"/>
          <w:lang w:bidi="ar"/>
        </w:rPr>
        <w:t>3、分数出现小数点，保留小数点后二位，第三位小数四舍五入。</w:t>
      </w:r>
    </w:p>
    <w:p>
      <w:pPr>
        <w:spacing w:line="360" w:lineRule="auto"/>
        <w:ind w:firstLine="420" w:firstLineChars="200"/>
        <w:rPr>
          <w:rFonts w:hint="eastAsia" w:ascii="宋体" w:hAnsi="宋体" w:cs="宋体"/>
          <w:szCs w:val="21"/>
          <w:highlight w:val="none"/>
          <w:lang w:eastAsia="zh"/>
        </w:rPr>
      </w:pPr>
      <w:r>
        <w:rPr>
          <w:rFonts w:hint="eastAsia" w:ascii="宋体" w:hAnsi="宋体" w:cs="宋体"/>
          <w:szCs w:val="21"/>
          <w:highlight w:val="none"/>
          <w:lang w:eastAsia="zh"/>
        </w:rPr>
        <w:t>选择2：</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eastAsia="zh"/>
        </w:rPr>
        <w:t>1、</w:t>
      </w:r>
      <w:r>
        <w:rPr>
          <w:rFonts w:hint="eastAsia" w:ascii="宋体" w:hAnsi="宋体" w:cs="宋体"/>
          <w:szCs w:val="21"/>
          <w:highlight w:val="none"/>
        </w:rPr>
        <w:t>评委会对供应商的【房间报价和餐食】报价进行价格评审【（注：1、房间报价为每房间单日总价；2、餐食报价为单人单日早餐+午餐的总价）】</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价格评分包括酒店房间报价得分和酒店餐食报价得分，其中酒店房间报价得分满分为【38】分，酒店餐食报价得分满分为【12】分。酒店房间和酒店餐食的响应报价均不得超过招标文件中各类的最高限价，否则作无效响应处理。</w:t>
      </w:r>
    </w:p>
    <w:p>
      <w:pPr>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lang w:eastAsia="zh"/>
        </w:rPr>
        <w:t>2、</w:t>
      </w:r>
      <w:r>
        <w:rPr>
          <w:rFonts w:hint="eastAsia" w:ascii="宋体" w:hAnsi="宋体" w:cs="宋体"/>
          <w:szCs w:val="21"/>
          <w:highlight w:val="none"/>
        </w:rPr>
        <w:t>房型得分：以【中转房型最高限价和航延房型最高限价的平均价】为基准价,报价【中转房型和航延房型报价平均价】等于基准价得【5】分，依次递减2%加【2】分，最高分【38】分。A1=房型基准价；A2=供应商报价；餐费得分：以航延餐费(早餐+午餐)最高限价为基准价，报价（早餐和午餐报价之和）等于基准价得【2】分，依次递减5%加【1】分，最高分【12】分。B1=餐费基准价；B2=供应商报价。</w:t>
      </w:r>
    </w:p>
    <w:p>
      <w:pPr>
        <w:ind w:firstLine="420" w:firstLineChars="200"/>
        <w:rPr>
          <w:rFonts w:hint="eastAsia" w:ascii="宋体" w:hAnsi="宋体" w:cs="宋体"/>
          <w:szCs w:val="21"/>
          <w:highlight w:val="none"/>
        </w:rPr>
      </w:pPr>
      <w:r>
        <w:rPr>
          <w:rFonts w:hint="eastAsia" w:ascii="宋体" w:hAnsi="宋体" w:cs="宋体"/>
          <w:szCs w:val="21"/>
          <w:highlight w:val="none"/>
          <w:lang w:eastAsia="zh"/>
        </w:rPr>
        <w:t>3、</w:t>
      </w:r>
      <w:r>
        <w:rPr>
          <w:rFonts w:hint="eastAsia" w:ascii="宋体" w:hAnsi="宋体" w:cs="宋体"/>
          <w:szCs w:val="21"/>
          <w:highlight w:val="none"/>
        </w:rPr>
        <w:t>价格分计算公式＝房间报价得分+餐食报价得分={【（A1-A2）/A1/0.02】*2+5}+{【（B1-B2）/B1/0.05】*1+2}</w:t>
      </w:r>
    </w:p>
    <w:p>
      <w:pPr>
        <w:ind w:firstLine="420" w:firstLineChars="200"/>
        <w:rPr>
          <w:rFonts w:hint="eastAsia" w:ascii="宋体" w:hAnsi="宋体" w:cs="宋体"/>
          <w:szCs w:val="21"/>
          <w:highlight w:val="none"/>
        </w:rPr>
      </w:pPr>
      <w:r>
        <w:rPr>
          <w:rFonts w:hint="eastAsia" w:ascii="宋体" w:hAnsi="宋体" w:cs="宋体"/>
          <w:szCs w:val="21"/>
          <w:highlight w:val="none"/>
          <w:lang w:eastAsia="zh" w:bidi="ar"/>
        </w:rPr>
        <w:t>4、</w:t>
      </w:r>
      <w:r>
        <w:rPr>
          <w:rFonts w:hint="eastAsia" w:ascii="宋体" w:hAnsi="宋体" w:cs="宋体"/>
          <w:szCs w:val="21"/>
          <w:highlight w:val="none"/>
          <w:lang w:bidi="ar"/>
        </w:rPr>
        <w:t>分数出现小数点，保留小数点后二位，第三位小数四舍五入。</w:t>
      </w:r>
    </w:p>
    <w:p>
      <w:pPr>
        <w:spacing w:line="360" w:lineRule="auto"/>
        <w:ind w:firstLine="420" w:firstLineChars="200"/>
        <w:rPr>
          <w:rFonts w:hint="eastAsia" w:ascii="宋体" w:hAnsi="宋体" w:cs="宋体"/>
          <w:szCs w:val="21"/>
          <w:highlight w:val="none"/>
          <w:lang w:eastAsia="zh"/>
        </w:rPr>
      </w:pPr>
      <w:r>
        <w:rPr>
          <w:rFonts w:hint="eastAsia" w:ascii="宋体" w:hAnsi="宋体" w:cs="宋体"/>
          <w:szCs w:val="21"/>
          <w:highlight w:val="none"/>
          <w:lang w:eastAsia="zh"/>
        </w:rPr>
        <w:t>选择3</w:t>
      </w:r>
    </w:p>
    <w:p>
      <w:pPr>
        <w:spacing w:line="360" w:lineRule="auto"/>
        <w:ind w:firstLine="420" w:firstLineChars="200"/>
        <w:rPr>
          <w:rFonts w:hint="eastAsia" w:ascii="宋体" w:hAnsi="宋体"/>
          <w:szCs w:val="21"/>
          <w:highlight w:val="none"/>
        </w:rPr>
      </w:pPr>
      <w:r>
        <w:rPr>
          <w:rFonts w:hint="eastAsia" w:ascii="宋体" w:hAnsi="宋体"/>
          <w:szCs w:val="21"/>
          <w:highlight w:val="none"/>
        </w:rPr>
        <w:t>供应商价格得分评分方法如下：</w:t>
      </w:r>
    </w:p>
    <w:p>
      <w:pPr>
        <w:spacing w:line="360" w:lineRule="auto"/>
        <w:ind w:firstLine="420" w:firstLineChars="200"/>
        <w:rPr>
          <w:rFonts w:hint="eastAsia" w:ascii="宋体" w:hAnsi="宋体"/>
          <w:szCs w:val="21"/>
          <w:highlight w:val="none"/>
          <w:lang w:eastAsia="zh"/>
        </w:rPr>
      </w:pPr>
      <w:r>
        <w:rPr>
          <w:rFonts w:hint="eastAsia" w:ascii="宋体" w:hAnsi="宋体"/>
          <w:szCs w:val="21"/>
          <w:highlight w:val="none"/>
        </w:rPr>
        <w:t>价格评审为客观计算得分。以供应商报价总价作为评审的依据（供应商报价总价=标准双人间/标准单人间费用（不含早）+早餐费+午/晚餐费+宵夜费）</w:t>
      </w:r>
      <w:r>
        <w:rPr>
          <w:rFonts w:hint="eastAsia" w:ascii="宋体" w:hAnsi="宋体"/>
          <w:szCs w:val="21"/>
          <w:highlight w:val="none"/>
          <w:lang w:eastAsia="zh"/>
        </w:rPr>
        <w:t>。</w:t>
      </w:r>
    </w:p>
    <w:p>
      <w:pPr>
        <w:spacing w:line="360" w:lineRule="auto"/>
        <w:ind w:firstLine="420" w:firstLineChars="200"/>
        <w:rPr>
          <w:rFonts w:hint="eastAsia" w:ascii="宋体" w:hAnsi="宋体"/>
          <w:szCs w:val="21"/>
          <w:highlight w:val="none"/>
        </w:rPr>
      </w:pPr>
      <w:r>
        <w:rPr>
          <w:rFonts w:hint="eastAsia" w:ascii="宋体" w:hAnsi="宋体"/>
          <w:szCs w:val="21"/>
          <w:highlight w:val="none"/>
        </w:rPr>
        <w:t>1、所有通过符合性审查的供应商中，经修正后的有效最低报价为评审基准价。</w:t>
      </w:r>
    </w:p>
    <w:p>
      <w:pPr>
        <w:spacing w:line="360" w:lineRule="auto"/>
        <w:ind w:firstLine="420" w:firstLineChars="200"/>
        <w:rPr>
          <w:rFonts w:hint="eastAsia" w:ascii="宋体" w:hAnsi="宋体"/>
          <w:szCs w:val="21"/>
          <w:highlight w:val="none"/>
        </w:rPr>
      </w:pPr>
      <w:r>
        <w:rPr>
          <w:rFonts w:hint="eastAsia" w:ascii="宋体" w:hAnsi="宋体"/>
          <w:szCs w:val="21"/>
          <w:highlight w:val="none"/>
        </w:rPr>
        <w:t>2、价格得分＝（评审基准价/供应商报价总价）×价格分数。</w:t>
      </w:r>
    </w:p>
    <w:p>
      <w:pPr>
        <w:ind w:firstLine="420" w:firstLineChars="200"/>
        <w:rPr>
          <w:highlight w:val="none"/>
        </w:rPr>
      </w:pPr>
      <w:r>
        <w:rPr>
          <w:rFonts w:hint="eastAsia" w:ascii="宋体" w:hAnsi="宋体" w:cs="宋体"/>
          <w:szCs w:val="21"/>
          <w:highlight w:val="none"/>
          <w:lang w:bidi="ar"/>
        </w:rPr>
        <w:t>3、分数出现小数点，保留小数点后二位，第三位小数四舍五入。</w:t>
      </w:r>
    </w:p>
    <w:permEnd w:id="30"/>
    <w:p>
      <w:pPr>
        <w:spacing w:line="360" w:lineRule="auto"/>
        <w:rPr>
          <w:rFonts w:hint="eastAsia" w:ascii="宋体" w:hAnsi="宋体" w:cs="宋体"/>
          <w:strike/>
          <w:szCs w:val="21"/>
          <w:highlight w:val="none"/>
          <w:u w:val="single"/>
        </w:rPr>
      </w:pPr>
    </w:p>
    <w:p>
      <w:pPr>
        <w:spacing w:line="360" w:lineRule="auto"/>
        <w:ind w:firstLine="482" w:firstLineChars="200"/>
        <w:rPr>
          <w:rFonts w:hint="eastAsia" w:ascii="宋体" w:hAnsi="宋体" w:cs="宋体"/>
          <w:b/>
          <w:sz w:val="24"/>
          <w:highlight w:val="none"/>
        </w:rPr>
      </w:pPr>
      <w:bookmarkStart w:id="235" w:name="_Toc6180"/>
      <w:bookmarkStart w:id="236" w:name="_Toc12300"/>
      <w:bookmarkStart w:id="237" w:name="_Toc7783"/>
      <w:bookmarkStart w:id="238" w:name="_Toc27234"/>
      <w:bookmarkStart w:id="239" w:name="_Toc31263"/>
      <w:bookmarkStart w:id="240" w:name="_Toc7426"/>
      <w:r>
        <w:rPr>
          <w:rFonts w:hint="eastAsia" w:ascii="宋体" w:hAnsi="宋体"/>
          <w:b/>
          <w:sz w:val="24"/>
          <w:highlight w:val="none"/>
        </w:rPr>
        <w:t>3.3 计算总分</w:t>
      </w:r>
      <w:bookmarkEnd w:id="235"/>
      <w:bookmarkEnd w:id="236"/>
      <w:bookmarkEnd w:id="237"/>
      <w:bookmarkEnd w:id="238"/>
      <w:bookmarkEnd w:id="239"/>
      <w:bookmarkEnd w:id="240"/>
    </w:p>
    <w:p>
      <w:pPr>
        <w:pStyle w:val="10"/>
        <w:spacing w:line="360" w:lineRule="auto"/>
        <w:ind w:left="0" w:leftChars="0" w:firstLine="420" w:firstLineChars="200"/>
        <w:rPr>
          <w:rFonts w:hint="eastAsia" w:ascii="宋体" w:hAnsi="宋体" w:cs="宋体"/>
          <w:sz w:val="21"/>
          <w:szCs w:val="21"/>
          <w:highlight w:val="none"/>
        </w:rPr>
      </w:pPr>
      <w:r>
        <w:rPr>
          <w:rFonts w:hint="eastAsia" w:ascii="宋体" w:hAnsi="宋体" w:cs="宋体"/>
          <w:sz w:val="21"/>
          <w:szCs w:val="21"/>
          <w:highlight w:val="none"/>
        </w:rPr>
        <w:t>每个供应商的综合总得分由以下三部分组成(每部分得分计算以四舍五入的方式精确到小数点后两位):</w:t>
      </w:r>
    </w:p>
    <w:p>
      <w:pPr>
        <w:pStyle w:val="10"/>
        <w:spacing w:line="360" w:lineRule="auto"/>
        <w:ind w:left="0" w:leftChars="0" w:firstLine="420" w:firstLineChars="200"/>
        <w:rPr>
          <w:rFonts w:hint="eastAsia" w:ascii="宋体" w:hAnsi="宋体" w:cs="宋体"/>
          <w:sz w:val="21"/>
          <w:szCs w:val="21"/>
          <w:highlight w:val="none"/>
        </w:rPr>
      </w:pPr>
      <w:r>
        <w:rPr>
          <w:rFonts w:hint="eastAsia" w:ascii="宋体" w:hAnsi="宋体" w:cs="宋体"/>
          <w:sz w:val="21"/>
          <w:szCs w:val="21"/>
          <w:highlight w:val="none"/>
        </w:rPr>
        <w:t>①商务得分：全体评委的商务评分（各商务细项评分总和）总和，取其算术平均值；</w:t>
      </w:r>
    </w:p>
    <w:p>
      <w:pPr>
        <w:pStyle w:val="10"/>
        <w:spacing w:line="360" w:lineRule="auto"/>
        <w:ind w:left="0" w:leftChars="0" w:firstLine="420" w:firstLineChars="200"/>
        <w:rPr>
          <w:rFonts w:hint="eastAsia" w:ascii="宋体" w:hAnsi="宋体" w:cs="宋体"/>
          <w:sz w:val="21"/>
          <w:szCs w:val="21"/>
          <w:highlight w:val="none"/>
        </w:rPr>
      </w:pPr>
      <w:r>
        <w:rPr>
          <w:rFonts w:hint="eastAsia" w:ascii="宋体" w:hAnsi="宋体" w:cs="宋体"/>
          <w:sz w:val="21"/>
          <w:szCs w:val="21"/>
          <w:highlight w:val="none"/>
        </w:rPr>
        <w:t>②技术得分：全体评委的技术评分（各技术细项评分总和）总和，取其算术平均值；</w:t>
      </w:r>
    </w:p>
    <w:p>
      <w:pPr>
        <w:pStyle w:val="10"/>
        <w:spacing w:line="360" w:lineRule="auto"/>
        <w:ind w:left="0" w:leftChars="0" w:firstLine="420" w:firstLineChars="200"/>
        <w:rPr>
          <w:rFonts w:hint="eastAsia" w:ascii="宋体" w:hAnsi="宋体" w:cs="宋体"/>
          <w:sz w:val="21"/>
          <w:szCs w:val="21"/>
          <w:highlight w:val="none"/>
        </w:rPr>
      </w:pPr>
      <w:r>
        <w:rPr>
          <w:rFonts w:hint="eastAsia" w:ascii="宋体" w:hAnsi="宋体" w:cs="宋体"/>
          <w:sz w:val="21"/>
          <w:szCs w:val="21"/>
          <w:highlight w:val="none"/>
        </w:rPr>
        <w:t>③价格得分：价格评审的客观计算得分；</w:t>
      </w:r>
    </w:p>
    <w:p>
      <w:pPr>
        <w:pStyle w:val="10"/>
        <w:spacing w:line="360" w:lineRule="auto"/>
        <w:ind w:left="0" w:leftChars="0" w:firstLine="420" w:firstLineChars="200"/>
        <w:rPr>
          <w:rFonts w:hint="eastAsia" w:ascii="宋体" w:hAnsi="宋体" w:cs="宋体"/>
          <w:color w:val="0000FF"/>
          <w:sz w:val="21"/>
          <w:szCs w:val="21"/>
          <w:highlight w:val="none"/>
        </w:rPr>
      </w:pPr>
      <w:r>
        <w:rPr>
          <w:rFonts w:hint="eastAsia" w:ascii="宋体" w:hAnsi="宋体" w:cs="宋体"/>
          <w:sz w:val="21"/>
          <w:szCs w:val="21"/>
          <w:highlight w:val="none"/>
        </w:rPr>
        <w:t>④综合总得分＝商务得分＋技术得分＋价格得分-扣分（如有）。</w:t>
      </w:r>
    </w:p>
    <w:p>
      <w:pPr>
        <w:spacing w:line="360" w:lineRule="auto"/>
        <w:ind w:firstLine="420" w:firstLineChars="200"/>
        <w:rPr>
          <w:rFonts w:hint="eastAsia" w:ascii="宋体" w:hAnsi="宋体"/>
          <w:szCs w:val="21"/>
          <w:highlight w:val="none"/>
        </w:rPr>
      </w:pPr>
      <w:r>
        <w:rPr>
          <w:rFonts w:hint="eastAsia" w:ascii="宋体" w:hAnsi="宋体"/>
          <w:szCs w:val="21"/>
          <w:highlight w:val="none"/>
        </w:rPr>
        <w:t>按总得分由高至低排出成交候选人的名次顺序（</w:t>
      </w:r>
      <w:r>
        <w:rPr>
          <w:rFonts w:ascii="宋体" w:hAnsi="宋体"/>
          <w:highlight w:val="none"/>
        </w:rPr>
        <w:t>综合评分相等时，以</w:t>
      </w:r>
      <w:r>
        <w:rPr>
          <w:rFonts w:hint="eastAsia" w:ascii="宋体" w:hAnsi="宋体"/>
          <w:szCs w:val="21"/>
          <w:highlight w:val="none"/>
        </w:rPr>
        <w:t>经修正后的有效报价</w:t>
      </w:r>
      <w:r>
        <w:rPr>
          <w:rFonts w:ascii="宋体" w:hAnsi="宋体"/>
          <w:highlight w:val="none"/>
        </w:rPr>
        <w:t>低的优先；</w:t>
      </w:r>
      <w:r>
        <w:rPr>
          <w:rFonts w:hint="eastAsia" w:ascii="宋体" w:hAnsi="宋体"/>
          <w:szCs w:val="21"/>
          <w:highlight w:val="none"/>
        </w:rPr>
        <w:t>经修正后的有效报价</w:t>
      </w:r>
      <w:r>
        <w:rPr>
          <w:rFonts w:ascii="宋体" w:hAnsi="宋体"/>
          <w:highlight w:val="none"/>
        </w:rPr>
        <w:t>也相等的，以技术得分高的优先</w:t>
      </w:r>
      <w:r>
        <w:rPr>
          <w:rFonts w:hint="eastAsia" w:ascii="宋体" w:hAnsi="宋体"/>
          <w:highlight w:val="none"/>
        </w:rPr>
        <w:t>来</w:t>
      </w:r>
      <w:r>
        <w:rPr>
          <w:rFonts w:ascii="宋体" w:hAnsi="宋体"/>
          <w:highlight w:val="none"/>
        </w:rPr>
        <w:t>确定</w:t>
      </w:r>
      <w:r>
        <w:rPr>
          <w:rFonts w:hint="eastAsia" w:ascii="宋体" w:hAnsi="宋体"/>
          <w:highlight w:val="none"/>
        </w:rPr>
        <w:t>成交</w:t>
      </w:r>
      <w:r>
        <w:rPr>
          <w:rFonts w:ascii="宋体" w:hAnsi="宋体"/>
          <w:highlight w:val="none"/>
        </w:rPr>
        <w:t>候选人顺序</w:t>
      </w:r>
      <w:r>
        <w:rPr>
          <w:rFonts w:hint="eastAsia" w:ascii="宋体" w:hAnsi="宋体"/>
          <w:szCs w:val="21"/>
          <w:highlight w:val="none"/>
        </w:rPr>
        <w:t>），各评委对计分表校核无误后全体评委在综合总得分计算表上签名确认。</w:t>
      </w:r>
    </w:p>
    <w:p>
      <w:pPr>
        <w:pStyle w:val="4"/>
        <w:ind w:left="0"/>
        <w:rPr>
          <w:rFonts w:hint="eastAsia" w:ascii="宋体" w:hAnsi="宋体" w:cs="宋体"/>
          <w:b/>
          <w:bCs/>
          <w:highlight w:val="none"/>
        </w:rPr>
      </w:pPr>
      <w:bookmarkStart w:id="241" w:name="_Toc27299"/>
      <w:bookmarkStart w:id="242" w:name="_Toc7951"/>
      <w:bookmarkStart w:id="243" w:name="_Toc3502"/>
      <w:bookmarkStart w:id="244" w:name="_Toc20921"/>
      <w:bookmarkStart w:id="245" w:name="_Toc26927"/>
      <w:bookmarkStart w:id="246" w:name="_Toc27828"/>
      <w:bookmarkStart w:id="247" w:name="_Toc28054"/>
      <w:bookmarkStart w:id="248" w:name="_Toc19913"/>
      <w:r>
        <w:rPr>
          <w:rFonts w:hint="eastAsia" w:ascii="宋体" w:hAnsi="宋体" w:cs="宋体"/>
          <w:b/>
          <w:bCs/>
          <w:highlight w:val="none"/>
        </w:rPr>
        <w:t>4、评审报告</w:t>
      </w:r>
      <w:bookmarkEnd w:id="241"/>
      <w:bookmarkEnd w:id="242"/>
      <w:bookmarkEnd w:id="243"/>
      <w:bookmarkEnd w:id="244"/>
      <w:bookmarkEnd w:id="245"/>
      <w:bookmarkEnd w:id="246"/>
      <w:bookmarkEnd w:id="247"/>
      <w:bookmarkEnd w:id="248"/>
    </w:p>
    <w:p>
      <w:pPr>
        <w:spacing w:line="360" w:lineRule="auto"/>
        <w:ind w:firstLine="420" w:firstLineChars="200"/>
        <w:rPr>
          <w:rFonts w:hint="eastAsia" w:ascii="宋体" w:hAnsi="宋体"/>
          <w:szCs w:val="21"/>
          <w:highlight w:val="none"/>
        </w:rPr>
      </w:pPr>
      <w:r>
        <w:rPr>
          <w:rFonts w:hint="eastAsia" w:ascii="宋体" w:hAnsi="宋体"/>
          <w:szCs w:val="21"/>
          <w:highlight w:val="none"/>
        </w:rPr>
        <w:t>谈判小组按规定推荐成交候选供应商并出具《评审报告》,全体谈判小组成员审核《评审报告》并签名确认。</w:t>
      </w:r>
    </w:p>
    <w:p>
      <w:pPr>
        <w:pStyle w:val="4"/>
        <w:spacing w:line="360" w:lineRule="auto"/>
        <w:ind w:left="0"/>
        <w:jc w:val="left"/>
        <w:rPr>
          <w:b/>
          <w:highlight w:val="none"/>
        </w:rPr>
      </w:pPr>
      <w:bookmarkStart w:id="249" w:name="_Toc30199"/>
      <w:bookmarkStart w:id="250" w:name="_Toc13836"/>
      <w:bookmarkStart w:id="251" w:name="_Toc4429"/>
      <w:bookmarkStart w:id="252" w:name="_Toc14395"/>
      <w:bookmarkStart w:id="253" w:name="_Toc29163"/>
      <w:bookmarkStart w:id="254" w:name="_Toc31721"/>
      <w:bookmarkStart w:id="255" w:name="_Toc18994"/>
      <w:bookmarkStart w:id="256" w:name="_Toc11593"/>
      <w:bookmarkStart w:id="257" w:name="_Toc32529"/>
      <w:r>
        <w:rPr>
          <w:rFonts w:hint="eastAsia" w:ascii="宋体" w:hAnsi="宋体" w:cs="宋体"/>
          <w:b/>
          <w:highlight w:val="none"/>
        </w:rPr>
        <w:t>5、</w:t>
      </w:r>
      <w:r>
        <w:rPr>
          <w:rFonts w:hint="eastAsia"/>
          <w:b/>
          <w:highlight w:val="none"/>
        </w:rPr>
        <w:t>合同授予</w:t>
      </w:r>
      <w:bookmarkEnd w:id="249"/>
      <w:bookmarkEnd w:id="250"/>
      <w:bookmarkEnd w:id="251"/>
      <w:bookmarkEnd w:id="252"/>
      <w:bookmarkEnd w:id="253"/>
      <w:bookmarkEnd w:id="254"/>
      <w:bookmarkEnd w:id="255"/>
      <w:bookmarkEnd w:id="256"/>
      <w:bookmarkEnd w:id="257"/>
    </w:p>
    <w:p>
      <w:pPr>
        <w:spacing w:line="360" w:lineRule="auto"/>
        <w:ind w:firstLine="120" w:firstLineChars="50"/>
        <w:rPr>
          <w:rFonts w:hint="eastAsia" w:ascii="黑体" w:hAnsi="黑体" w:eastAsia="黑体"/>
          <w:sz w:val="28"/>
          <w:highlight w:val="none"/>
        </w:rPr>
      </w:pPr>
      <w:r>
        <w:rPr>
          <w:rFonts w:hint="eastAsia" w:ascii="宋体" w:hAnsi="宋体"/>
          <w:b/>
          <w:sz w:val="24"/>
          <w:highlight w:val="none"/>
        </w:rPr>
        <w:t>5</w:t>
      </w:r>
      <w:r>
        <w:rPr>
          <w:rFonts w:ascii="宋体" w:hAnsi="宋体"/>
          <w:b/>
          <w:sz w:val="24"/>
          <w:highlight w:val="none"/>
        </w:rPr>
        <w:t xml:space="preserve">.1 </w:t>
      </w:r>
      <w:r>
        <w:rPr>
          <w:rFonts w:hint="eastAsia" w:ascii="宋体" w:hAnsi="宋体"/>
          <w:b/>
          <w:sz w:val="24"/>
          <w:highlight w:val="none"/>
        </w:rPr>
        <w:t>成交</w:t>
      </w:r>
      <w:r>
        <w:rPr>
          <w:rFonts w:ascii="宋体" w:hAnsi="宋体"/>
          <w:b/>
          <w:sz w:val="24"/>
          <w:highlight w:val="none"/>
        </w:rPr>
        <w:t>候选</w:t>
      </w:r>
      <w:r>
        <w:rPr>
          <w:rFonts w:hint="eastAsia" w:ascii="宋体" w:hAnsi="宋体"/>
          <w:b/>
          <w:sz w:val="24"/>
          <w:highlight w:val="none"/>
        </w:rPr>
        <w:t>供应商</w:t>
      </w:r>
      <w:r>
        <w:rPr>
          <w:rFonts w:ascii="宋体" w:hAnsi="宋体"/>
          <w:b/>
          <w:sz w:val="24"/>
          <w:highlight w:val="none"/>
        </w:rPr>
        <w:t>公示</w:t>
      </w:r>
    </w:p>
    <w:p>
      <w:pPr>
        <w:spacing w:line="360" w:lineRule="auto"/>
        <w:ind w:firstLine="420" w:firstLineChars="200"/>
        <w:rPr>
          <w:rFonts w:hint="eastAsia" w:ascii="宋体" w:hAnsi="宋体"/>
          <w:highlight w:val="none"/>
        </w:rPr>
      </w:pPr>
      <w:r>
        <w:rPr>
          <w:rFonts w:hint="eastAsia" w:ascii="宋体" w:hAnsi="宋体"/>
          <w:highlight w:val="none"/>
        </w:rPr>
        <w:t>采购人在中国南方航空采购招标网或采购人指定网站</w:t>
      </w:r>
      <w:r>
        <w:rPr>
          <w:rFonts w:ascii="宋体" w:hAnsi="宋体"/>
          <w:highlight w:val="none"/>
        </w:rPr>
        <w:t>公示</w:t>
      </w:r>
      <w:r>
        <w:rPr>
          <w:rFonts w:hint="eastAsia" w:ascii="宋体" w:hAnsi="宋体"/>
          <w:highlight w:val="none"/>
        </w:rPr>
        <w:t>拟确定为成交供应商的成交候选供应商</w:t>
      </w:r>
      <w:r>
        <w:rPr>
          <w:rFonts w:ascii="宋体" w:hAnsi="宋体"/>
          <w:highlight w:val="none"/>
        </w:rPr>
        <w:t>，公示期</w:t>
      </w:r>
      <w:r>
        <w:rPr>
          <w:rFonts w:hint="eastAsia" w:ascii="宋体" w:hAnsi="宋体"/>
          <w:highlight w:val="none"/>
        </w:rPr>
        <w:t>2</w:t>
      </w:r>
      <w:r>
        <w:rPr>
          <w:rFonts w:hint="eastAsia"/>
          <w:highlight w:val="none"/>
        </w:rPr>
        <w:t>个工作日</w:t>
      </w:r>
      <w:r>
        <w:rPr>
          <w:rFonts w:ascii="宋体" w:hAnsi="宋体"/>
          <w:highlight w:val="none"/>
        </w:rPr>
        <w:t>。</w:t>
      </w:r>
      <w:r>
        <w:rPr>
          <w:rFonts w:hint="eastAsia" w:ascii="宋体" w:hAnsi="宋体"/>
          <w:highlight w:val="none"/>
        </w:rPr>
        <w:t>供应商自行查看，采购人不再另作通知。</w:t>
      </w:r>
    </w:p>
    <w:p>
      <w:pPr>
        <w:spacing w:line="360" w:lineRule="auto"/>
        <w:ind w:firstLine="120" w:firstLineChars="50"/>
        <w:rPr>
          <w:rFonts w:hint="eastAsia" w:ascii="黑体" w:hAnsi="黑体" w:eastAsia="黑体"/>
          <w:sz w:val="28"/>
          <w:highlight w:val="none"/>
        </w:rPr>
      </w:pPr>
      <w:r>
        <w:rPr>
          <w:rFonts w:hint="eastAsia" w:ascii="宋体" w:hAnsi="宋体"/>
          <w:b/>
          <w:sz w:val="24"/>
          <w:highlight w:val="none"/>
        </w:rPr>
        <w:t>5</w:t>
      </w:r>
      <w:r>
        <w:rPr>
          <w:rFonts w:ascii="宋体" w:hAnsi="宋体"/>
          <w:b/>
          <w:sz w:val="24"/>
          <w:highlight w:val="none"/>
        </w:rPr>
        <w:t xml:space="preserve">.2 </w:t>
      </w:r>
      <w:r>
        <w:rPr>
          <w:rFonts w:hint="eastAsia" w:ascii="宋体" w:hAnsi="宋体"/>
          <w:b/>
          <w:sz w:val="24"/>
          <w:highlight w:val="none"/>
        </w:rPr>
        <w:t>评审</w:t>
      </w:r>
      <w:r>
        <w:rPr>
          <w:rFonts w:ascii="宋体" w:hAnsi="宋体"/>
          <w:b/>
          <w:sz w:val="24"/>
          <w:highlight w:val="none"/>
        </w:rPr>
        <w:t>结果异议</w:t>
      </w:r>
    </w:p>
    <w:p>
      <w:pPr>
        <w:spacing w:line="360" w:lineRule="auto"/>
        <w:ind w:firstLine="420" w:firstLineChars="200"/>
        <w:rPr>
          <w:rFonts w:hint="eastAsia" w:ascii="宋体" w:hAnsi="宋体"/>
          <w:highlight w:val="none"/>
        </w:rPr>
      </w:pPr>
      <w:r>
        <w:rPr>
          <w:rFonts w:hint="eastAsia" w:ascii="宋体" w:hAnsi="宋体"/>
          <w:highlight w:val="none"/>
        </w:rPr>
        <w:t>供应商</w:t>
      </w:r>
      <w:r>
        <w:rPr>
          <w:rFonts w:ascii="宋体" w:hAnsi="宋体"/>
          <w:highlight w:val="none"/>
        </w:rPr>
        <w:t>或者其他利害关系人对</w:t>
      </w:r>
      <w:r>
        <w:rPr>
          <w:rFonts w:hint="eastAsia" w:ascii="宋体" w:hAnsi="宋体"/>
          <w:highlight w:val="none"/>
        </w:rPr>
        <w:t>谈判</w:t>
      </w:r>
      <w:r>
        <w:rPr>
          <w:rFonts w:ascii="宋体" w:hAnsi="宋体"/>
          <w:highlight w:val="none"/>
        </w:rPr>
        <w:t>结果有异议的，应当在</w:t>
      </w:r>
      <w:r>
        <w:rPr>
          <w:rFonts w:hint="eastAsia" w:ascii="宋体" w:hAnsi="宋体"/>
          <w:highlight w:val="none"/>
        </w:rPr>
        <w:t>成交候选供应商</w:t>
      </w:r>
      <w:r>
        <w:rPr>
          <w:rFonts w:ascii="宋体" w:hAnsi="宋体"/>
          <w:highlight w:val="none"/>
        </w:rPr>
        <w:t>公示期间提出。</w:t>
      </w:r>
    </w:p>
    <w:p>
      <w:pPr>
        <w:spacing w:line="360" w:lineRule="auto"/>
        <w:ind w:firstLine="120" w:firstLineChars="50"/>
        <w:rPr>
          <w:rFonts w:hint="eastAsia" w:ascii="黑体" w:hAnsi="黑体" w:eastAsia="黑体"/>
          <w:sz w:val="28"/>
          <w:highlight w:val="none"/>
        </w:rPr>
      </w:pPr>
      <w:r>
        <w:rPr>
          <w:rFonts w:hint="eastAsia" w:ascii="宋体" w:hAnsi="宋体"/>
          <w:b/>
          <w:sz w:val="24"/>
          <w:highlight w:val="none"/>
        </w:rPr>
        <w:t>5</w:t>
      </w:r>
      <w:r>
        <w:rPr>
          <w:rFonts w:ascii="宋体" w:hAnsi="宋体"/>
          <w:b/>
          <w:sz w:val="24"/>
          <w:highlight w:val="none"/>
        </w:rPr>
        <w:t xml:space="preserve">.3 </w:t>
      </w:r>
      <w:r>
        <w:rPr>
          <w:rFonts w:hint="eastAsia" w:ascii="宋体" w:hAnsi="宋体"/>
          <w:b/>
          <w:sz w:val="24"/>
          <w:highlight w:val="none"/>
        </w:rPr>
        <w:t>成交候选供应商</w:t>
      </w:r>
      <w:r>
        <w:rPr>
          <w:rFonts w:ascii="宋体" w:hAnsi="宋体"/>
          <w:b/>
          <w:sz w:val="24"/>
          <w:highlight w:val="none"/>
        </w:rPr>
        <w:t>履约能力审查</w:t>
      </w:r>
    </w:p>
    <w:p>
      <w:pPr>
        <w:spacing w:line="360" w:lineRule="auto"/>
        <w:ind w:firstLine="420" w:firstLineChars="200"/>
        <w:rPr>
          <w:rFonts w:hint="eastAsia" w:ascii="宋体" w:hAnsi="宋体"/>
          <w:highlight w:val="none"/>
        </w:rPr>
      </w:pPr>
      <w:r>
        <w:rPr>
          <w:rFonts w:hint="eastAsia" w:ascii="宋体" w:hAnsi="宋体"/>
          <w:highlight w:val="none"/>
        </w:rPr>
        <w:t>成交候选供应商</w:t>
      </w:r>
      <w:r>
        <w:rPr>
          <w:rFonts w:ascii="宋体" w:hAnsi="宋体"/>
          <w:highlight w:val="none"/>
        </w:rPr>
        <w:t>的经营、财务状况发生较大变化或存在违法行为，</w:t>
      </w:r>
      <w:r>
        <w:rPr>
          <w:rFonts w:hint="eastAsia" w:ascii="宋体" w:hAnsi="宋体"/>
          <w:highlight w:val="none"/>
        </w:rPr>
        <w:t>采购人</w:t>
      </w:r>
      <w:r>
        <w:rPr>
          <w:rFonts w:ascii="宋体" w:hAnsi="宋体"/>
          <w:highlight w:val="none"/>
        </w:rPr>
        <w:t>认为可能影响其履约能力的，将在发出</w:t>
      </w:r>
      <w:r>
        <w:rPr>
          <w:rFonts w:hint="eastAsia" w:ascii="宋体" w:hAnsi="宋体"/>
          <w:highlight w:val="none"/>
        </w:rPr>
        <w:t>成交通知书</w:t>
      </w:r>
      <w:r>
        <w:rPr>
          <w:rFonts w:ascii="宋体" w:hAnsi="宋体"/>
          <w:highlight w:val="none"/>
        </w:rPr>
        <w:t>前提请原</w:t>
      </w:r>
      <w:r>
        <w:rPr>
          <w:rFonts w:hint="eastAsia" w:ascii="宋体" w:hAnsi="宋体"/>
          <w:highlight w:val="none"/>
        </w:rPr>
        <w:t>谈判小组</w:t>
      </w:r>
      <w:r>
        <w:rPr>
          <w:rFonts w:ascii="宋体" w:hAnsi="宋体"/>
          <w:highlight w:val="none"/>
        </w:rPr>
        <w:t>按照</w:t>
      </w:r>
      <w:r>
        <w:rPr>
          <w:rFonts w:hint="eastAsia" w:ascii="宋体" w:hAnsi="宋体"/>
          <w:highlight w:val="none"/>
        </w:rPr>
        <w:t>谈判文件</w:t>
      </w:r>
      <w:r>
        <w:rPr>
          <w:rFonts w:ascii="宋体" w:hAnsi="宋体"/>
          <w:highlight w:val="none"/>
        </w:rPr>
        <w:t>规定的标准和方法进行审查确认</w:t>
      </w:r>
      <w:r>
        <w:rPr>
          <w:rFonts w:hint="eastAsia" w:ascii="宋体" w:hAnsi="宋体"/>
          <w:highlight w:val="none"/>
        </w:rPr>
        <w:t>。同时采购人保留审查响应文件中所提供的所有资料原件的权利，如发现提供虚假资料则作报价无效处理，并且</w:t>
      </w:r>
      <w:r>
        <w:rPr>
          <w:rFonts w:hint="eastAsia" w:ascii="宋体" w:hAnsi="宋体" w:cs="宋体"/>
          <w:szCs w:val="21"/>
          <w:highlight w:val="none"/>
        </w:rPr>
        <w:t>列入限制交易供应商名单。</w:t>
      </w:r>
    </w:p>
    <w:p>
      <w:pPr>
        <w:spacing w:line="360" w:lineRule="auto"/>
        <w:rPr>
          <w:rFonts w:hint="eastAsia" w:ascii="宋体" w:hAnsi="宋体"/>
          <w:b/>
          <w:sz w:val="24"/>
          <w:highlight w:val="none"/>
        </w:rPr>
      </w:pPr>
      <w:r>
        <w:rPr>
          <w:rFonts w:hint="eastAsia" w:ascii="宋体" w:hAnsi="宋体"/>
          <w:b/>
          <w:sz w:val="24"/>
          <w:highlight w:val="none"/>
        </w:rPr>
        <w:t>5.4 成交通知书</w:t>
      </w:r>
    </w:p>
    <w:p>
      <w:pPr>
        <w:snapToGrid w:val="0"/>
        <w:spacing w:line="360" w:lineRule="auto"/>
        <w:ind w:firstLine="420"/>
        <w:rPr>
          <w:rFonts w:hint="eastAsia" w:ascii="宋体" w:hAnsi="宋体"/>
          <w:highlight w:val="none"/>
        </w:rPr>
      </w:pPr>
      <w:r>
        <w:rPr>
          <w:rFonts w:hint="eastAsia" w:ascii="宋体" w:hAnsi="宋体"/>
          <w:highlight w:val="none"/>
        </w:rPr>
        <w:t>公示期结束后，</w:t>
      </w:r>
      <w:r>
        <w:rPr>
          <w:rFonts w:hint="eastAsia" w:ascii="宋体" w:hAnsi="宋体" w:cs="宋体"/>
          <w:szCs w:val="21"/>
          <w:highlight w:val="none"/>
        </w:rPr>
        <w:t>成交供应商应自行登录</w:t>
      </w:r>
      <w:r>
        <w:rPr>
          <w:rFonts w:hint="eastAsia" w:ascii="宋体" w:hAnsi="宋体" w:cs="宋体"/>
          <w:highlight w:val="none"/>
        </w:rPr>
        <w:t>南航采招网（南航采购平台电子系统）</w:t>
      </w:r>
      <w:r>
        <w:rPr>
          <w:rFonts w:hint="eastAsia" w:ascii="宋体" w:hAnsi="宋体" w:cs="宋体"/>
          <w:szCs w:val="21"/>
          <w:highlight w:val="none"/>
        </w:rPr>
        <w:t>领取《成交通知书》</w:t>
      </w:r>
      <w:r>
        <w:rPr>
          <w:rFonts w:hint="eastAsia" w:ascii="宋体" w:hAnsi="宋体" w:cs="宋体"/>
          <w:highlight w:val="none"/>
        </w:rPr>
        <w:t>。</w:t>
      </w:r>
    </w:p>
    <w:p>
      <w:pPr>
        <w:spacing w:line="360" w:lineRule="auto"/>
        <w:rPr>
          <w:rFonts w:hint="eastAsia" w:ascii="黑体" w:hAnsi="黑体" w:eastAsia="黑体"/>
          <w:sz w:val="28"/>
          <w:highlight w:val="none"/>
        </w:rPr>
      </w:pPr>
      <w:r>
        <w:rPr>
          <w:rFonts w:hint="eastAsia" w:ascii="宋体" w:hAnsi="宋体"/>
          <w:b/>
          <w:sz w:val="24"/>
          <w:highlight w:val="none"/>
        </w:rPr>
        <w:t>5.5</w:t>
      </w:r>
      <w:r>
        <w:rPr>
          <w:rFonts w:ascii="宋体" w:hAnsi="宋体"/>
          <w:b/>
          <w:sz w:val="24"/>
          <w:highlight w:val="none"/>
        </w:rPr>
        <w:t xml:space="preserve"> 签订合同</w:t>
      </w:r>
    </w:p>
    <w:p>
      <w:pPr>
        <w:spacing w:line="360" w:lineRule="auto"/>
        <w:ind w:firstLine="422" w:firstLineChars="200"/>
        <w:rPr>
          <w:rFonts w:hint="eastAsia" w:ascii="宋体" w:hAnsi="宋体"/>
          <w:highlight w:val="none"/>
        </w:rPr>
      </w:pPr>
      <w:r>
        <w:rPr>
          <w:rFonts w:hint="eastAsia" w:ascii="宋体" w:hAnsi="宋体"/>
          <w:b/>
          <w:highlight w:val="none"/>
        </w:rPr>
        <w:t>5</w:t>
      </w:r>
      <w:r>
        <w:rPr>
          <w:rFonts w:ascii="宋体" w:hAnsi="宋体"/>
          <w:b/>
          <w:highlight w:val="none"/>
        </w:rPr>
        <w:t>.</w:t>
      </w:r>
      <w:r>
        <w:rPr>
          <w:rFonts w:hint="eastAsia" w:ascii="宋体" w:hAnsi="宋体"/>
          <w:b/>
          <w:highlight w:val="none"/>
        </w:rPr>
        <w:t>5</w:t>
      </w:r>
      <w:r>
        <w:rPr>
          <w:rFonts w:ascii="宋体" w:hAnsi="宋体"/>
          <w:b/>
          <w:highlight w:val="none"/>
        </w:rPr>
        <w:t>.1</w:t>
      </w:r>
      <w:r>
        <w:rPr>
          <w:highlight w:val="none"/>
        </w:rPr>
        <w:t xml:space="preserve"> </w:t>
      </w:r>
      <w:r>
        <w:rPr>
          <w:rFonts w:hint="eastAsia" w:ascii="宋体" w:hAnsi="宋体"/>
          <w:highlight w:val="none"/>
        </w:rPr>
        <w:t>采购人</w:t>
      </w:r>
      <w:r>
        <w:rPr>
          <w:rFonts w:ascii="宋体" w:hAnsi="宋体"/>
          <w:highlight w:val="none"/>
        </w:rPr>
        <w:t>和</w:t>
      </w:r>
      <w:r>
        <w:rPr>
          <w:rFonts w:hint="eastAsia" w:ascii="宋体" w:hAnsi="宋体"/>
          <w:highlight w:val="none"/>
        </w:rPr>
        <w:t>成交供应商</w:t>
      </w:r>
      <w:r>
        <w:rPr>
          <w:rFonts w:ascii="宋体" w:hAnsi="宋体"/>
          <w:highlight w:val="none"/>
        </w:rPr>
        <w:t>应当在</w:t>
      </w:r>
      <w:r>
        <w:rPr>
          <w:rFonts w:hint="eastAsia" w:ascii="宋体" w:hAnsi="宋体"/>
          <w:highlight w:val="none"/>
        </w:rPr>
        <w:t>成交通知书</w:t>
      </w:r>
      <w:r>
        <w:rPr>
          <w:rFonts w:ascii="宋体" w:hAnsi="宋体"/>
          <w:highlight w:val="none"/>
        </w:rPr>
        <w:t>发出之日起30日内，根据</w:t>
      </w:r>
      <w:r>
        <w:rPr>
          <w:rFonts w:hint="eastAsia" w:ascii="宋体" w:hAnsi="宋体"/>
          <w:highlight w:val="none"/>
        </w:rPr>
        <w:t>谈判文件</w:t>
      </w:r>
      <w:r>
        <w:rPr>
          <w:rFonts w:ascii="宋体" w:hAnsi="宋体"/>
          <w:highlight w:val="none"/>
        </w:rPr>
        <w:t>和</w:t>
      </w:r>
      <w:r>
        <w:rPr>
          <w:rFonts w:hint="eastAsia" w:ascii="宋体" w:hAnsi="宋体"/>
          <w:highlight w:val="none"/>
        </w:rPr>
        <w:t>成交供应商</w:t>
      </w:r>
      <w:r>
        <w:rPr>
          <w:rFonts w:ascii="宋体" w:hAnsi="宋体"/>
          <w:highlight w:val="none"/>
        </w:rPr>
        <w:t>的</w:t>
      </w:r>
      <w:r>
        <w:rPr>
          <w:rFonts w:hint="eastAsia" w:ascii="宋体" w:hAnsi="宋体"/>
          <w:highlight w:val="none"/>
        </w:rPr>
        <w:t>响应文件、最终谈判承诺、最终报价</w:t>
      </w:r>
      <w:r>
        <w:rPr>
          <w:rFonts w:ascii="宋体" w:hAnsi="宋体"/>
          <w:highlight w:val="none"/>
        </w:rPr>
        <w:t>订立书面合同。</w:t>
      </w:r>
      <w:r>
        <w:rPr>
          <w:rFonts w:hint="eastAsia" w:ascii="宋体" w:hAnsi="宋体"/>
          <w:highlight w:val="none"/>
        </w:rPr>
        <w:t>成交供应商</w:t>
      </w:r>
      <w:r>
        <w:rPr>
          <w:rFonts w:ascii="宋体" w:hAnsi="宋体"/>
          <w:highlight w:val="none"/>
        </w:rPr>
        <w:t>无正当理由拒签合同，</w:t>
      </w:r>
      <w:r>
        <w:rPr>
          <w:rFonts w:hint="eastAsia" w:ascii="宋体" w:hAnsi="宋体"/>
          <w:highlight w:val="none"/>
        </w:rPr>
        <w:t>或</w:t>
      </w:r>
      <w:r>
        <w:rPr>
          <w:rFonts w:ascii="宋体" w:hAnsi="宋体"/>
          <w:highlight w:val="none"/>
        </w:rPr>
        <w:t>在签订合同时向</w:t>
      </w:r>
      <w:r>
        <w:rPr>
          <w:rFonts w:hint="eastAsia" w:ascii="宋体" w:hAnsi="宋体"/>
          <w:highlight w:val="none"/>
        </w:rPr>
        <w:t>采购人</w:t>
      </w:r>
      <w:r>
        <w:rPr>
          <w:rFonts w:ascii="宋体" w:hAnsi="宋体"/>
          <w:highlight w:val="none"/>
        </w:rPr>
        <w:t>提出附加条件</w:t>
      </w:r>
      <w:r>
        <w:rPr>
          <w:rFonts w:hint="eastAsia" w:ascii="宋体" w:hAnsi="宋体"/>
          <w:highlight w:val="none"/>
        </w:rPr>
        <w:t>的</w:t>
      </w:r>
      <w:r>
        <w:rPr>
          <w:rFonts w:ascii="宋体" w:hAnsi="宋体"/>
          <w:highlight w:val="none"/>
        </w:rPr>
        <w:t>，</w:t>
      </w:r>
      <w:r>
        <w:rPr>
          <w:rFonts w:hint="eastAsia" w:ascii="宋体" w:hAnsi="宋体"/>
          <w:highlight w:val="none"/>
        </w:rPr>
        <w:t>采购人</w:t>
      </w:r>
      <w:r>
        <w:rPr>
          <w:rFonts w:ascii="宋体" w:hAnsi="宋体"/>
          <w:highlight w:val="none"/>
        </w:rPr>
        <w:t>有权取消其</w:t>
      </w:r>
      <w:r>
        <w:rPr>
          <w:rFonts w:hint="eastAsia" w:ascii="宋体" w:hAnsi="宋体"/>
          <w:highlight w:val="none"/>
        </w:rPr>
        <w:t>成交</w:t>
      </w:r>
      <w:r>
        <w:rPr>
          <w:rFonts w:ascii="宋体" w:hAnsi="宋体"/>
          <w:highlight w:val="none"/>
        </w:rPr>
        <w:t>资格，其</w:t>
      </w:r>
      <w:r>
        <w:rPr>
          <w:rFonts w:hint="eastAsia" w:ascii="宋体" w:hAnsi="宋体"/>
          <w:highlight w:val="none"/>
        </w:rPr>
        <w:t>谈判保证金</w:t>
      </w:r>
      <w:r>
        <w:rPr>
          <w:rFonts w:ascii="宋体" w:hAnsi="宋体"/>
          <w:highlight w:val="none"/>
        </w:rPr>
        <w:t>不予退还；给</w:t>
      </w:r>
      <w:r>
        <w:rPr>
          <w:rFonts w:hint="eastAsia" w:ascii="宋体" w:hAnsi="宋体"/>
          <w:highlight w:val="none"/>
        </w:rPr>
        <w:t>采购人</w:t>
      </w:r>
      <w:r>
        <w:rPr>
          <w:rFonts w:ascii="宋体" w:hAnsi="宋体"/>
          <w:highlight w:val="none"/>
        </w:rPr>
        <w:t>造成的损失超过</w:t>
      </w:r>
      <w:r>
        <w:rPr>
          <w:rFonts w:hint="eastAsia" w:ascii="宋体" w:hAnsi="宋体"/>
          <w:highlight w:val="none"/>
        </w:rPr>
        <w:t>谈判保证金</w:t>
      </w:r>
      <w:r>
        <w:rPr>
          <w:rFonts w:ascii="宋体" w:hAnsi="宋体"/>
          <w:highlight w:val="none"/>
        </w:rPr>
        <w:t>数额的，</w:t>
      </w:r>
      <w:r>
        <w:rPr>
          <w:rFonts w:hint="eastAsia" w:ascii="宋体" w:hAnsi="宋体"/>
          <w:highlight w:val="none"/>
        </w:rPr>
        <w:t>成交供应商</w:t>
      </w:r>
      <w:r>
        <w:rPr>
          <w:rFonts w:ascii="宋体" w:hAnsi="宋体"/>
          <w:highlight w:val="none"/>
        </w:rPr>
        <w:t>还应当对超过部分予以赔偿。</w:t>
      </w:r>
    </w:p>
    <w:p>
      <w:pPr>
        <w:spacing w:line="360" w:lineRule="auto"/>
        <w:ind w:firstLine="422" w:firstLineChars="200"/>
        <w:rPr>
          <w:rFonts w:hint="eastAsia" w:ascii="宋体" w:hAnsi="宋体"/>
          <w:szCs w:val="21"/>
          <w:highlight w:val="none"/>
        </w:rPr>
      </w:pPr>
      <w:r>
        <w:rPr>
          <w:rFonts w:hint="eastAsia" w:ascii="宋体" w:hAnsi="宋体"/>
          <w:b/>
          <w:szCs w:val="21"/>
          <w:highlight w:val="none"/>
        </w:rPr>
        <w:t xml:space="preserve">5.5.2 </w:t>
      </w:r>
      <w:r>
        <w:rPr>
          <w:rFonts w:hint="eastAsia" w:ascii="宋体" w:hAnsi="宋体"/>
          <w:bCs/>
          <w:szCs w:val="21"/>
          <w:highlight w:val="none"/>
        </w:rPr>
        <w:t>成交</w:t>
      </w:r>
      <w:r>
        <w:rPr>
          <w:rFonts w:hint="eastAsia" w:ascii="宋体" w:hAnsi="宋体"/>
          <w:highlight w:val="none"/>
        </w:rPr>
        <w:t>供应商</w:t>
      </w:r>
      <w:r>
        <w:rPr>
          <w:rFonts w:hint="eastAsia" w:ascii="宋体" w:hAnsi="宋体"/>
          <w:bCs/>
          <w:szCs w:val="21"/>
          <w:highlight w:val="none"/>
        </w:rPr>
        <w:t>放弃成交资格或被取消成交资格的，</w:t>
      </w:r>
      <w:r>
        <w:rPr>
          <w:rFonts w:hint="eastAsia" w:ascii="宋体" w:hAnsi="宋体"/>
          <w:szCs w:val="21"/>
          <w:highlight w:val="none"/>
        </w:rPr>
        <w:t>采购人有权</w:t>
      </w:r>
      <w:r>
        <w:rPr>
          <w:rFonts w:hint="eastAsia" w:ascii="宋体" w:hAnsi="宋体" w:cs="宋体"/>
          <w:bCs/>
          <w:szCs w:val="21"/>
          <w:highlight w:val="none"/>
        </w:rPr>
        <w:t>按照评委会推荐的其他</w:t>
      </w:r>
      <w:r>
        <w:rPr>
          <w:rFonts w:hint="eastAsia" w:ascii="宋体" w:hAnsi="宋体" w:cs="宋体"/>
          <w:bCs/>
          <w:color w:val="000000"/>
          <w:szCs w:val="21"/>
          <w:highlight w:val="none"/>
        </w:rPr>
        <w:t>成交候选人名单依次确定其他成交候选人</w:t>
      </w:r>
      <w:r>
        <w:rPr>
          <w:rFonts w:hint="eastAsia" w:ascii="宋体" w:hAnsi="宋体"/>
          <w:szCs w:val="21"/>
          <w:highlight w:val="none"/>
        </w:rPr>
        <w:t>为成交</w:t>
      </w:r>
      <w:r>
        <w:rPr>
          <w:rFonts w:hint="eastAsia" w:ascii="宋体" w:hAnsi="宋体"/>
          <w:highlight w:val="none"/>
        </w:rPr>
        <w:t>供应商</w:t>
      </w:r>
      <w:r>
        <w:rPr>
          <w:rFonts w:hint="eastAsia" w:ascii="宋体" w:hAnsi="宋体"/>
          <w:szCs w:val="21"/>
          <w:highlight w:val="none"/>
        </w:rPr>
        <w:t>，也可以重新谈判或采用其他采购方式确定成交</w:t>
      </w:r>
      <w:r>
        <w:rPr>
          <w:rFonts w:hint="eastAsia" w:ascii="宋体" w:hAnsi="宋体"/>
          <w:highlight w:val="none"/>
        </w:rPr>
        <w:t>供应商</w:t>
      </w:r>
      <w:r>
        <w:rPr>
          <w:rFonts w:hint="eastAsia" w:ascii="宋体" w:hAnsi="宋体"/>
          <w:szCs w:val="21"/>
          <w:highlight w:val="none"/>
        </w:rPr>
        <w:t>。</w:t>
      </w:r>
    </w:p>
    <w:p>
      <w:pPr>
        <w:spacing w:line="360" w:lineRule="auto"/>
        <w:ind w:firstLine="883" w:firstLineChars="200"/>
        <w:rPr>
          <w:b/>
          <w:sz w:val="44"/>
          <w:szCs w:val="44"/>
          <w:highlight w:val="none"/>
        </w:rPr>
      </w:pPr>
    </w:p>
    <w:p>
      <w:pPr>
        <w:spacing w:line="360" w:lineRule="auto"/>
        <w:ind w:firstLine="420" w:firstLineChars="200"/>
        <w:rPr>
          <w:rFonts w:hint="eastAsia" w:ascii="宋体" w:hAnsi="宋体"/>
          <w:szCs w:val="21"/>
          <w:highlight w:val="none"/>
        </w:rPr>
        <w:sectPr>
          <w:pgSz w:w="11906" w:h="16838"/>
          <w:pgMar w:top="1440" w:right="1800" w:bottom="1440" w:left="1800" w:header="851" w:footer="992" w:gutter="0"/>
          <w:cols w:space="720" w:num="1"/>
          <w:docGrid w:type="lines" w:linePitch="312" w:charSpace="0"/>
        </w:sectPr>
      </w:pPr>
    </w:p>
    <w:bookmarkEnd w:id="202"/>
    <w:p>
      <w:pPr>
        <w:pageBreakBefore/>
        <w:spacing w:before="156" w:beforeLines="50" w:after="156" w:afterLines="50" w:line="360" w:lineRule="auto"/>
        <w:jc w:val="center"/>
        <w:outlineLvl w:val="0"/>
        <w:rPr>
          <w:rStyle w:val="38"/>
          <w:highlight w:val="none"/>
        </w:rPr>
      </w:pPr>
      <w:bookmarkStart w:id="258" w:name="_Toc29572"/>
      <w:bookmarkStart w:id="259" w:name="_Toc8439"/>
      <w:bookmarkStart w:id="260" w:name="_Toc25020"/>
      <w:bookmarkStart w:id="261" w:name="_Toc29885"/>
      <w:bookmarkStart w:id="262" w:name="_Toc25129"/>
      <w:bookmarkStart w:id="263" w:name="_Toc15229"/>
      <w:bookmarkStart w:id="264" w:name="_Toc19961"/>
      <w:bookmarkStart w:id="265" w:name="_Toc16860"/>
      <w:bookmarkStart w:id="266" w:name="_Toc3563"/>
      <w:r>
        <w:rPr>
          <w:rStyle w:val="38"/>
          <w:rFonts w:hint="eastAsia"/>
          <w:highlight w:val="none"/>
        </w:rPr>
        <w:t>第四章  用户需求</w:t>
      </w:r>
      <w:bookmarkEnd w:id="258"/>
    </w:p>
    <w:bookmarkEnd w:id="259"/>
    <w:bookmarkEnd w:id="260"/>
    <w:bookmarkEnd w:id="261"/>
    <w:bookmarkEnd w:id="262"/>
    <w:bookmarkEnd w:id="263"/>
    <w:bookmarkEnd w:id="264"/>
    <w:bookmarkEnd w:id="265"/>
    <w:bookmarkEnd w:id="266"/>
    <w:p>
      <w:pPr>
        <w:jc w:val="center"/>
        <w:rPr>
          <w:highlight w:val="none"/>
          <w:lang w:eastAsia="zh"/>
        </w:rPr>
      </w:pPr>
      <w:r>
        <w:rPr>
          <w:rFonts w:hint="eastAsia"/>
          <w:color w:val="FF0000"/>
          <w:highlight w:val="none"/>
          <w:lang w:eastAsia="zh"/>
        </w:rPr>
        <w:t>（根据本单位实际保障需求进行补充）</w:t>
      </w:r>
    </w:p>
    <w:p>
      <w:pPr>
        <w:numPr>
          <w:ilvl w:val="0"/>
          <w:numId w:val="4"/>
        </w:numPr>
        <w:spacing w:line="460" w:lineRule="exact"/>
        <w:rPr>
          <w:rFonts w:hint="eastAsia" w:ascii="宋体" w:hAnsi="宋体" w:cs="宋体"/>
          <w:b/>
          <w:bCs/>
          <w:szCs w:val="21"/>
          <w:highlight w:val="none"/>
        </w:rPr>
      </w:pPr>
      <w:bookmarkStart w:id="267" w:name="_Toc5660"/>
      <w:bookmarkStart w:id="268" w:name="_Toc18613"/>
      <w:r>
        <w:rPr>
          <w:rFonts w:hint="eastAsia" w:ascii="宋体" w:hAnsi="宋体" w:cs="宋体"/>
          <w:b/>
          <w:bCs/>
          <w:szCs w:val="21"/>
          <w:highlight w:val="none"/>
        </w:rPr>
        <w:t>项目基本背景</w:t>
      </w:r>
    </w:p>
    <w:p>
      <w:pPr>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为满足</w:t>
      </w:r>
      <w:r>
        <w:rPr>
          <w:rFonts w:hint="eastAsia" w:ascii="宋体" w:hAnsi="宋体" w:cs="宋体"/>
          <w:color w:val="0000FF"/>
          <w:szCs w:val="21"/>
          <w:highlight w:val="none"/>
        </w:rPr>
        <w:t>【XX机场】</w:t>
      </w:r>
      <w:r>
        <w:rPr>
          <w:rFonts w:hint="eastAsia" w:ascii="宋体" w:hAnsi="宋体" w:cs="宋体"/>
          <w:szCs w:val="21"/>
          <w:highlight w:val="none"/>
        </w:rPr>
        <w:t>中转、航延酒店服务需求，特开展本项目。本项目总预算为</w:t>
      </w:r>
      <w:r>
        <w:rPr>
          <w:rFonts w:hint="eastAsia" w:ascii="宋体" w:hAnsi="宋体" w:cs="宋体"/>
          <w:color w:val="0000FF"/>
          <w:szCs w:val="21"/>
          <w:highlight w:val="none"/>
        </w:rPr>
        <w:t>【XX万元/XX年（含税）】。</w:t>
      </w:r>
    </w:p>
    <w:p>
      <w:pPr>
        <w:numPr>
          <w:ilvl w:val="0"/>
          <w:numId w:val="4"/>
        </w:numPr>
        <w:spacing w:line="460" w:lineRule="exact"/>
        <w:rPr>
          <w:rFonts w:hint="eastAsia" w:ascii="宋体" w:hAnsi="宋体" w:cs="宋体"/>
          <w:b/>
          <w:bCs/>
          <w:szCs w:val="21"/>
          <w:highlight w:val="none"/>
        </w:rPr>
      </w:pPr>
      <w:r>
        <w:rPr>
          <w:rFonts w:hint="eastAsia" w:ascii="宋体" w:hAnsi="宋体" w:cs="宋体"/>
          <w:b/>
          <w:bCs/>
          <w:szCs w:val="21"/>
          <w:highlight w:val="none"/>
        </w:rPr>
        <w:t>对购买产品、服务的基本技术参数描述</w:t>
      </w:r>
    </w:p>
    <w:p>
      <w:pPr>
        <w:pStyle w:val="2"/>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（一）采购内容详见采购公告项目简介1.5。</w:t>
      </w:r>
    </w:p>
    <w:p>
      <w:pPr>
        <w:spacing w:line="460" w:lineRule="exact"/>
        <w:ind w:firstLine="420" w:firstLineChars="200"/>
        <w:rPr>
          <w:rFonts w:hint="eastAsia" w:ascii="宋体" w:hAnsi="宋体" w:eastAsia="宋体" w:cs="宋体"/>
          <w:szCs w:val="21"/>
          <w:highlight w:val="none"/>
          <w:lang w:eastAsia="zh-CN"/>
        </w:rPr>
      </w:pPr>
      <w:r>
        <w:rPr>
          <w:rFonts w:hint="eastAsia" w:ascii="宋体" w:hAnsi="宋体" w:cs="宋体"/>
          <w:szCs w:val="21"/>
          <w:highlight w:val="none"/>
        </w:rPr>
        <w:t>（二）分配原则</w:t>
      </w:r>
      <w:r>
        <w:rPr>
          <w:rFonts w:hint="eastAsia" w:ascii="宋体" w:hAnsi="宋体" w:cs="宋体"/>
          <w:color w:val="0000FF"/>
          <w:sz w:val="21"/>
          <w:szCs w:val="21"/>
          <w:highlight w:val="none"/>
        </w:rPr>
        <w:t>【</w:t>
      </w:r>
      <w:r>
        <w:rPr>
          <w:rFonts w:hint="eastAsia" w:ascii="宋体" w:hAnsi="宋体" w:cs="宋体"/>
          <w:color w:val="0000FF"/>
          <w:sz w:val="21"/>
          <w:szCs w:val="21"/>
          <w:highlight w:val="none"/>
          <w:lang w:eastAsia="zh-CN"/>
        </w:rPr>
        <w:t>注：</w:t>
      </w:r>
      <w:r>
        <w:rPr>
          <w:rFonts w:hint="eastAsia" w:ascii="宋体" w:hAnsi="宋体" w:cs="宋体"/>
          <w:color w:val="0000FF"/>
          <w:szCs w:val="21"/>
          <w:highlight w:val="none"/>
        </w:rPr>
        <w:t>分配原则</w:t>
      </w:r>
      <w:r>
        <w:rPr>
          <w:rFonts w:hint="eastAsia" w:ascii="宋体" w:hAnsi="宋体" w:cs="宋体"/>
          <w:color w:val="0000FF"/>
          <w:szCs w:val="21"/>
          <w:highlight w:val="none"/>
          <w:lang w:val="en-US" w:eastAsia="zh-CN"/>
        </w:rPr>
        <w:t>须在采购文件中公示</w:t>
      </w:r>
      <w:r>
        <w:rPr>
          <w:rFonts w:hint="eastAsia" w:ascii="宋体" w:hAnsi="宋体" w:cs="宋体"/>
          <w:color w:val="0000FF"/>
          <w:szCs w:val="21"/>
          <w:highlight w:val="none"/>
          <w:lang w:eastAsia="zh-CN"/>
        </w:rPr>
        <w:t>，</w:t>
      </w:r>
      <w:r>
        <w:rPr>
          <w:rFonts w:hint="eastAsia" w:ascii="宋体" w:hAnsi="宋体" w:cs="宋体"/>
          <w:color w:val="0000FF"/>
          <w:szCs w:val="21"/>
          <w:highlight w:val="none"/>
          <w:lang w:val="en-US" w:eastAsia="zh-CN"/>
        </w:rPr>
        <w:t>并遵循公开、</w:t>
      </w:r>
      <w:r>
        <w:rPr>
          <w:rFonts w:hint="eastAsia" w:ascii="宋体" w:hAnsi="宋体" w:cs="宋体"/>
          <w:color w:val="0000FF"/>
          <w:szCs w:val="21"/>
          <w:highlight w:val="none"/>
          <w:lang w:eastAsia="zh-CN"/>
        </w:rPr>
        <w:t>透明、可操作</w:t>
      </w:r>
      <w:r>
        <w:rPr>
          <w:rFonts w:hint="eastAsia" w:ascii="宋体" w:hAnsi="宋体" w:cs="宋体"/>
          <w:color w:val="0000FF"/>
          <w:szCs w:val="21"/>
          <w:highlight w:val="none"/>
          <w:lang w:val="en-US" w:eastAsia="zh-CN"/>
        </w:rPr>
        <w:t>的原则</w:t>
      </w:r>
      <w:r>
        <w:rPr>
          <w:rFonts w:hint="eastAsia" w:ascii="宋体" w:hAnsi="宋体" w:cs="宋体"/>
          <w:color w:val="0000FF"/>
          <w:sz w:val="21"/>
          <w:szCs w:val="21"/>
          <w:highlight w:val="none"/>
        </w:rPr>
        <w:t>】</w:t>
      </w:r>
    </w:p>
    <w:p>
      <w:pPr>
        <w:spacing w:line="460" w:lineRule="exact"/>
        <w:ind w:firstLine="420" w:firstLineChars="200"/>
        <w:rPr>
          <w:rFonts w:hint="eastAsia" w:ascii="宋体" w:hAnsi="宋体" w:cs="宋体"/>
          <w:color w:val="auto"/>
          <w:sz w:val="21"/>
          <w:szCs w:val="21"/>
          <w:highlight w:val="none"/>
        </w:rPr>
      </w:pPr>
      <w:permStart w:id="31" w:edGrp="everyone"/>
      <w:r>
        <w:rPr>
          <w:rFonts w:hint="eastAsia" w:ascii="宋体" w:hAnsi="宋体" w:cs="宋体"/>
          <w:color w:val="auto"/>
          <w:sz w:val="21"/>
          <w:szCs w:val="21"/>
          <w:highlight w:val="none"/>
        </w:rPr>
        <w:t>中转旅客分配原则：中转旅客(中转免费旅客、中转错失旅客）对中选酒店进行自选；航延旅客（不正常航班、超售、备降、遣返等）分配原则：结合</w:t>
      </w:r>
      <w:r>
        <w:rPr>
          <w:rFonts w:hint="eastAsia" w:ascii="宋体" w:hAnsi="宋体" w:cs="宋体"/>
          <w:color w:val="auto"/>
          <w:sz w:val="21"/>
          <w:szCs w:val="21"/>
          <w:highlight w:val="none"/>
          <w:lang w:val="en-US" w:eastAsia="zh-CN"/>
        </w:rPr>
        <w:t>采购人</w:t>
      </w:r>
      <w:r>
        <w:rPr>
          <w:rFonts w:hint="eastAsia" w:ascii="宋体" w:hAnsi="宋体" w:cs="宋体"/>
          <w:color w:val="auto"/>
          <w:sz w:val="21"/>
          <w:szCs w:val="21"/>
          <w:highlight w:val="none"/>
        </w:rPr>
        <w:t>业务需要，根据航延酒店值班规则，并由</w:t>
      </w:r>
      <w:r>
        <w:rPr>
          <w:rFonts w:hint="eastAsia" w:ascii="宋体" w:hAnsi="宋体" w:cs="宋体"/>
          <w:color w:val="auto"/>
          <w:sz w:val="21"/>
          <w:szCs w:val="21"/>
          <w:highlight w:val="none"/>
          <w:lang w:val="en-US" w:eastAsia="zh-CN"/>
        </w:rPr>
        <w:t>采购人使用单位</w:t>
      </w:r>
      <w:r>
        <w:rPr>
          <w:rFonts w:hint="eastAsia" w:ascii="宋体" w:hAnsi="宋体" w:cs="宋体"/>
          <w:color w:val="auto"/>
          <w:sz w:val="21"/>
          <w:szCs w:val="21"/>
          <w:highlight w:val="none"/>
        </w:rPr>
        <w:t>结合酒店考察排名情况、酒店值班表顺序、酒店可用房量以及航延旅客预估量等综合情况，对值班酒店进行滚动安排。</w:t>
      </w:r>
    </w:p>
    <w:p>
      <w:pPr>
        <w:spacing w:line="460" w:lineRule="exact"/>
        <w:ind w:left="0" w:leftChars="0"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注：酒店考察排名</w:t>
      </w:r>
      <w:r>
        <w:rPr>
          <w:rFonts w:hint="eastAsia" w:ascii="宋体" w:hAnsi="宋体" w:cs="宋体"/>
          <w:color w:val="auto"/>
          <w:sz w:val="21"/>
          <w:szCs w:val="21"/>
          <w:highlight w:val="none"/>
          <w:lang w:val="en-US" w:eastAsia="zh-CN"/>
        </w:rPr>
        <w:t>机制如下</w:t>
      </w:r>
      <w:r>
        <w:rPr>
          <w:rFonts w:hint="eastAsia" w:ascii="宋体" w:hAnsi="宋体" w:cs="宋体"/>
          <w:color w:val="auto"/>
          <w:sz w:val="21"/>
          <w:szCs w:val="21"/>
          <w:highlight w:val="none"/>
          <w:lang w:eastAsia="zh-CN"/>
        </w:rPr>
        <w:t>：采购人</w:t>
      </w:r>
      <w:r>
        <w:rPr>
          <w:rFonts w:hint="eastAsia" w:ascii="宋体" w:hAnsi="宋体" w:cs="宋体"/>
          <w:color w:val="auto"/>
          <w:sz w:val="21"/>
          <w:szCs w:val="21"/>
          <w:highlight w:val="none"/>
          <w:lang w:val="en-US" w:eastAsia="zh-CN"/>
        </w:rPr>
        <w:t>使用单位</w:t>
      </w:r>
      <w:r>
        <w:rPr>
          <w:rFonts w:hint="eastAsia" w:ascii="宋体" w:hAnsi="宋体" w:cs="宋体"/>
          <w:color w:val="auto"/>
          <w:sz w:val="21"/>
          <w:szCs w:val="21"/>
          <w:highlight w:val="none"/>
          <w:lang w:eastAsia="zh-CN"/>
        </w:rPr>
        <w:t>定期对酒店进行考察排名，并将考察结果运用到航延旅客分配中，</w:t>
      </w:r>
      <w:r>
        <w:rPr>
          <w:rFonts w:hint="eastAsia" w:ascii="宋体" w:hAnsi="宋体" w:cs="宋体"/>
          <w:color w:val="auto"/>
          <w:szCs w:val="21"/>
          <w:highlight w:val="none"/>
        </w:rPr>
        <w:t>原则上以季度为周期进行考核</w:t>
      </w:r>
      <w:r>
        <w:rPr>
          <w:rFonts w:hint="eastAsia" w:ascii="宋体" w:hAnsi="宋体" w:cs="宋体"/>
          <w:color w:val="auto"/>
          <w:szCs w:val="21"/>
          <w:highlight w:val="none"/>
          <w:lang w:eastAsia="zh-CN"/>
        </w:rPr>
        <w:t>。</w:t>
      </w:r>
      <w:r>
        <w:rPr>
          <w:rFonts w:hint="eastAsia" w:ascii="宋体" w:hAnsi="宋体" w:cs="宋体"/>
          <w:color w:val="auto"/>
          <w:szCs w:val="21"/>
          <w:highlight w:val="none"/>
        </w:rPr>
        <w:t>首次业务使用以采购评审</w:t>
      </w:r>
      <w:r>
        <w:rPr>
          <w:rFonts w:hint="eastAsia" w:ascii="宋体" w:hAnsi="宋体" w:cs="宋体"/>
          <w:color w:val="auto"/>
          <w:szCs w:val="21"/>
          <w:highlight w:val="none"/>
          <w:lang w:eastAsia="zh-CN"/>
        </w:rPr>
        <w:t>得分</w:t>
      </w:r>
      <w:r>
        <w:rPr>
          <w:rFonts w:hint="eastAsia" w:ascii="宋体" w:hAnsi="宋体" w:cs="宋体"/>
          <w:color w:val="auto"/>
          <w:szCs w:val="21"/>
          <w:highlight w:val="none"/>
        </w:rPr>
        <w:t>排</w:t>
      </w:r>
      <w:r>
        <w:rPr>
          <w:rFonts w:hint="eastAsia" w:ascii="宋体" w:hAnsi="宋体" w:cs="宋体"/>
          <w:color w:val="auto"/>
          <w:szCs w:val="21"/>
          <w:highlight w:val="none"/>
          <w:lang w:eastAsia="zh-CN"/>
        </w:rPr>
        <w:t>序</w:t>
      </w:r>
      <w:r>
        <w:rPr>
          <w:rFonts w:hint="eastAsia" w:ascii="宋体" w:hAnsi="宋体" w:cs="宋体"/>
          <w:color w:val="auto"/>
          <w:szCs w:val="21"/>
          <w:highlight w:val="none"/>
        </w:rPr>
        <w:t>为准轮流，发生考核评估后业务使用以考核排名为准轮流。</w:t>
      </w:r>
      <w:r>
        <w:rPr>
          <w:rFonts w:hint="eastAsia" w:ascii="宋体" w:hAnsi="宋体" w:cs="宋体"/>
          <w:color w:val="auto"/>
          <w:szCs w:val="21"/>
          <w:highlight w:val="none"/>
          <w:lang w:eastAsia="zh-CN"/>
        </w:rPr>
        <w:t>考核内容包括但不限于</w:t>
      </w:r>
      <w:r>
        <w:rPr>
          <w:rFonts w:hint="eastAsia" w:ascii="宋体" w:hAnsi="宋体" w:cs="宋体"/>
          <w:color w:val="auto"/>
          <w:szCs w:val="21"/>
          <w:highlight w:val="none"/>
        </w:rPr>
        <w:t>中选供应商的住宿服务质量、餐食服务质量、车辆服务质量、软性服务、房源响应情况、其它合作配合度等</w:t>
      </w:r>
      <w:r>
        <w:rPr>
          <w:rFonts w:hint="eastAsia" w:ascii="宋体" w:hAnsi="宋体" w:cs="宋体"/>
          <w:color w:val="auto"/>
          <w:szCs w:val="21"/>
          <w:highlight w:val="none"/>
          <w:lang w:eastAsia="zh-CN"/>
        </w:rPr>
        <w:t>方面</w:t>
      </w:r>
      <w:r>
        <w:rPr>
          <w:rFonts w:hint="eastAsia" w:ascii="宋体" w:hAnsi="宋体" w:cs="宋体"/>
          <w:color w:val="auto"/>
          <w:szCs w:val="21"/>
          <w:highlight w:val="none"/>
        </w:rPr>
        <w:t>。</w:t>
      </w:r>
    </w:p>
    <w:permEnd w:id="31"/>
    <w:p>
      <w:pPr>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（三）补充说明</w:t>
      </w:r>
    </w:p>
    <w:p>
      <w:pPr>
        <w:spacing w:line="460" w:lineRule="exact"/>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1</w:t>
      </w:r>
      <w:r>
        <w:rPr>
          <w:rFonts w:hint="eastAsia" w:ascii="宋体" w:hAnsi="宋体" w:cs="宋体"/>
          <w:szCs w:val="21"/>
          <w:highlight w:val="none"/>
        </w:rPr>
        <w:t>.若出现中选供应商违约等其它问题导致业务暂停，无法满足采购人业务需求的情况，业务分配原则上根据现场实际需求，由其它同类中选供应商依照上述业务安排方式轮流承担，中选供应商不得就以上业务分配问题追究采购人责任。</w:t>
      </w:r>
    </w:p>
    <w:p>
      <w:pPr>
        <w:spacing w:line="460" w:lineRule="exact"/>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2</w:t>
      </w:r>
      <w:r>
        <w:rPr>
          <w:rFonts w:hint="eastAsia" w:ascii="宋体" w:hAnsi="宋体" w:cs="宋体"/>
          <w:szCs w:val="21"/>
          <w:highlight w:val="none"/>
        </w:rPr>
        <w:t>.如果中选供应商在合同签订前、签订后经采购人查证、或以其他方式取证证实其投标资料造假的将被取消中标资格或终止合同。</w:t>
      </w:r>
    </w:p>
    <w:p>
      <w:pPr>
        <w:spacing w:line="460" w:lineRule="exact"/>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3</w:t>
      </w:r>
      <w:r>
        <w:rPr>
          <w:rFonts w:hint="eastAsia" w:ascii="宋体" w:hAnsi="宋体" w:cs="宋体"/>
          <w:szCs w:val="21"/>
          <w:highlight w:val="none"/>
        </w:rPr>
        <w:t>.原则上每季度开展一次酒店考核评估（结合酒店的住宿服务质量、餐食服务质量、车辆服务质量、软性服务、房源响应情况、其它合作配合度等进行考核评估），考评不合格的酒店将取消合作资格，具体考核方案由采购人根据实际需求制定的为准。</w:t>
      </w:r>
    </w:p>
    <w:p>
      <w:pPr>
        <w:spacing w:line="460" w:lineRule="exact"/>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4</w:t>
      </w:r>
      <w:r>
        <w:rPr>
          <w:rFonts w:hint="eastAsia" w:ascii="宋体" w:hAnsi="宋体" w:cs="宋体"/>
          <w:szCs w:val="21"/>
          <w:highlight w:val="none"/>
        </w:rPr>
        <w:t>.针对采购人的航延旅客，中选供应商为其提供餐食（包括早餐、午餐、晚餐及夜宵）及车辆交通服务（如有），采购人根据实际用量支付相关费用，具体要求详见用户需求。</w:t>
      </w:r>
    </w:p>
    <w:p>
      <w:pPr>
        <w:spacing w:line="460" w:lineRule="exact"/>
        <w:ind w:firstLine="420" w:firstLineChars="200"/>
        <w:rPr>
          <w:rFonts w:hint="eastAsia" w:ascii="宋体" w:hAnsi="宋体" w:cs="宋体"/>
          <w:szCs w:val="21"/>
          <w:highlight w:val="none"/>
        </w:rPr>
      </w:pPr>
      <w:r>
        <w:rPr>
          <w:rFonts w:hint="eastAsia" w:ascii="宋体" w:hAnsi="宋体" w:cs="宋体"/>
          <w:szCs w:val="21"/>
          <w:highlight w:val="none"/>
          <w:lang w:val="en-US" w:eastAsia="zh-CN"/>
        </w:rPr>
        <w:t>5</w:t>
      </w:r>
      <w:r>
        <w:rPr>
          <w:rFonts w:hint="eastAsia" w:ascii="宋体" w:hAnsi="宋体" w:cs="宋体"/>
          <w:szCs w:val="21"/>
          <w:highlight w:val="none"/>
        </w:rPr>
        <w:t>.针对采购人的中转旅客，中选供应商为其提供早餐及车辆交通服务（如有），采购人根据实际用量支付相关费用；中选供应商为其提供午餐、晚餐及夜宵，餐食费用由中选供应商自行向旅客收取，采购人不支付相关费用。</w:t>
      </w:r>
    </w:p>
    <w:p>
      <w:pPr>
        <w:numPr>
          <w:ilvl w:val="0"/>
          <w:numId w:val="4"/>
        </w:numPr>
        <w:spacing w:line="460" w:lineRule="exact"/>
        <w:rPr>
          <w:rFonts w:hint="eastAsia" w:ascii="宋体" w:hAnsi="宋体" w:cs="宋体"/>
          <w:b/>
          <w:bCs/>
          <w:szCs w:val="21"/>
          <w:highlight w:val="none"/>
        </w:rPr>
      </w:pPr>
      <w:r>
        <w:rPr>
          <w:rFonts w:hint="eastAsia" w:ascii="宋体" w:hAnsi="宋体" w:cs="宋体"/>
          <w:b/>
          <w:bCs/>
          <w:szCs w:val="21"/>
          <w:highlight w:val="none"/>
        </w:rPr>
        <w:t>项目预实现的业务的功能、目标</w:t>
      </w:r>
    </w:p>
    <w:p>
      <w:pPr>
        <w:pStyle w:val="9"/>
        <w:spacing w:line="460" w:lineRule="exact"/>
        <w:ind w:firstLine="420" w:firstLineChars="200"/>
        <w:rPr>
          <w:rFonts w:hint="eastAsia" w:ascii="宋体" w:hAnsi="宋体" w:cs="宋体"/>
          <w:sz w:val="21"/>
          <w:szCs w:val="21"/>
          <w:highlight w:val="none"/>
        </w:rPr>
      </w:pPr>
      <w:r>
        <w:rPr>
          <w:rFonts w:hint="eastAsia" w:ascii="宋体" w:hAnsi="宋体" w:cs="宋体"/>
          <w:sz w:val="21"/>
          <w:szCs w:val="21"/>
          <w:highlight w:val="none"/>
        </w:rPr>
        <w:t>（一）合同期限及要求</w:t>
      </w:r>
    </w:p>
    <w:p>
      <w:pPr>
        <w:pStyle w:val="9"/>
        <w:spacing w:line="460" w:lineRule="exact"/>
        <w:ind w:firstLine="420" w:firstLineChars="200"/>
        <w:rPr>
          <w:rFonts w:hint="eastAsia" w:ascii="宋体" w:hAnsi="宋体" w:cs="宋体"/>
          <w:sz w:val="21"/>
          <w:szCs w:val="21"/>
          <w:highlight w:val="none"/>
        </w:rPr>
      </w:pPr>
      <w:r>
        <w:rPr>
          <w:rFonts w:hint="eastAsia" w:ascii="宋体" w:hAnsi="宋体" w:cs="宋体"/>
          <w:sz w:val="21"/>
          <w:szCs w:val="21"/>
          <w:highlight w:val="none"/>
        </w:rPr>
        <w:t>本项目自合同生效之日起</w:t>
      </w:r>
      <w:r>
        <w:rPr>
          <w:rFonts w:hint="eastAsia" w:ascii="宋体" w:hAnsi="宋体" w:cs="宋体"/>
          <w:color w:val="0000FF"/>
          <w:sz w:val="21"/>
          <w:szCs w:val="21"/>
          <w:highlight w:val="none"/>
        </w:rPr>
        <w:t>【XX年】</w:t>
      </w:r>
      <w:r>
        <w:rPr>
          <w:rFonts w:hint="eastAsia" w:ascii="宋体" w:hAnsi="宋体" w:cs="宋体"/>
          <w:sz w:val="21"/>
          <w:szCs w:val="21"/>
          <w:highlight w:val="none"/>
        </w:rPr>
        <w:t>，具体起始时间以双方签署合同内容为准。</w:t>
      </w:r>
    </w:p>
    <w:p>
      <w:pPr>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（二）住宿服务要求</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1.采购人应在航班延误或取消后旅客有住宿需求以及中转旅客有住宿需求时，及时将相关信息通知供应商。该信息包括：采购人联系人姓名、旅客航班号、延误或取消原因、旅客舱位等级及人数，供应商进行信息记录。采购人也应将取消预定房间的信息及时通知供应商。</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2.供应商在接到采购人通知后，应及时做好准备工作，按采购人告知的旅客人数至少提前2小时预留房间。如遇特殊情况供应商房间数量不足以支撑全部旅客人数时，经双方商议进行旅客住宿安排。</w:t>
      </w:r>
    </w:p>
    <w:p>
      <w:pPr>
        <w:tabs>
          <w:tab w:val="left" w:pos="0"/>
        </w:tabs>
        <w:spacing w:line="460" w:lineRule="exact"/>
        <w:ind w:firstLine="420" w:firstLineChars="200"/>
        <w:rPr>
          <w:rFonts w:hint="eastAsia" w:ascii="宋体" w:hAnsi="宋体" w:cs="宋体"/>
          <w:szCs w:val="21"/>
          <w:highlight w:val="none"/>
          <w:lang w:val="zh-CN"/>
        </w:rPr>
      </w:pPr>
      <w:r>
        <w:rPr>
          <w:rFonts w:hint="eastAsia" w:ascii="宋体" w:hAnsi="宋体" w:cs="宋体"/>
          <w:szCs w:val="21"/>
          <w:highlight w:val="none"/>
        </w:rPr>
        <w:t>3.</w:t>
      </w:r>
      <w:r>
        <w:rPr>
          <w:rFonts w:hint="eastAsia" w:ascii="宋体" w:hAnsi="宋体" w:cs="宋体"/>
          <w:szCs w:val="21"/>
          <w:highlight w:val="none"/>
          <w:lang w:val="zh-CN"/>
        </w:rPr>
        <w:t>双方应切实做好旅客交接手续，记录交接时间、地点、安排人数、车辆接送时间等信息，并互相签字确认，及时发布在酒店安排工作信息群（由供应商项目负责人微信号建立）。</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4.采购人通知供应商具体需提供住宿服务的航班号，供应商接待的旅客须持有该航班的登机牌、行程单或订票信息等，供应商拍照留存，同时留存旅客身份证照片。供应商记录的旅客人数须由采购人业务部门人员签字后生效。</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5.针对中转旅客，采购人授权人员将中转旅客使用坤翔系统生成的住宿单号提供至供应商，供应商核对旅客住宿单号后，按标准为中转旅客提供住宿。</w:t>
      </w:r>
      <w:r>
        <w:rPr>
          <w:rFonts w:hint="eastAsia" w:ascii="宋体" w:hAnsi="宋体" w:cs="宋体"/>
          <w:color w:val="0000FF"/>
          <w:szCs w:val="21"/>
          <w:highlight w:val="none"/>
        </w:rPr>
        <w:t>【如因特殊情况导致系统无法提取，采购人需填写《南航旅客酒店住宿券》，供应商方可安排其入住酒店（《南航旅客酒店住宿券》同坤翔系统生成的信息）。】</w:t>
      </w:r>
      <w:r>
        <w:rPr>
          <w:rFonts w:hint="eastAsia" w:ascii="宋体" w:hAnsi="宋体" w:cs="宋体"/>
          <w:szCs w:val="21"/>
          <w:highlight w:val="none"/>
        </w:rPr>
        <w:t>中转旅客住宿时间超出其在坤翔系统内住宿单号中所列天数时，超出部分由旅客自理，供应商应做好解释工作。</w:t>
      </w:r>
      <w:r>
        <w:rPr>
          <w:rFonts w:hint="eastAsia" w:ascii="宋体" w:hAnsi="宋体" w:cs="宋体"/>
          <w:szCs w:val="21"/>
          <w:highlight w:val="none"/>
          <w:lang w:val="zh-CN"/>
        </w:rPr>
        <w:t>本条款由旅客承担的费用由供应商直接与旅客结算。</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6.供应商须按不同的航班或目的站尽快向旅客发放客房钥匙，并详细登记到达酒店的旅客人数、姓名、舱位等级、票号、日期、延误或取消原因、航班变更后的起飞时间，并将采购人提供的航班信息以告示方式公布在酒店的明显位置。 住宿须具备24小时酒店前台服务。</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7.采购人应与供应商保持畅通的信息渠道。采购人住宿安排人员与供应商对接人员（包括前台接待人员及项目负责人）互留电话及微信等联系方式，及时将新的航班起飞时间和要求发车时间告知供应商。采购人通知供应商后，供应商须实时应答。</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8.供应商为南航重要旅客（可附加其随行人员1名）、南航明珠头等舱/头等舱/公务舱旅客、南航明珠铂金/金/银卡旅客、南航合作伙伴超级精英/精英旅客、南航明珠经济舱旅客及特殊要求单间的经济舱旅客（如外籍人士、有宗教信仰的旅客），应安排单人单间。对经济舱旅客，安排两人一间。</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9.</w:t>
      </w:r>
      <w:r>
        <w:rPr>
          <w:rFonts w:hint="eastAsia" w:ascii="宋体" w:hAnsi="宋体" w:cs="宋体"/>
          <w:color w:val="0000FF"/>
          <w:szCs w:val="21"/>
          <w:highlight w:val="none"/>
        </w:rPr>
        <w:t>【外籍旅客及有宗教信仰的旅客航延住宿，对于互不认识的旅客禁止安排在同一房间，旅客单独住宿的按一间房标准（100%住宿费）结算。经济舱旅客余数为单男或单女时，供应商须提供单独房间，费用按1人标准（50%住宿费）结算。】</w:t>
      </w:r>
      <w:r>
        <w:rPr>
          <w:rFonts w:hint="eastAsia" w:ascii="宋体" w:hAnsi="宋体" w:cs="宋体"/>
          <w:szCs w:val="21"/>
          <w:highlight w:val="none"/>
        </w:rPr>
        <w:t>如有本条所述范围之外的旅客要求使用单间，供应商应做好解释工作，并由旅客自行承担单间差价。本条款由旅客承担的费用由供应商直接与旅客结算。</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10.采购人所安排旅客发生以下情形时，供应商应为采购人提供相应的免费床位：</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（1）为陪同旅客入住酒店的采购人工作人员提供1-2个免费床位；</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（2）为给采购人提供旅客车辆交通服务的司机提供1-2个免费床位；</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3）如遇旅客中有无人陪伴旅客（包括但不限于：无成人陪伴儿童旅客、无成人陪伴听力障碍旅客、无成人陪伴视力障碍旅客、无成人陪伴语言障碍旅客、无成人陪伴孕妇旅客等），供应商应为其各自家属提供1-2个免费床位。</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（4）应采购人服务质量检查需要,供应商须配合采购人，每季度至少为采购人提供2间（每间1天）免费房间（含餐食）用于服务质量检查。</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（5）供应商为采购人中转住宿儿童旅客（12周岁以下）提供标准客房加床(免费)，每名成人旅客携带不超过一名加床儿童。</w:t>
      </w:r>
    </w:p>
    <w:p>
      <w:pPr>
        <w:pStyle w:val="2"/>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（三）餐食服务要求</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1.供应商须负责组织旅客用餐，餐食包括早餐、午餐、晚餐及夜宵，所有食品生产标准符合《中华人民共和国食品安全法》等相关规定，为旅客提供符合卫生检疫要求的餐食。供应商所安排为旅客服务的工作人员应持有卫生部门核发的有效的健康证，供应商有义务视采购人检查需求提供健康证盖章复印件至采购人处。</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2.供餐时间：供应商应在以下时间段为旅客提供相应的餐食。</w:t>
      </w:r>
    </w:p>
    <w:p>
      <w:pPr>
        <w:tabs>
          <w:tab w:val="left" w:pos="0"/>
        </w:tabs>
        <w:spacing w:line="460" w:lineRule="exact"/>
        <w:ind w:firstLine="420" w:firstLineChars="200"/>
        <w:rPr>
          <w:rFonts w:hint="eastAsia" w:ascii="宋体" w:hAnsi="宋体" w:cs="宋体"/>
          <w:color w:val="0000FF"/>
          <w:szCs w:val="21"/>
          <w:highlight w:val="none"/>
        </w:rPr>
      </w:pPr>
      <w:r>
        <w:rPr>
          <w:rFonts w:hint="eastAsia" w:ascii="宋体" w:hAnsi="宋体" w:cs="宋体"/>
          <w:color w:val="0000FF"/>
          <w:szCs w:val="21"/>
          <w:highlight w:val="none"/>
        </w:rPr>
        <w:t>【a. 早餐 07:00-09:00</w:t>
      </w:r>
    </w:p>
    <w:p>
      <w:pPr>
        <w:tabs>
          <w:tab w:val="left" w:pos="0"/>
        </w:tabs>
        <w:spacing w:line="460" w:lineRule="exact"/>
        <w:ind w:firstLine="420" w:firstLineChars="200"/>
        <w:rPr>
          <w:rFonts w:hint="eastAsia" w:ascii="宋体" w:hAnsi="宋体" w:cs="宋体"/>
          <w:color w:val="0000FF"/>
          <w:szCs w:val="21"/>
          <w:highlight w:val="none"/>
        </w:rPr>
      </w:pPr>
      <w:r>
        <w:rPr>
          <w:rFonts w:hint="eastAsia" w:ascii="宋体" w:hAnsi="宋体" w:cs="宋体"/>
          <w:color w:val="0000FF"/>
          <w:szCs w:val="21"/>
          <w:highlight w:val="none"/>
        </w:rPr>
        <w:t>b. 午餐 11:30-14:00</w:t>
      </w:r>
    </w:p>
    <w:p>
      <w:pPr>
        <w:tabs>
          <w:tab w:val="left" w:pos="0"/>
        </w:tabs>
        <w:spacing w:line="460" w:lineRule="exact"/>
        <w:ind w:firstLine="420" w:firstLineChars="200"/>
        <w:rPr>
          <w:rFonts w:hint="eastAsia" w:ascii="宋体" w:hAnsi="宋体" w:cs="宋体"/>
          <w:color w:val="0000FF"/>
          <w:szCs w:val="21"/>
          <w:highlight w:val="none"/>
        </w:rPr>
      </w:pPr>
      <w:r>
        <w:rPr>
          <w:rFonts w:hint="eastAsia" w:ascii="宋体" w:hAnsi="宋体" w:cs="宋体"/>
          <w:color w:val="0000FF"/>
          <w:szCs w:val="21"/>
          <w:highlight w:val="none"/>
        </w:rPr>
        <w:t>c. 晚餐 17:00-20:00</w:t>
      </w:r>
    </w:p>
    <w:p>
      <w:pPr>
        <w:tabs>
          <w:tab w:val="left" w:pos="0"/>
        </w:tabs>
        <w:spacing w:line="460" w:lineRule="exact"/>
        <w:ind w:firstLine="420" w:firstLineChars="200"/>
        <w:rPr>
          <w:rFonts w:hint="eastAsia" w:ascii="宋体" w:hAnsi="宋体" w:cs="宋体"/>
          <w:color w:val="0000FF"/>
          <w:szCs w:val="21"/>
          <w:highlight w:val="none"/>
        </w:rPr>
      </w:pPr>
      <w:r>
        <w:rPr>
          <w:rFonts w:hint="eastAsia" w:ascii="宋体" w:hAnsi="宋体" w:cs="宋体"/>
          <w:color w:val="0000FF"/>
          <w:szCs w:val="21"/>
          <w:highlight w:val="none"/>
        </w:rPr>
        <w:t>d. 夜宵 22:00 后】</w:t>
      </w:r>
    </w:p>
    <w:p>
      <w:pPr>
        <w:tabs>
          <w:tab w:val="left" w:pos="0"/>
        </w:tabs>
        <w:spacing w:line="460" w:lineRule="exact"/>
        <w:ind w:firstLine="420" w:firstLineChars="200"/>
        <w:rPr>
          <w:rFonts w:hint="eastAsia" w:ascii="宋体" w:hAnsi="宋体" w:cs="宋体"/>
          <w:color w:val="0000FF"/>
          <w:szCs w:val="21"/>
          <w:highlight w:val="none"/>
        </w:rPr>
      </w:pPr>
      <w:r>
        <w:rPr>
          <w:rFonts w:hint="eastAsia" w:ascii="宋体" w:hAnsi="宋体" w:cs="宋体"/>
          <w:color w:val="0000FF"/>
          <w:szCs w:val="21"/>
          <w:highlight w:val="none"/>
        </w:rPr>
        <w:t>【3.供餐应采用分餐制或自助餐（不低于四种菜品），不得使用盒饭方式，并同时提供清真食物以备选用。】</w:t>
      </w:r>
    </w:p>
    <w:p>
      <w:pPr>
        <w:tabs>
          <w:tab w:val="left" w:pos="0"/>
        </w:tabs>
        <w:spacing w:line="460" w:lineRule="exact"/>
        <w:ind w:firstLine="420" w:firstLineChars="200"/>
        <w:rPr>
          <w:rFonts w:hint="eastAsia" w:ascii="宋体" w:hAnsi="宋体" w:cs="宋体"/>
          <w:color w:val="0000FF"/>
          <w:szCs w:val="21"/>
          <w:highlight w:val="none"/>
        </w:rPr>
      </w:pPr>
      <w:r>
        <w:rPr>
          <w:rFonts w:hint="eastAsia" w:ascii="宋体" w:hAnsi="宋体" w:cs="宋体"/>
          <w:color w:val="0000FF"/>
          <w:szCs w:val="21"/>
          <w:highlight w:val="none"/>
        </w:rPr>
        <w:t>【4.供应商须为采购人旅客提供免费水果。】</w:t>
      </w:r>
    </w:p>
    <w:p>
      <w:pPr>
        <w:pStyle w:val="2"/>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（四）车辆交通服务要求</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1.供应商接到采购人通知后，应按时提供旅客车辆交通服务。</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2.供应商须随时按采购人的要求接送旅客，并将采购人的相关信息及时传达给供应商接待的每一位旅客。</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3.供应商应安排一名行李员往返跟车为旅客提供服务。</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4.供应商须安排酒店工作人员接待旅客、组织旅客安全上下车，通知旅客从酒店前往机场车辆的发车时间，供应商须与采购人确认人数、时间后组织旅客从酒店前往航站楼，未接到采购人同意不得私自将旅客送回。供应商须及时将从酒店出发的旅客上下车信息通知采购人，以确保旅客到达机场时的接待服务。</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5.供应商须按照采购人提供的用车时间及线路等要求配备具有驾驶员资格的司机和安全性能良好的车辆，采购人有权视检查需求，对供应商司机的驾驶员资格及车辆年检标识进行检查。</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6.供应商安排的司机须确保履行安全驾车要求。因供应商所安排人员驾驶过程中发生交通违章、交通事故或者造成他人的人身、财产等一切损失，由供应商承担赔偿及一切责任。</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7.供应商所提供的车辆须干净整洁，确保所提供车辆冬天有暖气，夏天有空调，且控温设备运行状态良好。在明显的位置悬挂或摆放“南航旅客酒店服务”字样和标识。确保运行当中无故障，按时到达采购人约定的地点。</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8.用车期间车辆如有损坏，供应商须及时修理，确保车辆安全，及时为采购人所使用。如不能及时修理，供应商须另外安排车辆保证采购人正常使用，由此产生的费用由供应商承担。若车辆出现故障，供应商须及时提供替代车辆转运旅客，如怠于修理又不能提供替代车辆供采购人使用的，采购人有权找其他公司车辆顶替，所产生的租车费用由供应商承担。</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9.如因供应商车辆故障、转运途中突发事故或未按约定时间接送旅客等原因造成旅客误机并由此发生索赔的，供应商须承担赔偿责任，赔偿款在车辆交通服务费用结算时直接抵扣。</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（五）其他服务要求</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1.供应商须确保合同预计生效期</w:t>
      </w:r>
      <w:r>
        <w:rPr>
          <w:rFonts w:hint="eastAsia" w:ascii="宋体" w:hAnsi="宋体" w:cs="宋体"/>
          <w:color w:val="0000FF"/>
          <w:szCs w:val="21"/>
          <w:highlight w:val="none"/>
        </w:rPr>
        <w:t>（202X年X月）</w:t>
      </w:r>
      <w:r>
        <w:rPr>
          <w:rFonts w:hint="eastAsia" w:ascii="宋体" w:hAnsi="宋体" w:cs="宋体"/>
          <w:szCs w:val="21"/>
          <w:highlight w:val="none"/>
        </w:rPr>
        <w:t>起能够正常对外营业（非正常营业状态包括但不仅限于酒店升级装修、酒店筹备开业等），承担采购人中转航延旅客接待任务。</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2.供应商须至少配备项目负责人</w:t>
      </w:r>
      <w:r>
        <w:rPr>
          <w:rFonts w:hint="eastAsia" w:ascii="宋体" w:hAnsi="宋体" w:cs="宋体"/>
          <w:color w:val="0000FF"/>
          <w:szCs w:val="21"/>
          <w:highlight w:val="none"/>
        </w:rPr>
        <w:t>【1】</w:t>
      </w:r>
      <w:r>
        <w:rPr>
          <w:rFonts w:hint="eastAsia" w:ascii="宋体" w:hAnsi="宋体" w:cs="宋体"/>
          <w:szCs w:val="21"/>
          <w:highlight w:val="none"/>
        </w:rPr>
        <w:t>名、前台接待人员</w:t>
      </w:r>
      <w:r>
        <w:rPr>
          <w:rFonts w:hint="eastAsia" w:ascii="宋体" w:hAnsi="宋体" w:cs="宋体"/>
          <w:color w:val="0000FF"/>
          <w:szCs w:val="21"/>
          <w:highlight w:val="none"/>
        </w:rPr>
        <w:t>【2】</w:t>
      </w:r>
      <w:r>
        <w:rPr>
          <w:rFonts w:hint="eastAsia" w:ascii="宋体" w:hAnsi="宋体" w:cs="宋体"/>
          <w:szCs w:val="21"/>
          <w:highlight w:val="none"/>
        </w:rPr>
        <w:t>名、报账整理人员</w:t>
      </w:r>
      <w:r>
        <w:rPr>
          <w:rFonts w:hint="eastAsia" w:ascii="宋体" w:hAnsi="宋体" w:cs="宋体"/>
          <w:color w:val="0000FF"/>
          <w:szCs w:val="21"/>
          <w:highlight w:val="none"/>
        </w:rPr>
        <w:t>【1】</w:t>
      </w:r>
      <w:r>
        <w:rPr>
          <w:rFonts w:hint="eastAsia" w:ascii="宋体" w:hAnsi="宋体" w:cs="宋体"/>
          <w:szCs w:val="21"/>
          <w:highlight w:val="none"/>
        </w:rPr>
        <w:t>名、财务人员名</w:t>
      </w:r>
      <w:r>
        <w:rPr>
          <w:rFonts w:hint="eastAsia" w:ascii="宋体" w:hAnsi="宋体" w:cs="宋体"/>
          <w:color w:val="0000FF"/>
          <w:szCs w:val="21"/>
          <w:highlight w:val="none"/>
        </w:rPr>
        <w:t>【1】</w:t>
      </w:r>
      <w:r>
        <w:rPr>
          <w:rFonts w:hint="eastAsia" w:ascii="宋体" w:hAnsi="宋体" w:cs="宋体"/>
          <w:szCs w:val="21"/>
          <w:highlight w:val="none"/>
        </w:rPr>
        <w:t>以保证服务质量及对接质量。客房服务人员数量须满足采购人的实际使用需求。</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3.中选供应商须积极配合采购人要求进行本项目保障相关的培训学习。</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4.供应商应具备必要的酒店运营资质证件供采购人检查，在资质证件发生更新后于</w:t>
      </w:r>
      <w:r>
        <w:rPr>
          <w:rFonts w:hint="eastAsia" w:ascii="宋体" w:hAnsi="宋体" w:cs="宋体"/>
          <w:color w:val="0000FF"/>
          <w:szCs w:val="21"/>
          <w:highlight w:val="none"/>
        </w:rPr>
        <w:t>【3个工作日】</w:t>
      </w:r>
      <w:r>
        <w:rPr>
          <w:rFonts w:hint="eastAsia" w:ascii="宋体" w:hAnsi="宋体" w:cs="宋体"/>
          <w:szCs w:val="21"/>
          <w:highlight w:val="none"/>
        </w:rPr>
        <w:t>内将新的资质证件材料报备至采购人；视采购人需求随时提供酒店相关检测报告。</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5.供应商在接待旅客时要热情周到，尽量满足旅客的合理要求，禁止与旅客发生争执，不得激化旅客与采购人或第三方的矛盾。采购人向供应商提出的有关服务质量问题，供应商应及时查明并改正，于</w:t>
      </w:r>
      <w:r>
        <w:rPr>
          <w:rFonts w:hint="eastAsia" w:ascii="宋体" w:hAnsi="宋体" w:cs="宋体"/>
          <w:color w:val="0000FF"/>
          <w:szCs w:val="21"/>
          <w:highlight w:val="none"/>
        </w:rPr>
        <w:t>【5个工作日】</w:t>
      </w:r>
      <w:r>
        <w:rPr>
          <w:rFonts w:hint="eastAsia" w:ascii="宋体" w:hAnsi="宋体" w:cs="宋体"/>
          <w:szCs w:val="21"/>
          <w:highlight w:val="none"/>
        </w:rPr>
        <w:t>内将问题情况说明及改善措施进行书面答复。</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6.</w:t>
      </w:r>
      <w:r>
        <w:rPr>
          <w:rFonts w:hint="eastAsia" w:ascii="宋体" w:hAnsi="宋体" w:cs="宋体"/>
          <w:szCs w:val="21"/>
          <w:highlight w:val="none"/>
          <w:lang w:val="zh-CN"/>
        </w:rPr>
        <w:t>旅客自行消费的酒水、长途电话等费用，由旅客本人负责向</w:t>
      </w:r>
      <w:r>
        <w:rPr>
          <w:rFonts w:hint="eastAsia" w:ascii="宋体" w:hAnsi="宋体" w:cs="宋体"/>
          <w:szCs w:val="21"/>
          <w:highlight w:val="none"/>
        </w:rPr>
        <w:t>供应商</w:t>
      </w:r>
      <w:r>
        <w:rPr>
          <w:rFonts w:hint="eastAsia" w:ascii="宋体" w:hAnsi="宋体" w:cs="宋体"/>
          <w:szCs w:val="21"/>
          <w:highlight w:val="none"/>
          <w:lang w:val="zh-CN"/>
        </w:rPr>
        <w:t>支付，酒店应当在费用发生前就此向旅客做出说明。本条款由旅客承担的费用由供应商直接与旅客结算。</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7.供应商须配备轮椅及残障人员特殊用具，负责为有需求的旅客提供该项服务。</w:t>
      </w:r>
    </w:p>
    <w:p>
      <w:pPr>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8.因供应商原因造成旅客误机，旅客提出的经济损失及采购人的一切损失均由供应商承担。</w:t>
      </w:r>
    </w:p>
    <w:p>
      <w:pPr>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9.因供应商责任原因使采购人受到涉及第三方的索赔或追诉的，供应商应承担处理及赔付责任；如采购人先行处理的，采购人有权向供应商追偿，采购人因此产生的所有合理费用（包括但不限于赔偿、诉讼或仲裁费用、律师费、误工费、交通费等）由供应商承担。</w:t>
      </w:r>
    </w:p>
    <w:p>
      <w:pPr>
        <w:spacing w:line="460" w:lineRule="exact"/>
        <w:ind w:firstLine="420" w:firstLineChars="200"/>
        <w:jc w:val="left"/>
        <w:textAlignment w:val="baseline"/>
        <w:rPr>
          <w:rFonts w:hint="eastAsia" w:ascii="宋体" w:hAnsi="宋体" w:cs="宋体"/>
          <w:szCs w:val="21"/>
          <w:highlight w:val="none"/>
        </w:rPr>
      </w:pPr>
      <w:r>
        <w:rPr>
          <w:rFonts w:hint="eastAsia" w:ascii="宋体" w:hAnsi="宋体" w:cs="宋体"/>
          <w:szCs w:val="21"/>
          <w:highlight w:val="none"/>
        </w:rPr>
        <w:t>10.合同签订前或履约过程中，采购人有权对供应商的资质、公司经营状况、现场环境、货物/服务内容质量等所涉及项目履行内容进行审查，一旦发现实际情况不符合招标文件要求，与供应商响应文件不符或其他不符合要求的情况，采购人有权采取下列措施，包括但不限于：取消供应商中标资格或终止合同，并有权将供应商纳入南航集团限制交易供应商名单，对供应商进行追责。</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11.供应商须对本项目中的房间品质、餐食质量、车辆交通安全等涉及到旅客人身安全的事项负责。因其提供各项服务产生的安全、质量问题，产生的法律、经济责任及其它责任应由供应商承担；采购人处理及为配合供应商处理此类问题所支出的全部费用应由供应商承担。旅客在供应商接待期间发生的人身损害、财物损失由供应商承担赔偿及一切责任。</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12.其他违约及赔偿情形详见附件</w:t>
      </w:r>
      <w:r>
        <w:rPr>
          <w:rFonts w:hint="eastAsia" w:ascii="宋体" w:hAnsi="宋体" w:cs="宋体"/>
          <w:color w:val="0000FF"/>
          <w:szCs w:val="21"/>
          <w:highlight w:val="none"/>
        </w:rPr>
        <w:t>【《酒店违约行为处罚办法》】。</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（六）售后要求</w:t>
      </w:r>
    </w:p>
    <w:p>
      <w:pPr>
        <w:tabs>
          <w:tab w:val="left" w:pos="0"/>
        </w:tabs>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如发现酒店提供的餐食/房间有质量问题的，供应商须在30分钟内为旅客更换餐食/房间。</w:t>
      </w:r>
    </w:p>
    <w:p>
      <w:pPr>
        <w:numPr>
          <w:ilvl w:val="0"/>
          <w:numId w:val="4"/>
        </w:numPr>
        <w:spacing w:line="460" w:lineRule="exact"/>
        <w:rPr>
          <w:rFonts w:hint="eastAsia" w:ascii="宋体" w:hAnsi="宋体" w:cs="宋体"/>
          <w:b/>
          <w:bCs/>
          <w:szCs w:val="21"/>
          <w:highlight w:val="none"/>
        </w:rPr>
      </w:pPr>
      <w:r>
        <w:rPr>
          <w:rFonts w:hint="eastAsia" w:ascii="宋体" w:hAnsi="宋体" w:cs="宋体"/>
          <w:b/>
          <w:bCs/>
          <w:szCs w:val="21"/>
          <w:highlight w:val="none"/>
        </w:rPr>
        <w:t>产品、服务交付的时间、验收标准</w:t>
      </w:r>
    </w:p>
    <w:p>
      <w:pPr>
        <w:pStyle w:val="9"/>
        <w:spacing w:line="560" w:lineRule="exact"/>
        <w:ind w:firstLine="420" w:firstLineChars="200"/>
        <w:rPr>
          <w:rFonts w:hint="eastAsia" w:ascii="宋体" w:hAnsi="宋体" w:cs="宋体"/>
          <w:sz w:val="21"/>
          <w:szCs w:val="21"/>
          <w:highlight w:val="none"/>
        </w:rPr>
      </w:pPr>
      <w:r>
        <w:rPr>
          <w:rFonts w:hint="eastAsia" w:ascii="宋体" w:hAnsi="宋体" w:cs="宋体"/>
          <w:sz w:val="21"/>
          <w:szCs w:val="21"/>
          <w:highlight w:val="none"/>
        </w:rPr>
        <w:t>（一）交货或服务时间及地点</w:t>
      </w:r>
    </w:p>
    <w:p>
      <w:pPr>
        <w:spacing w:line="560" w:lineRule="exact"/>
        <w:ind w:firstLine="420" w:firstLineChars="200"/>
        <w:rPr>
          <w:rFonts w:hint="eastAsia" w:ascii="宋体" w:hAnsi="宋体" w:cs="宋体"/>
          <w:szCs w:val="21"/>
          <w:highlight w:val="none"/>
        </w:rPr>
      </w:pPr>
      <w:r>
        <w:rPr>
          <w:rFonts w:hint="eastAsia" w:ascii="宋体" w:hAnsi="宋体" w:cs="宋体"/>
          <w:szCs w:val="21"/>
          <w:highlight w:val="none"/>
        </w:rPr>
        <w:t>1.服务时间：</w:t>
      </w:r>
      <w:r>
        <w:rPr>
          <w:rFonts w:hint="eastAsia" w:ascii="宋体" w:hAnsi="宋体" w:cs="宋体"/>
          <w:color w:val="0000FF"/>
          <w:szCs w:val="21"/>
          <w:highlight w:val="none"/>
        </w:rPr>
        <w:t>【XX年】</w:t>
      </w:r>
      <w:r>
        <w:rPr>
          <w:rFonts w:hint="eastAsia" w:ascii="宋体" w:hAnsi="宋体" w:cs="宋体"/>
          <w:szCs w:val="21"/>
          <w:highlight w:val="none"/>
        </w:rPr>
        <w:t>合同期内，全年全天随时提供服务，具体以采购人航班情况的实际需求为准。</w:t>
      </w:r>
    </w:p>
    <w:p>
      <w:pPr>
        <w:spacing w:line="560" w:lineRule="exact"/>
        <w:ind w:firstLine="420" w:firstLineChars="200"/>
        <w:rPr>
          <w:rFonts w:hint="eastAsia" w:ascii="宋体" w:hAnsi="宋体" w:cs="宋体"/>
          <w:szCs w:val="21"/>
          <w:highlight w:val="none"/>
        </w:rPr>
      </w:pPr>
      <w:r>
        <w:rPr>
          <w:rFonts w:hint="eastAsia" w:ascii="宋体" w:hAnsi="宋体" w:cs="宋体"/>
          <w:szCs w:val="21"/>
          <w:highlight w:val="none"/>
        </w:rPr>
        <w:t>2.服务地点：</w:t>
      </w:r>
      <w:r>
        <w:rPr>
          <w:rFonts w:hint="eastAsia" w:ascii="宋体" w:hAnsi="宋体" w:cs="宋体"/>
          <w:color w:val="0000FF"/>
          <w:szCs w:val="21"/>
          <w:highlight w:val="none"/>
        </w:rPr>
        <w:t>【XX市】。</w:t>
      </w:r>
    </w:p>
    <w:p>
      <w:pPr>
        <w:pStyle w:val="2"/>
        <w:spacing w:line="460" w:lineRule="exact"/>
        <w:ind w:firstLine="420" w:firstLineChars="200"/>
        <w:rPr>
          <w:rFonts w:hint="eastAsia" w:ascii="宋体" w:hAnsi="宋体" w:cs="宋体"/>
          <w:szCs w:val="21"/>
          <w:highlight w:val="none"/>
        </w:rPr>
      </w:pPr>
      <w:r>
        <w:rPr>
          <w:rFonts w:hint="eastAsia" w:ascii="宋体" w:hAnsi="宋体" w:cs="宋体"/>
          <w:szCs w:val="21"/>
          <w:highlight w:val="none"/>
        </w:rPr>
        <w:t>（二）验收要求</w:t>
      </w:r>
    </w:p>
    <w:p>
      <w:pPr>
        <w:spacing w:line="440" w:lineRule="exact"/>
        <w:ind w:firstLine="420" w:firstLineChars="200"/>
        <w:rPr>
          <w:rFonts w:hint="eastAsia" w:ascii="宋体" w:hAnsi="宋体" w:cs="宋体"/>
          <w:szCs w:val="21"/>
          <w:highlight w:val="none"/>
        </w:rPr>
      </w:pPr>
      <w:r>
        <w:rPr>
          <w:rFonts w:hint="eastAsia" w:ascii="宋体" w:hAnsi="宋体" w:cs="宋体"/>
          <w:szCs w:val="21"/>
          <w:highlight w:val="none"/>
        </w:rPr>
        <w:t>合同签订后投入使用前，采购人对供应商酒店的星级/携程评钻等级、是否为实体酒店、服务所在地、酒店距</w:t>
      </w:r>
      <w:r>
        <w:rPr>
          <w:rFonts w:hint="eastAsia" w:ascii="宋体" w:hAnsi="宋体" w:cs="宋体"/>
          <w:color w:val="0000FF"/>
          <w:szCs w:val="21"/>
          <w:highlight w:val="none"/>
        </w:rPr>
        <w:t>【XX机场】</w:t>
      </w:r>
      <w:r>
        <w:rPr>
          <w:rFonts w:hint="eastAsia" w:ascii="宋体" w:hAnsi="宋体" w:cs="宋体"/>
          <w:szCs w:val="21"/>
          <w:highlight w:val="none"/>
        </w:rPr>
        <w:t>航站楼的距离、房客房量进行核实验收，如有与其响应不符的情况，采购人有权单方面解除合同。核实验收通过后再进行合同履约。</w:t>
      </w:r>
    </w:p>
    <w:p>
      <w:pPr>
        <w:spacing w:line="440" w:lineRule="exact"/>
        <w:ind w:firstLine="420" w:firstLineChars="200"/>
        <w:rPr>
          <w:rFonts w:hint="eastAsia" w:ascii="宋体" w:hAnsi="宋体" w:cs="宋体"/>
          <w:szCs w:val="21"/>
          <w:highlight w:val="none"/>
        </w:rPr>
      </w:pPr>
      <w:r>
        <w:rPr>
          <w:rFonts w:hint="eastAsia" w:ascii="宋体" w:hAnsi="宋体" w:cs="宋体"/>
          <w:szCs w:val="21"/>
          <w:highlight w:val="none"/>
        </w:rPr>
        <w:t>1.住宿及餐食服务</w:t>
      </w:r>
    </w:p>
    <w:p>
      <w:pPr>
        <w:spacing w:line="440" w:lineRule="exact"/>
        <w:ind w:firstLine="420" w:firstLineChars="200"/>
        <w:rPr>
          <w:rFonts w:hint="eastAsia" w:ascii="宋体" w:hAnsi="宋体" w:cs="宋体"/>
          <w:szCs w:val="21"/>
          <w:highlight w:val="none"/>
        </w:rPr>
      </w:pPr>
      <w:r>
        <w:rPr>
          <w:rFonts w:hint="eastAsia" w:ascii="宋体" w:hAnsi="宋体" w:cs="宋体"/>
          <w:szCs w:val="21"/>
          <w:highlight w:val="none"/>
        </w:rPr>
        <w:t>（1）验收时间：旅客退房后。</w:t>
      </w:r>
    </w:p>
    <w:p>
      <w:pPr>
        <w:spacing w:line="440" w:lineRule="exact"/>
        <w:ind w:firstLine="420" w:firstLineChars="200"/>
        <w:rPr>
          <w:rFonts w:hint="eastAsia" w:ascii="宋体" w:hAnsi="宋体" w:cs="宋体"/>
          <w:szCs w:val="21"/>
          <w:highlight w:val="none"/>
        </w:rPr>
      </w:pPr>
      <w:r>
        <w:rPr>
          <w:rFonts w:hint="eastAsia" w:ascii="宋体" w:hAnsi="宋体" w:cs="宋体"/>
          <w:szCs w:val="21"/>
          <w:highlight w:val="none"/>
        </w:rPr>
        <w:t>（2）验收地点：</w:t>
      </w:r>
      <w:r>
        <w:rPr>
          <w:rFonts w:hint="eastAsia" w:ascii="宋体" w:hAnsi="宋体" w:cs="宋体"/>
          <w:color w:val="0000FF"/>
          <w:szCs w:val="21"/>
          <w:highlight w:val="none"/>
        </w:rPr>
        <w:t>【XX机场】</w:t>
      </w:r>
      <w:r>
        <w:rPr>
          <w:rFonts w:hint="eastAsia" w:ascii="宋体" w:hAnsi="宋体" w:cs="宋体"/>
          <w:szCs w:val="21"/>
          <w:highlight w:val="none"/>
        </w:rPr>
        <w:t>航站楼。</w:t>
      </w:r>
    </w:p>
    <w:p>
      <w:pPr>
        <w:spacing w:line="440" w:lineRule="exact"/>
        <w:ind w:firstLine="420" w:firstLineChars="200"/>
        <w:rPr>
          <w:rFonts w:hint="eastAsia" w:ascii="宋体" w:hAnsi="宋体" w:cs="宋体"/>
          <w:szCs w:val="21"/>
          <w:highlight w:val="none"/>
        </w:rPr>
      </w:pPr>
      <w:r>
        <w:rPr>
          <w:rFonts w:hint="eastAsia" w:ascii="宋体" w:hAnsi="宋体" w:cs="宋体"/>
          <w:szCs w:val="21"/>
          <w:highlight w:val="none"/>
        </w:rPr>
        <w:t>（3）验收标准：符合采购人的住宿及餐食服务要求。</w:t>
      </w:r>
    </w:p>
    <w:p>
      <w:pPr>
        <w:spacing w:line="440" w:lineRule="exact"/>
        <w:ind w:firstLine="420" w:firstLineChars="200"/>
        <w:rPr>
          <w:rFonts w:hint="eastAsia" w:ascii="宋体" w:hAnsi="宋体" w:cs="宋体"/>
          <w:szCs w:val="21"/>
          <w:highlight w:val="none"/>
        </w:rPr>
      </w:pPr>
      <w:r>
        <w:rPr>
          <w:rFonts w:hint="eastAsia" w:ascii="宋体" w:hAnsi="宋体" w:cs="宋体"/>
          <w:szCs w:val="21"/>
          <w:highlight w:val="none"/>
        </w:rPr>
        <w:t>（4）验收方法：</w:t>
      </w:r>
      <w:r>
        <w:rPr>
          <w:rFonts w:hint="eastAsia" w:ascii="宋体" w:hAnsi="宋体" w:cs="宋体"/>
          <w:color w:val="0000FF"/>
          <w:szCs w:val="21"/>
          <w:highlight w:val="none"/>
        </w:rPr>
        <w:t>【供应商提供符合采购人要求的住宿及餐食服务，旅客结束入住，最终完成退房手续并无异议，由采购人员工在线上沟通群中进行信息反馈（体现航班班次），即视为单次验收完毕，不另外出具验收单。验收单按月度出具，月度中单次验收均通过视为月度验收完毕。】</w:t>
      </w:r>
    </w:p>
    <w:p>
      <w:pPr>
        <w:spacing w:line="440" w:lineRule="exact"/>
        <w:ind w:firstLine="420" w:firstLineChars="200"/>
        <w:rPr>
          <w:rFonts w:hint="eastAsia" w:ascii="宋体" w:hAnsi="宋体" w:cs="宋体"/>
          <w:szCs w:val="21"/>
          <w:highlight w:val="none"/>
        </w:rPr>
      </w:pPr>
      <w:r>
        <w:rPr>
          <w:rFonts w:hint="eastAsia" w:ascii="宋体" w:hAnsi="宋体" w:cs="宋体"/>
          <w:szCs w:val="21"/>
          <w:highlight w:val="none"/>
        </w:rPr>
        <w:t>（5）验收种类：普通验收。</w:t>
      </w:r>
    </w:p>
    <w:p>
      <w:pPr>
        <w:spacing w:line="440" w:lineRule="exact"/>
        <w:ind w:firstLine="420" w:firstLineChars="200"/>
        <w:rPr>
          <w:rFonts w:hint="eastAsia" w:ascii="宋体" w:hAnsi="宋体" w:cs="宋体"/>
          <w:color w:val="0000FF"/>
          <w:szCs w:val="21"/>
          <w:highlight w:val="none"/>
        </w:rPr>
      </w:pPr>
      <w:r>
        <w:rPr>
          <w:rFonts w:hint="eastAsia" w:ascii="宋体" w:hAnsi="宋体" w:cs="宋体"/>
          <w:szCs w:val="21"/>
          <w:highlight w:val="none"/>
        </w:rPr>
        <w:t>（6）验收人员结构：</w:t>
      </w:r>
      <w:r>
        <w:rPr>
          <w:rFonts w:hint="eastAsia" w:ascii="宋体" w:hAnsi="宋体" w:cs="宋体"/>
          <w:color w:val="0000FF"/>
          <w:szCs w:val="21"/>
          <w:highlight w:val="none"/>
        </w:rPr>
        <w:t>【月度验收由采购人相关人员组成三人验收小组进行验收工作。】</w:t>
      </w:r>
    </w:p>
    <w:p>
      <w:pPr>
        <w:spacing w:line="440" w:lineRule="exact"/>
        <w:ind w:firstLine="420" w:firstLineChars="200"/>
        <w:rPr>
          <w:rFonts w:hint="eastAsia" w:ascii="宋体" w:hAnsi="宋体" w:cs="宋体"/>
          <w:szCs w:val="21"/>
          <w:highlight w:val="none"/>
        </w:rPr>
      </w:pPr>
      <w:r>
        <w:rPr>
          <w:rFonts w:hint="eastAsia" w:ascii="宋体" w:hAnsi="宋体" w:cs="宋体"/>
          <w:szCs w:val="21"/>
          <w:highlight w:val="none"/>
        </w:rPr>
        <w:t>（7）其它验收事项说明：</w:t>
      </w:r>
      <w:r>
        <w:rPr>
          <w:rFonts w:hint="eastAsia" w:ascii="宋体" w:hAnsi="宋体" w:cs="宋体"/>
          <w:color w:val="0000FF"/>
          <w:szCs w:val="21"/>
          <w:highlight w:val="none"/>
        </w:rPr>
        <w:t>【采购人验收完毕并不视为接受酒店服务潜在的验收时未发现的质量缺陷，服务缺陷。旅客食用酒店提供的餐食，发现餐食质量问题的，因餐食质量问题造成人身损害或其他损失的，拒绝为旅客服务或未按要求为旅客服务的，引发旅客投诉的，采购人有权追究供应商相关责任与赔偿。】</w:t>
      </w:r>
    </w:p>
    <w:p>
      <w:pPr>
        <w:spacing w:line="440" w:lineRule="exact"/>
        <w:ind w:firstLine="420" w:firstLineChars="200"/>
        <w:rPr>
          <w:rFonts w:hint="eastAsia" w:ascii="宋体" w:hAnsi="宋体" w:cs="宋体"/>
          <w:szCs w:val="21"/>
          <w:highlight w:val="none"/>
        </w:rPr>
      </w:pPr>
      <w:r>
        <w:rPr>
          <w:rFonts w:hint="eastAsia" w:ascii="宋体" w:hAnsi="宋体" w:cs="宋体"/>
          <w:szCs w:val="21"/>
          <w:highlight w:val="none"/>
        </w:rPr>
        <w:t>2.车辆交通服务</w:t>
      </w:r>
    </w:p>
    <w:p>
      <w:pPr>
        <w:spacing w:line="440" w:lineRule="exact"/>
        <w:ind w:firstLine="420" w:firstLineChars="200"/>
        <w:rPr>
          <w:rFonts w:hint="eastAsia" w:ascii="宋体" w:hAnsi="宋体" w:cs="宋体"/>
          <w:szCs w:val="21"/>
          <w:highlight w:val="none"/>
        </w:rPr>
      </w:pPr>
      <w:r>
        <w:rPr>
          <w:rFonts w:hint="eastAsia" w:ascii="宋体" w:hAnsi="宋体" w:cs="宋体"/>
          <w:szCs w:val="21"/>
          <w:highlight w:val="none"/>
        </w:rPr>
        <w:t>（1）验收时间：旅客返回航站楼后。</w:t>
      </w:r>
    </w:p>
    <w:p>
      <w:pPr>
        <w:spacing w:line="440" w:lineRule="exact"/>
        <w:ind w:firstLine="420" w:firstLineChars="200"/>
        <w:rPr>
          <w:rFonts w:hint="eastAsia" w:ascii="宋体" w:hAnsi="宋体" w:cs="宋体"/>
          <w:szCs w:val="21"/>
          <w:highlight w:val="none"/>
        </w:rPr>
      </w:pPr>
      <w:r>
        <w:rPr>
          <w:rFonts w:hint="eastAsia" w:ascii="宋体" w:hAnsi="宋体" w:cs="宋体"/>
          <w:szCs w:val="21"/>
          <w:highlight w:val="none"/>
        </w:rPr>
        <w:t>（2）验收地点：</w:t>
      </w:r>
      <w:r>
        <w:rPr>
          <w:rFonts w:hint="eastAsia" w:ascii="宋体" w:hAnsi="宋体" w:cs="宋体"/>
          <w:color w:val="0000FF"/>
          <w:szCs w:val="21"/>
          <w:highlight w:val="none"/>
        </w:rPr>
        <w:t>【XX机场】</w:t>
      </w:r>
      <w:r>
        <w:rPr>
          <w:rFonts w:hint="eastAsia" w:ascii="宋体" w:hAnsi="宋体" w:cs="宋体"/>
          <w:szCs w:val="21"/>
          <w:highlight w:val="none"/>
        </w:rPr>
        <w:t>航站楼。</w:t>
      </w:r>
    </w:p>
    <w:p>
      <w:pPr>
        <w:spacing w:line="440" w:lineRule="exact"/>
        <w:ind w:firstLine="420" w:firstLineChars="200"/>
        <w:rPr>
          <w:rFonts w:hint="eastAsia" w:ascii="宋体" w:hAnsi="宋体" w:cs="宋体"/>
          <w:szCs w:val="21"/>
          <w:highlight w:val="none"/>
        </w:rPr>
      </w:pPr>
      <w:r>
        <w:rPr>
          <w:rFonts w:hint="eastAsia" w:ascii="宋体" w:hAnsi="宋体" w:cs="宋体"/>
          <w:szCs w:val="21"/>
          <w:highlight w:val="none"/>
        </w:rPr>
        <w:t>（3）验收标准：符合采购人的车辆交通服务要求。</w:t>
      </w:r>
    </w:p>
    <w:p>
      <w:pPr>
        <w:spacing w:line="440" w:lineRule="exact"/>
        <w:ind w:firstLine="420" w:firstLineChars="200"/>
        <w:rPr>
          <w:rFonts w:hint="eastAsia" w:ascii="宋体" w:hAnsi="宋体" w:cs="宋体"/>
          <w:szCs w:val="21"/>
          <w:highlight w:val="none"/>
        </w:rPr>
      </w:pPr>
      <w:r>
        <w:rPr>
          <w:rFonts w:hint="eastAsia" w:ascii="宋体" w:hAnsi="宋体" w:cs="宋体"/>
          <w:szCs w:val="21"/>
          <w:highlight w:val="none"/>
        </w:rPr>
        <w:t>（4）验收方法：</w:t>
      </w:r>
      <w:r>
        <w:rPr>
          <w:rFonts w:hint="eastAsia" w:ascii="宋体" w:hAnsi="宋体" w:cs="宋体"/>
          <w:color w:val="0000FF"/>
          <w:szCs w:val="21"/>
          <w:highlight w:val="none"/>
        </w:rPr>
        <w:t>【供应商提供符合采购人要求的车辆交通服务，旅客在接受车辆交通服务后未产生异议，由采购人员工在线上沟通群中进行信息反馈（体现航班班次），即视为单次验收完毕，不另外出具验收单。验收单按月度出具，月度中单次验收均通过视为月度验收完毕。】</w:t>
      </w:r>
    </w:p>
    <w:p>
      <w:pPr>
        <w:spacing w:line="440" w:lineRule="exact"/>
        <w:ind w:firstLine="420" w:firstLineChars="200"/>
        <w:rPr>
          <w:rFonts w:hint="eastAsia" w:ascii="宋体" w:hAnsi="宋体" w:cs="宋体"/>
          <w:szCs w:val="21"/>
          <w:highlight w:val="none"/>
        </w:rPr>
      </w:pPr>
      <w:r>
        <w:rPr>
          <w:rFonts w:hint="eastAsia" w:ascii="宋体" w:hAnsi="宋体" w:cs="宋体"/>
          <w:szCs w:val="21"/>
          <w:highlight w:val="none"/>
        </w:rPr>
        <w:t>（5）验收种类：普通验收。</w:t>
      </w:r>
    </w:p>
    <w:p>
      <w:pPr>
        <w:spacing w:line="440" w:lineRule="exact"/>
        <w:ind w:firstLine="420" w:firstLineChars="200"/>
        <w:rPr>
          <w:rFonts w:hint="eastAsia" w:ascii="宋体" w:hAnsi="宋体" w:cs="宋体"/>
          <w:szCs w:val="21"/>
          <w:highlight w:val="none"/>
        </w:rPr>
      </w:pPr>
      <w:r>
        <w:rPr>
          <w:rFonts w:hint="eastAsia" w:ascii="宋体" w:hAnsi="宋体" w:cs="宋体"/>
          <w:szCs w:val="21"/>
          <w:highlight w:val="none"/>
        </w:rPr>
        <w:t>（6）验收人员结构：</w:t>
      </w:r>
      <w:r>
        <w:rPr>
          <w:rFonts w:hint="eastAsia" w:ascii="宋体" w:hAnsi="宋体" w:cs="宋体"/>
          <w:color w:val="0000FF"/>
          <w:szCs w:val="21"/>
          <w:highlight w:val="none"/>
        </w:rPr>
        <w:t>【月度验收由采购人相关人员组成三人验收小组进行验收工作。】</w:t>
      </w:r>
    </w:p>
    <w:p>
      <w:pPr>
        <w:spacing w:line="440" w:lineRule="exact"/>
        <w:ind w:firstLine="420" w:firstLineChars="200"/>
        <w:rPr>
          <w:rFonts w:hint="eastAsia" w:ascii="宋体" w:hAnsi="宋体" w:cs="宋体"/>
          <w:szCs w:val="21"/>
          <w:highlight w:val="none"/>
        </w:rPr>
      </w:pPr>
      <w:r>
        <w:rPr>
          <w:rFonts w:hint="eastAsia" w:ascii="宋体" w:hAnsi="宋体" w:cs="宋体"/>
          <w:szCs w:val="21"/>
          <w:highlight w:val="none"/>
        </w:rPr>
        <w:t>（7）其它验收事项说明：</w:t>
      </w:r>
      <w:r>
        <w:rPr>
          <w:rFonts w:hint="eastAsia" w:ascii="宋体" w:hAnsi="宋体" w:cs="宋体"/>
          <w:color w:val="0000FF"/>
          <w:szCs w:val="21"/>
          <w:highlight w:val="none"/>
        </w:rPr>
        <w:t>【采购人验收完毕并不视为接受车辆交通服务潜在的验收时未发现的服务缺陷。拒绝为旅客服务或未按要求为旅客服务的，引发旅客投诉的，发生交通违章、交通事故造成人身损失的，采购人有权追究供应商相关责任与赔偿。】</w:t>
      </w:r>
    </w:p>
    <w:p>
      <w:pPr>
        <w:numPr>
          <w:ilvl w:val="0"/>
          <w:numId w:val="4"/>
        </w:numPr>
        <w:spacing w:line="460" w:lineRule="exact"/>
        <w:rPr>
          <w:rFonts w:hint="eastAsia" w:ascii="宋体" w:hAnsi="宋体" w:cs="宋体"/>
          <w:b/>
          <w:bCs/>
          <w:szCs w:val="21"/>
          <w:highlight w:val="none"/>
        </w:rPr>
      </w:pPr>
      <w:r>
        <w:rPr>
          <w:rFonts w:hint="eastAsia" w:ascii="宋体" w:hAnsi="宋体" w:cs="宋体"/>
          <w:b/>
          <w:bCs/>
          <w:szCs w:val="21"/>
          <w:highlight w:val="none"/>
        </w:rPr>
        <w:t>款项支付方式、支付期限比例等</w:t>
      </w:r>
    </w:p>
    <w:p>
      <w:pPr>
        <w:spacing w:line="440" w:lineRule="exact"/>
        <w:ind w:firstLine="420" w:firstLineChars="200"/>
        <w:rPr>
          <w:rFonts w:hint="eastAsia" w:ascii="宋体" w:hAnsi="宋体" w:cs="宋体"/>
          <w:szCs w:val="21"/>
          <w:highlight w:val="none"/>
        </w:rPr>
      </w:pPr>
      <w:r>
        <w:rPr>
          <w:rFonts w:hint="eastAsia" w:ascii="宋体" w:hAnsi="宋体" w:cs="宋体"/>
          <w:szCs w:val="21"/>
          <w:highlight w:val="none"/>
        </w:rPr>
        <w:t>（一）每月</w:t>
      </w:r>
      <w:r>
        <w:rPr>
          <w:rFonts w:hint="eastAsia" w:ascii="宋体" w:hAnsi="宋体" w:cs="宋体"/>
          <w:color w:val="0000FF"/>
          <w:szCs w:val="21"/>
          <w:highlight w:val="none"/>
        </w:rPr>
        <w:t>【15日】</w:t>
      </w:r>
      <w:r>
        <w:rPr>
          <w:rFonts w:hint="eastAsia" w:ascii="宋体" w:hAnsi="宋体" w:cs="宋体"/>
          <w:szCs w:val="21"/>
          <w:highlight w:val="none"/>
        </w:rPr>
        <w:t>（遇节假日提前）前，供应商向采购人提供上月（自然月）中转及航延旅客结算材料，同时发送电子版账单。供应商同采购人结算时应视采购人要求，提供包括但不限于旅客乘坐航班凭证（延误航班离港系统内航班订座截图或坤翔系统导出航班人员信息，其中截图由采购人提供，供应商整理并打印）、旅客身份证复印件、《南航旅客酒店住宿券》（如有）、《不正常航班旅客住宿明细表》、《采购验收单》等材料。</w:t>
      </w:r>
    </w:p>
    <w:p>
      <w:pPr>
        <w:spacing w:line="440" w:lineRule="exact"/>
        <w:ind w:firstLine="420" w:firstLineChars="200"/>
        <w:rPr>
          <w:rFonts w:hint="eastAsia" w:ascii="宋体" w:hAnsi="宋体" w:cs="宋体"/>
          <w:szCs w:val="21"/>
          <w:highlight w:val="none"/>
        </w:rPr>
      </w:pPr>
      <w:r>
        <w:rPr>
          <w:rFonts w:hint="eastAsia" w:ascii="宋体" w:hAnsi="宋体" w:cs="宋体"/>
          <w:szCs w:val="21"/>
          <w:highlight w:val="none"/>
        </w:rPr>
        <w:t>（二）供应商应按双方确认的旅客人数及合同约定的标准（详见合同第3条）结算。原则上采购人在收到结算单据之日起</w:t>
      </w:r>
      <w:r>
        <w:rPr>
          <w:rFonts w:hint="eastAsia" w:ascii="宋体" w:hAnsi="宋体" w:cs="宋体"/>
          <w:color w:val="0000FF"/>
          <w:szCs w:val="21"/>
          <w:highlight w:val="none"/>
        </w:rPr>
        <w:t>【XX个工作日】</w:t>
      </w:r>
      <w:r>
        <w:rPr>
          <w:rFonts w:hint="eastAsia" w:ascii="宋体" w:hAnsi="宋体" w:cs="宋体"/>
          <w:szCs w:val="21"/>
          <w:highlight w:val="none"/>
        </w:rPr>
        <w:t>内完成审核。若采购人对单据持有异议，应将有异议的部分通知供应商，待双方就异议项达成一致意见后，再进行开票付款。若无异议，供应商就住宿开具6%增值税专用发票，餐食开具6%的增值税普通发票，车辆交通开具税率6%的增值税专用发票，由采购人在收到发票之日起</w:t>
      </w:r>
      <w:r>
        <w:rPr>
          <w:rFonts w:hint="eastAsia" w:ascii="宋体" w:hAnsi="宋体" w:cs="宋体"/>
          <w:color w:val="0000FF"/>
          <w:szCs w:val="21"/>
          <w:highlight w:val="none"/>
        </w:rPr>
        <w:t>【XX个自然日】（不超过60个自然日）</w:t>
      </w:r>
      <w:r>
        <w:rPr>
          <w:rFonts w:hint="eastAsia" w:ascii="宋体" w:hAnsi="宋体" w:cs="宋体"/>
          <w:szCs w:val="21"/>
          <w:highlight w:val="none"/>
        </w:rPr>
        <w:t>内支付给供应商。</w:t>
      </w:r>
    </w:p>
    <w:p>
      <w:pPr>
        <w:spacing w:line="440" w:lineRule="exact"/>
        <w:rPr>
          <w:rFonts w:hint="eastAsia" w:ascii="宋体" w:hAnsi="宋体" w:cs="宋体"/>
          <w:b/>
          <w:bCs/>
          <w:szCs w:val="21"/>
          <w:highlight w:val="none"/>
        </w:rPr>
      </w:pPr>
      <w:r>
        <w:rPr>
          <w:rFonts w:hint="eastAsia" w:ascii="宋体" w:hAnsi="宋体" w:cs="宋体"/>
          <w:b/>
          <w:bCs/>
          <w:szCs w:val="21"/>
          <w:highlight w:val="none"/>
        </w:rPr>
        <w:t>六、法律责任</w:t>
      </w:r>
    </w:p>
    <w:p>
      <w:pPr>
        <w:spacing w:line="440" w:lineRule="exact"/>
        <w:ind w:firstLine="420" w:firstLineChars="200"/>
        <w:rPr>
          <w:rFonts w:hint="eastAsia" w:ascii="宋体" w:hAnsi="宋体" w:cs="宋体"/>
          <w:szCs w:val="21"/>
          <w:highlight w:val="none"/>
        </w:rPr>
      </w:pPr>
      <w:r>
        <w:rPr>
          <w:rFonts w:hint="eastAsia" w:ascii="宋体" w:hAnsi="宋体" w:cs="宋体"/>
          <w:szCs w:val="21"/>
          <w:highlight w:val="none"/>
        </w:rPr>
        <w:t>详见</w:t>
      </w:r>
      <w:r>
        <w:rPr>
          <w:rFonts w:hint="eastAsia" w:ascii="宋体" w:hAnsi="宋体" w:cs="宋体"/>
          <w:color w:val="0000FF"/>
          <w:szCs w:val="21"/>
          <w:highlight w:val="none"/>
        </w:rPr>
        <w:t>【《酒店违约行为处罚办法》】。</w:t>
      </w:r>
    </w:p>
    <w:bookmarkEnd w:id="267"/>
    <w:bookmarkEnd w:id="268"/>
    <w:p>
      <w:pPr>
        <w:pStyle w:val="24"/>
        <w:spacing w:line="400" w:lineRule="exact"/>
        <w:jc w:val="both"/>
        <w:rPr>
          <w:rFonts w:hint="eastAsia" w:ascii="宋体" w:hAnsi="宋体" w:cs="宋体"/>
          <w:b/>
          <w:szCs w:val="20"/>
          <w:highlight w:val="none"/>
          <w:lang w:eastAsia="zh"/>
        </w:rPr>
      </w:pPr>
      <w:r>
        <w:rPr>
          <w:rFonts w:hint="eastAsia" w:ascii="宋体" w:hAnsi="宋体" w:cs="宋体"/>
          <w:b/>
          <w:szCs w:val="20"/>
          <w:highlight w:val="none"/>
          <w:lang w:bidi="ar"/>
        </w:rPr>
        <w:t>七、</w:t>
      </w:r>
      <w:r>
        <w:rPr>
          <w:rFonts w:hint="eastAsia" w:ascii="宋体" w:hAnsi="宋体" w:cs="宋体"/>
          <w:b/>
          <w:szCs w:val="20"/>
          <w:highlight w:val="none"/>
        </w:rPr>
        <w:t>其它</w:t>
      </w:r>
    </w:p>
    <w:p>
      <w:pPr>
        <w:pStyle w:val="24"/>
        <w:spacing w:line="400" w:lineRule="exact"/>
        <w:ind w:firstLine="420" w:firstLineChars="200"/>
        <w:jc w:val="both"/>
        <w:rPr>
          <w:rFonts w:hint="eastAsia" w:ascii="宋体" w:hAnsi="宋体" w:cs="宋体"/>
          <w:kern w:val="2"/>
          <w:sz w:val="21"/>
          <w:szCs w:val="21"/>
          <w:highlight w:val="none"/>
        </w:rPr>
      </w:pPr>
      <w:r>
        <w:rPr>
          <w:rFonts w:hint="eastAsia" w:ascii="宋体" w:hAnsi="宋体" w:cs="宋体"/>
          <w:kern w:val="2"/>
          <w:sz w:val="21"/>
          <w:szCs w:val="21"/>
          <w:highlight w:val="none"/>
          <w:lang w:bidi="ar"/>
        </w:rPr>
        <w:t>1.如果推荐的中选人放弃中选资格，或因不可抗力无法签订合同，则采购人可按推荐的中选人排名顺序依次确定递补中选服务资格中选人，亦可决定组织重新采购标。</w:t>
      </w:r>
    </w:p>
    <w:p>
      <w:pPr>
        <w:pStyle w:val="24"/>
        <w:spacing w:line="400" w:lineRule="exact"/>
        <w:ind w:firstLine="420" w:firstLineChars="200"/>
        <w:jc w:val="both"/>
        <w:rPr>
          <w:rFonts w:hint="eastAsia" w:ascii="宋体" w:hAnsi="宋体" w:cs="宋体"/>
          <w:kern w:val="2"/>
          <w:sz w:val="21"/>
          <w:szCs w:val="21"/>
          <w:highlight w:val="none"/>
        </w:rPr>
      </w:pPr>
      <w:r>
        <w:rPr>
          <w:rFonts w:hint="eastAsia" w:ascii="宋体" w:hAnsi="宋体" w:cs="宋体"/>
          <w:kern w:val="2"/>
          <w:sz w:val="21"/>
          <w:szCs w:val="21"/>
          <w:highlight w:val="none"/>
          <w:lang w:bidi="ar"/>
        </w:rPr>
        <w:t>2.如果推荐的中选人在合同签订前经采购人查证、或以其他方式取证证实其谈判响应资料造假而被取消中选资格的，则采购人可按推荐的中选人排名顺序依次确定递补中选人，亦可决定组织重新采购。</w:t>
      </w:r>
    </w:p>
    <w:p>
      <w:pPr>
        <w:pStyle w:val="24"/>
        <w:spacing w:line="400" w:lineRule="exact"/>
        <w:ind w:firstLine="420" w:firstLineChars="200"/>
        <w:jc w:val="both"/>
        <w:rPr>
          <w:rFonts w:hint="eastAsia" w:ascii="宋体" w:hAnsi="宋体" w:cs="宋体"/>
          <w:kern w:val="2"/>
          <w:sz w:val="21"/>
          <w:szCs w:val="21"/>
          <w:highlight w:val="none"/>
        </w:rPr>
      </w:pPr>
      <w:r>
        <w:rPr>
          <w:rFonts w:hint="eastAsia" w:ascii="宋体" w:hAnsi="宋体" w:cs="宋体"/>
          <w:kern w:val="2"/>
          <w:sz w:val="21"/>
          <w:szCs w:val="21"/>
          <w:highlight w:val="none"/>
          <w:lang w:bidi="ar"/>
        </w:rPr>
        <w:t>3.供应商提供的所有材料应真实存在，采购人需求单位有权在包括但不限于评审结束后，以实地考察或其他方式对供应商提供的资料进行验证查验，如发现存在弄虚作假、佐证材料与实际不一致的情况，采购人有权无责取消供应商响应资格、成交资格、终止或解除合同，并将存在弄虚作假行为的供应商列入南航限制或禁止交易供应商名单；同时该供应商将承担违约责任。</w:t>
      </w:r>
    </w:p>
    <w:p>
      <w:pPr>
        <w:pStyle w:val="24"/>
        <w:spacing w:line="400" w:lineRule="exact"/>
        <w:ind w:firstLine="420" w:firstLineChars="200"/>
        <w:jc w:val="both"/>
        <w:rPr>
          <w:rFonts w:hint="eastAsia" w:ascii="宋体" w:hAnsi="宋体" w:cs="宋体"/>
          <w:kern w:val="2"/>
          <w:sz w:val="21"/>
          <w:szCs w:val="21"/>
          <w:highlight w:val="none"/>
          <w:lang w:bidi="ar"/>
        </w:rPr>
      </w:pPr>
      <w:r>
        <w:rPr>
          <w:rFonts w:hint="eastAsia" w:ascii="宋体" w:hAnsi="宋体" w:cs="宋体"/>
          <w:kern w:val="2"/>
          <w:sz w:val="21"/>
          <w:szCs w:val="21"/>
          <w:highlight w:val="none"/>
          <w:lang w:bidi="ar"/>
        </w:rPr>
        <w:t>4.本项目要求未尽事宜，中选人须无条件按照采购人的合理要求执行。</w:t>
      </w:r>
    </w:p>
    <w:p>
      <w:pPr>
        <w:rPr>
          <w:rFonts w:hint="eastAsia" w:ascii="宋体" w:hAnsi="宋体" w:cs="宋体"/>
          <w:szCs w:val="21"/>
          <w:highlight w:val="none"/>
          <w:lang w:bidi="ar"/>
        </w:rPr>
      </w:pPr>
      <w:r>
        <w:rPr>
          <w:rFonts w:hint="eastAsia" w:ascii="宋体" w:hAnsi="宋体" w:cs="宋体"/>
          <w:szCs w:val="21"/>
          <w:highlight w:val="none"/>
          <w:lang w:bidi="ar"/>
        </w:rPr>
        <w:br w:type="page"/>
      </w:r>
    </w:p>
    <w:p>
      <w:pPr>
        <w:pStyle w:val="3"/>
        <w:jc w:val="center"/>
        <w:rPr>
          <w:rFonts w:hint="eastAsia" w:ascii="方正小标宋简体" w:hAnsi="方正小标宋简体" w:eastAsia="方正小标宋简体" w:cs="方正小标宋简体"/>
          <w:kern w:val="0"/>
          <w:sz w:val="36"/>
          <w:szCs w:val="36"/>
          <w:highlight w:val="none"/>
        </w:rPr>
      </w:pPr>
      <w:bookmarkStart w:id="269" w:name="_Toc2723"/>
      <w:bookmarkStart w:id="270" w:name="_Toc28490"/>
      <w:bookmarkStart w:id="271" w:name="_Toc25175"/>
      <w:bookmarkStart w:id="272" w:name="_Toc19993"/>
      <w:bookmarkStart w:id="273" w:name="_Toc10804"/>
      <w:bookmarkStart w:id="274" w:name="_Toc7581"/>
      <w:bookmarkStart w:id="275" w:name="_Toc15737"/>
      <w:bookmarkStart w:id="276" w:name="_Toc24903"/>
      <w:bookmarkStart w:id="277" w:name="_Toc31668"/>
      <w:r>
        <w:rPr>
          <w:rStyle w:val="38"/>
          <w:b/>
          <w:bCs/>
          <w:highlight w:val="none"/>
        </w:rPr>
        <w:t xml:space="preserve">第五章 </w:t>
      </w:r>
      <w:r>
        <w:rPr>
          <w:rStyle w:val="38"/>
          <w:rFonts w:hint="eastAsia"/>
          <w:b/>
          <w:bCs/>
          <w:highlight w:val="none"/>
        </w:rPr>
        <w:t>合同条款及格式</w:t>
      </w:r>
      <w:bookmarkEnd w:id="269"/>
      <w:bookmarkEnd w:id="270"/>
      <w:bookmarkEnd w:id="271"/>
      <w:bookmarkEnd w:id="272"/>
      <w:bookmarkEnd w:id="273"/>
      <w:bookmarkEnd w:id="274"/>
      <w:bookmarkEnd w:id="275"/>
      <w:bookmarkEnd w:id="276"/>
      <w:bookmarkEnd w:id="277"/>
      <w:bookmarkStart w:id="278" w:name="_Toc32350"/>
      <w:bookmarkStart w:id="279" w:name="_Toc27582"/>
      <w:bookmarkStart w:id="280" w:name="_Toc29803"/>
      <w:bookmarkStart w:id="281" w:name="_Toc12303"/>
      <w:bookmarkStart w:id="282" w:name="_Toc3914"/>
    </w:p>
    <w:p>
      <w:pPr>
        <w:jc w:val="center"/>
        <w:rPr>
          <w:rFonts w:hint="eastAsia" w:ascii="方正小标宋简体" w:hAnsi="方正小标宋简体" w:eastAsia="方正小标宋简体" w:cs="方正小标宋简体"/>
          <w:sz w:val="36"/>
          <w:szCs w:val="36"/>
          <w:highlight w:val="none"/>
        </w:rPr>
      </w:pPr>
      <w:permStart w:id="32" w:edGrp="everyone"/>
      <w:r>
        <w:rPr>
          <w:rFonts w:hint="eastAsia" w:ascii="方正小标宋简体" w:hAnsi="方正小标宋简体" w:eastAsia="方正小标宋简体" w:cs="方正小标宋简体"/>
          <w:sz w:val="36"/>
          <w:szCs w:val="36"/>
          <w:highlight w:val="none"/>
        </w:rPr>
        <w:t>中转、航延旅客膳宿服务协议</w:t>
      </w:r>
    </w:p>
    <w:p>
      <w:pPr>
        <w:jc w:val="center"/>
        <w:rPr>
          <w:rFonts w:hint="eastAsia" w:ascii="方正小标宋简体" w:hAnsi="方正小标宋简体" w:eastAsia="方正小标宋简体" w:cs="方正小标宋简体"/>
          <w:kern w:val="0"/>
          <w:sz w:val="36"/>
          <w:szCs w:val="36"/>
          <w:highlight w:val="none"/>
        </w:rPr>
      </w:pPr>
      <w:r>
        <w:rPr>
          <w:rFonts w:hint="eastAsia" w:asciiTheme="minorEastAsia" w:hAnsiTheme="minorEastAsia" w:eastAsiaTheme="minorEastAsia" w:cstheme="minorEastAsia"/>
          <w:sz w:val="20"/>
          <w:szCs w:val="20"/>
          <w:highlight w:val="none"/>
          <w:u w:val="single"/>
        </w:rPr>
        <w:t>XXX地区</w:t>
      </w:r>
    </w:p>
    <w:p>
      <w:pPr>
        <w:pStyle w:val="9"/>
        <w:rPr>
          <w:highlight w:val="none"/>
        </w:rPr>
      </w:pPr>
    </w:p>
    <w:p>
      <w:pPr>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甲方：</w:t>
      </w:r>
      <w:r>
        <w:rPr>
          <w:rFonts w:hint="eastAsia" w:ascii="仿宋" w:hAnsi="仿宋" w:eastAsia="仿宋" w:cs="仿宋"/>
          <w:sz w:val="28"/>
          <w:szCs w:val="28"/>
          <w:highlight w:val="none"/>
          <w:u w:val="single"/>
        </w:rPr>
        <w:t>中国南方航空股份有限公司</w:t>
      </w:r>
    </w:p>
    <w:p>
      <w:pPr>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w:t>
      </w:r>
      <w:r>
        <w:rPr>
          <w:rFonts w:hint="eastAsia" w:ascii="仿宋" w:hAnsi="仿宋" w:eastAsia="仿宋" w:cs="仿宋"/>
          <w:sz w:val="28"/>
          <w:szCs w:val="28"/>
          <w:highlight w:val="none"/>
          <w:u w:val="single"/>
        </w:rPr>
        <w:t>马须伦</w:t>
      </w:r>
    </w:p>
    <w:p>
      <w:pPr>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公司地址（或联系地址）：</w:t>
      </w:r>
      <w:r>
        <w:rPr>
          <w:rFonts w:hint="eastAsia" w:ascii="仿宋" w:hAnsi="仿宋" w:eastAsia="仿宋" w:cs="仿宋"/>
          <w:sz w:val="28"/>
          <w:szCs w:val="28"/>
          <w:highlight w:val="none"/>
          <w:u w:val="single"/>
        </w:rPr>
        <w:t>中国广州市白云区齐心路68号</w:t>
      </w:r>
    </w:p>
    <w:p>
      <w:pPr>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rPr>
        <w:t>400-830-6777</w:t>
      </w:r>
    </w:p>
    <w:p>
      <w:pPr>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电子邮箱：</w:t>
      </w:r>
      <w:r>
        <w:rPr>
          <w:rFonts w:hint="eastAsia" w:ascii="仿宋" w:hAnsi="仿宋" w:eastAsia="仿宋" w:cs="仿宋"/>
          <w:sz w:val="28"/>
          <w:szCs w:val="28"/>
          <w:highlight w:val="none"/>
          <w:u w:val="single"/>
        </w:rPr>
        <w:t xml:space="preserve">             </w:t>
      </w:r>
    </w:p>
    <w:p>
      <w:pPr>
        <w:jc w:val="left"/>
        <w:rPr>
          <w:rFonts w:hint="eastAsia" w:ascii="仿宋" w:hAnsi="仿宋" w:eastAsia="仿宋" w:cs="仿宋"/>
          <w:sz w:val="36"/>
          <w:szCs w:val="36"/>
          <w:highlight w:val="none"/>
        </w:rPr>
      </w:pPr>
    </w:p>
    <w:p>
      <w:pPr>
        <w:pStyle w:val="9"/>
        <w:rPr>
          <w:highlight w:val="none"/>
        </w:rPr>
      </w:pPr>
    </w:p>
    <w:p>
      <w:pPr>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乙方：</w:t>
      </w:r>
      <w:r>
        <w:rPr>
          <w:rFonts w:hint="eastAsia" w:ascii="仿宋" w:hAnsi="仿宋" w:eastAsia="仿宋" w:cs="仿宋"/>
          <w:sz w:val="28"/>
          <w:szCs w:val="28"/>
          <w:highlight w:val="none"/>
          <w:u w:val="single"/>
        </w:rPr>
        <w:t xml:space="preserve">                        </w:t>
      </w:r>
    </w:p>
    <w:p>
      <w:pPr>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法定代表人：</w:t>
      </w:r>
      <w:r>
        <w:rPr>
          <w:rFonts w:hint="eastAsia" w:ascii="仿宋" w:hAnsi="仿宋" w:eastAsia="仿宋" w:cs="仿宋"/>
          <w:sz w:val="28"/>
          <w:szCs w:val="28"/>
          <w:highlight w:val="none"/>
          <w:u w:val="single"/>
        </w:rPr>
        <w:t xml:space="preserve">                  </w:t>
      </w:r>
    </w:p>
    <w:p>
      <w:pPr>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乙方公司地址：</w:t>
      </w:r>
      <w:r>
        <w:rPr>
          <w:rFonts w:hint="eastAsia" w:ascii="仿宋" w:hAnsi="仿宋" w:eastAsia="仿宋" w:cs="仿宋"/>
          <w:sz w:val="28"/>
          <w:szCs w:val="28"/>
          <w:highlight w:val="none"/>
          <w:u w:val="single"/>
        </w:rPr>
        <w:t xml:space="preserve">                </w:t>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乙方酒店名称：</w:t>
      </w:r>
      <w:r>
        <w:rPr>
          <w:rFonts w:hint="eastAsia" w:ascii="仿宋" w:hAnsi="仿宋" w:eastAsia="仿宋" w:cs="仿宋"/>
          <w:sz w:val="28"/>
          <w:szCs w:val="28"/>
          <w:highlight w:val="none"/>
          <w:u w:val="single"/>
        </w:rPr>
        <w:t xml:space="preserve">                </w:t>
      </w:r>
    </w:p>
    <w:p>
      <w:pPr>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乙方酒店地址：</w:t>
      </w:r>
      <w:r>
        <w:rPr>
          <w:rFonts w:hint="eastAsia" w:ascii="仿宋" w:hAnsi="仿宋" w:eastAsia="仿宋" w:cs="仿宋"/>
          <w:sz w:val="28"/>
          <w:szCs w:val="28"/>
          <w:highlight w:val="none"/>
          <w:u w:val="single"/>
        </w:rPr>
        <w:t xml:space="preserve">                </w:t>
      </w:r>
    </w:p>
    <w:p>
      <w:pPr>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联系人：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rPr>
        <w:t xml:space="preserve">             </w:t>
      </w:r>
    </w:p>
    <w:p>
      <w:pPr>
        <w:rPr>
          <w:rFonts w:hint="eastAsia" w:ascii="宋体" w:hAnsi="宋体" w:cs="宋体"/>
          <w:szCs w:val="21"/>
          <w:highlight w:val="none"/>
          <w:u w:val="single"/>
        </w:rPr>
      </w:pPr>
      <w:r>
        <w:rPr>
          <w:rFonts w:hint="eastAsia" w:ascii="仿宋" w:hAnsi="仿宋" w:eastAsia="仿宋" w:cs="仿宋"/>
          <w:sz w:val="28"/>
          <w:szCs w:val="28"/>
          <w:highlight w:val="none"/>
        </w:rPr>
        <w:t>电子邮箱：</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微信号：</w:t>
      </w:r>
      <w:r>
        <w:rPr>
          <w:rFonts w:hint="eastAsia" w:ascii="仿宋" w:hAnsi="仿宋" w:eastAsia="仿宋" w:cs="仿宋"/>
          <w:sz w:val="28"/>
          <w:szCs w:val="28"/>
          <w:highlight w:val="none"/>
          <w:u w:val="single"/>
        </w:rPr>
        <w:t xml:space="preserve">               </w:t>
      </w:r>
    </w:p>
    <w:p>
      <w:pPr>
        <w:autoSpaceDE w:val="0"/>
        <w:autoSpaceDN w:val="0"/>
        <w:adjustRightInd w:val="0"/>
        <w:snapToGrid w:val="0"/>
        <w:spacing w:line="480" w:lineRule="exact"/>
        <w:ind w:firstLine="420" w:firstLineChars="200"/>
        <w:rPr>
          <w:rFonts w:hint="eastAsia" w:ascii="宋体" w:hAnsi="宋体" w:cs="宋体"/>
          <w:szCs w:val="21"/>
          <w:highlight w:val="none"/>
        </w:rPr>
      </w:pPr>
      <w:r>
        <w:rPr>
          <w:rFonts w:hint="eastAsia" w:ascii="宋体" w:hAnsi="宋体" w:cs="宋体"/>
          <w:szCs w:val="21"/>
          <w:highlight w:val="none"/>
        </w:rPr>
        <w:br w:type="page"/>
      </w:r>
    </w:p>
    <w:p>
      <w:pPr>
        <w:pStyle w:val="24"/>
        <w:autoSpaceDE w:val="0"/>
        <w:autoSpaceDN w:val="0"/>
        <w:adjustRightInd w:val="0"/>
        <w:snapToGrid w:val="0"/>
        <w:ind w:firstLine="400" w:firstLineChars="200"/>
        <w:rPr>
          <w:rFonts w:hint="eastAsia" w:asciiTheme="minorEastAsia" w:hAnsiTheme="minorEastAsia" w:eastAsiaTheme="minorEastAsia" w:cstheme="minorEastAsia"/>
          <w:sz w:val="20"/>
          <w:szCs w:val="20"/>
          <w:highlight w:val="none"/>
        </w:rPr>
      </w:pPr>
    </w:p>
    <w:p>
      <w:pPr>
        <w:pStyle w:val="24"/>
        <w:autoSpaceDE/>
        <w:autoSpaceDN/>
        <w:adjustRightInd w:val="0"/>
        <w:snapToGrid w:val="0"/>
        <w:spacing w:line="480" w:lineRule="exact"/>
        <w:ind w:firstLine="420" w:firstLineChars="200"/>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依照中华人民共和国相关法律、法规，本着公平公正、诚实互利、等价有偿的原则，</w:t>
      </w:r>
      <w:r>
        <w:rPr>
          <w:rFonts w:hint="eastAsia" w:ascii="宋体" w:hAnsi="宋体" w:eastAsia="宋体" w:cs="宋体"/>
          <w:sz w:val="21"/>
          <w:szCs w:val="21"/>
          <w:highlight w:val="none"/>
          <w:lang w:val="zh-CN"/>
        </w:rPr>
        <w:t>就乙方向甲方</w:t>
      </w:r>
      <w:r>
        <w:rPr>
          <w:rFonts w:hint="eastAsia" w:ascii="宋体" w:hAnsi="宋体" w:eastAsia="宋体" w:cs="宋体"/>
          <w:sz w:val="21"/>
          <w:szCs w:val="21"/>
          <w:highlight w:val="none"/>
        </w:rPr>
        <w:t>中转、</w:t>
      </w:r>
      <w:r>
        <w:rPr>
          <w:rFonts w:hint="eastAsia" w:ascii="宋体" w:hAnsi="宋体" w:eastAsia="宋体" w:cs="宋体"/>
          <w:sz w:val="21"/>
          <w:szCs w:val="21"/>
          <w:highlight w:val="none"/>
          <w:lang w:val="zh-CN"/>
        </w:rPr>
        <w:t>航延（含超售、中转衔接错失、遣返等旅客住宿，</w:t>
      </w:r>
      <w:r>
        <w:rPr>
          <w:rFonts w:hint="eastAsia" w:ascii="宋体" w:hAnsi="宋体" w:eastAsia="宋体" w:cs="宋体"/>
          <w:sz w:val="21"/>
          <w:szCs w:val="21"/>
          <w:highlight w:val="none"/>
        </w:rPr>
        <w:t>以下简称航延</w:t>
      </w:r>
      <w:r>
        <w:rPr>
          <w:rFonts w:hint="eastAsia" w:ascii="宋体" w:hAnsi="宋体" w:eastAsia="宋体" w:cs="宋体"/>
          <w:sz w:val="21"/>
          <w:szCs w:val="21"/>
          <w:highlight w:val="none"/>
          <w:lang w:val="zh-CN"/>
        </w:rPr>
        <w:t>）旅客提供膳食、住宿和地面交通等事宜，经平等协商后</w:t>
      </w:r>
      <w:r>
        <w:rPr>
          <w:rFonts w:hint="eastAsia" w:ascii="宋体" w:hAnsi="宋体" w:eastAsia="宋体" w:cs="宋体"/>
          <w:sz w:val="21"/>
          <w:szCs w:val="21"/>
          <w:highlight w:val="none"/>
        </w:rPr>
        <w:t>达成一致意见</w:t>
      </w:r>
      <w:r>
        <w:rPr>
          <w:rFonts w:hint="eastAsia" w:ascii="宋体" w:hAnsi="宋体" w:eastAsia="宋体" w:cs="宋体"/>
          <w:sz w:val="21"/>
          <w:szCs w:val="21"/>
          <w:highlight w:val="none"/>
          <w:lang w:val="zh-CN"/>
        </w:rPr>
        <w:t>，双方签订本</w:t>
      </w:r>
      <w:r>
        <w:rPr>
          <w:rFonts w:hint="eastAsia" w:ascii="宋体" w:hAnsi="宋体" w:eastAsia="宋体" w:cs="宋体"/>
          <w:sz w:val="21"/>
          <w:szCs w:val="21"/>
          <w:highlight w:val="none"/>
        </w:rPr>
        <w:t>协议</w:t>
      </w:r>
      <w:r>
        <w:rPr>
          <w:rFonts w:hint="eastAsia" w:ascii="宋体" w:hAnsi="宋体" w:eastAsia="宋体" w:cs="宋体"/>
          <w:sz w:val="21"/>
          <w:szCs w:val="21"/>
          <w:highlight w:val="none"/>
          <w:lang w:val="zh-CN"/>
        </w:rPr>
        <w:t>以资共同遵守。</w:t>
      </w:r>
    </w:p>
    <w:p>
      <w:pPr>
        <w:autoSpaceDE w:val="0"/>
        <w:autoSpaceDN w:val="0"/>
        <w:adjustRightInd w:val="0"/>
        <w:snapToGrid w:val="0"/>
        <w:spacing w:line="480" w:lineRule="exact"/>
        <w:ind w:firstLine="422" w:firstLineChars="200"/>
        <w:rPr>
          <w:rFonts w:hint="eastAsia" w:ascii="宋体" w:hAnsi="宋体" w:cs="宋体"/>
          <w:b/>
          <w:bCs/>
          <w:szCs w:val="21"/>
          <w:highlight w:val="none"/>
        </w:rPr>
      </w:pPr>
    </w:p>
    <w:p>
      <w:pPr>
        <w:ind w:firstLine="422" w:firstLineChars="200"/>
        <w:rPr>
          <w:rFonts w:hint="eastAsia" w:ascii="宋体" w:hAnsi="宋体" w:cs="宋体"/>
          <w:b/>
          <w:bCs/>
          <w:szCs w:val="21"/>
          <w:highlight w:val="none"/>
        </w:rPr>
      </w:pPr>
      <w:r>
        <w:rPr>
          <w:rFonts w:hint="eastAsia" w:ascii="宋体" w:hAnsi="宋体" w:cs="宋体"/>
          <w:b/>
          <w:bCs/>
          <w:szCs w:val="21"/>
          <w:highlight w:val="none"/>
        </w:rPr>
        <w:t>第一条 有效期与适用范围</w:t>
      </w:r>
    </w:p>
    <w:p>
      <w:pPr>
        <w:pStyle w:val="24"/>
        <w:adjustRightInd w:val="0"/>
        <w:snapToGrid w:val="0"/>
        <w:spacing w:line="480" w:lineRule="exact"/>
        <w:ind w:firstLine="420" w:firstLineChars="200"/>
        <w:rPr>
          <w:rFonts w:hint="eastAsia" w:ascii="宋体" w:hAnsi="宋体" w:cs="宋体"/>
          <w:sz w:val="21"/>
          <w:szCs w:val="21"/>
          <w:highlight w:val="none"/>
        </w:rPr>
      </w:pPr>
      <w:r>
        <w:rPr>
          <w:rFonts w:hint="eastAsia" w:ascii="宋体" w:hAnsi="宋体" w:cs="宋体"/>
          <w:sz w:val="21"/>
          <w:szCs w:val="21"/>
          <w:highlight w:val="none"/>
        </w:rPr>
        <w:t>1.1 协议有效期为     年，自      年    月   日起至      年    月   日止。</w:t>
      </w:r>
    </w:p>
    <w:p>
      <w:pPr>
        <w:pStyle w:val="24"/>
        <w:adjustRightInd w:val="0"/>
        <w:snapToGrid w:val="0"/>
        <w:spacing w:line="480" w:lineRule="exact"/>
        <w:ind w:firstLine="420" w:firstLineChars="200"/>
        <w:rPr>
          <w:rFonts w:hint="eastAsia" w:ascii="宋体" w:hAnsi="宋体" w:cs="宋体"/>
          <w:sz w:val="21"/>
          <w:szCs w:val="21"/>
          <w:highlight w:val="none"/>
          <w:lang w:val="zh-CN"/>
        </w:rPr>
      </w:pPr>
      <w:r>
        <w:rPr>
          <w:rFonts w:hint="eastAsia" w:ascii="宋体" w:hAnsi="宋体" w:cs="宋体"/>
          <w:sz w:val="21"/>
          <w:szCs w:val="21"/>
          <w:highlight w:val="none"/>
        </w:rPr>
        <w:t>1.2</w:t>
      </w:r>
      <w:r>
        <w:rPr>
          <w:rFonts w:hint="eastAsia" w:ascii="宋体" w:hAnsi="宋体" w:cs="宋体"/>
          <w:sz w:val="21"/>
          <w:szCs w:val="21"/>
          <w:highlight w:val="none"/>
          <w:lang w:val="zh-CN"/>
        </w:rPr>
        <w:t xml:space="preserve"> 甲方的旅客在</w:t>
      </w:r>
      <w:r>
        <w:rPr>
          <w:rFonts w:hint="eastAsia" w:ascii="宋体" w:hAnsi="宋体" w:cs="宋体"/>
          <w:sz w:val="21"/>
          <w:szCs w:val="21"/>
          <w:highlight w:val="none"/>
          <w:u w:val="single"/>
          <w:lang w:val="zh-CN"/>
        </w:rPr>
        <w:t>XXX公司XXX</w:t>
      </w:r>
      <w:r>
        <w:rPr>
          <w:rFonts w:hint="eastAsia" w:ascii="宋体" w:hAnsi="宋体" w:cs="宋体"/>
          <w:sz w:val="21"/>
          <w:szCs w:val="21"/>
          <w:highlight w:val="none"/>
          <w:u w:val="single"/>
        </w:rPr>
        <w:t xml:space="preserve">酒店      </w:t>
      </w:r>
      <w:r>
        <w:rPr>
          <w:rFonts w:hint="eastAsia" w:ascii="宋体" w:hAnsi="宋体" w:cs="宋体"/>
          <w:sz w:val="21"/>
          <w:szCs w:val="21"/>
          <w:highlight w:val="none"/>
          <w:u w:val="single"/>
          <w:lang w:val="zh-CN"/>
        </w:rPr>
        <w:t>的</w:t>
      </w:r>
      <w:r>
        <w:rPr>
          <w:rFonts w:hint="eastAsia" w:ascii="宋体" w:hAnsi="宋体" w:cs="宋体"/>
          <w:sz w:val="21"/>
          <w:szCs w:val="21"/>
          <w:highlight w:val="none"/>
          <w:lang w:val="zh-CN"/>
        </w:rPr>
        <w:t>住宿、餐饮</w:t>
      </w:r>
      <w:r>
        <w:rPr>
          <w:rFonts w:hint="eastAsia" w:ascii="宋体" w:hAnsi="宋体" w:cs="宋体"/>
          <w:sz w:val="21"/>
          <w:szCs w:val="21"/>
          <w:highlight w:val="none"/>
          <w:u w:val="single"/>
          <w:lang w:val="zh-CN"/>
        </w:rPr>
        <w:t>和地面交通</w:t>
      </w:r>
      <w:r>
        <w:rPr>
          <w:rFonts w:hint="eastAsia" w:ascii="宋体" w:hAnsi="宋体" w:cs="宋体"/>
          <w:sz w:val="21"/>
          <w:szCs w:val="21"/>
          <w:highlight w:val="none"/>
          <w:u w:val="single"/>
        </w:rPr>
        <w:t>等</w:t>
      </w:r>
      <w:r>
        <w:rPr>
          <w:rFonts w:hint="eastAsia" w:ascii="宋体" w:hAnsi="宋体" w:cs="宋体"/>
          <w:sz w:val="21"/>
          <w:szCs w:val="21"/>
          <w:highlight w:val="none"/>
          <w:u w:val="single"/>
          <w:lang w:val="zh-CN"/>
        </w:rPr>
        <w:t>服务</w:t>
      </w:r>
      <w:r>
        <w:rPr>
          <w:rFonts w:hint="eastAsia" w:ascii="宋体" w:hAnsi="宋体" w:cs="宋体"/>
          <w:sz w:val="21"/>
          <w:szCs w:val="21"/>
          <w:highlight w:val="none"/>
          <w:lang w:val="zh-CN"/>
        </w:rPr>
        <w:t>。</w:t>
      </w:r>
    </w:p>
    <w:p>
      <w:pPr>
        <w:autoSpaceDE w:val="0"/>
        <w:autoSpaceDN w:val="0"/>
        <w:adjustRightInd w:val="0"/>
        <w:snapToGrid w:val="0"/>
        <w:spacing w:line="480" w:lineRule="exact"/>
        <w:ind w:firstLine="420" w:firstLineChars="200"/>
        <w:rPr>
          <w:rFonts w:hint="eastAsia" w:ascii="宋体" w:hAnsi="宋体" w:cs="宋体"/>
          <w:szCs w:val="21"/>
          <w:highlight w:val="none"/>
          <w:lang w:val="zh-CN"/>
        </w:rPr>
      </w:pPr>
      <w:r>
        <w:rPr>
          <w:rFonts w:hint="eastAsia" w:ascii="宋体" w:hAnsi="宋体" w:cs="宋体"/>
          <w:szCs w:val="21"/>
          <w:highlight w:val="none"/>
          <w:lang w:val="zh-CN"/>
        </w:rPr>
        <w:t>1</w:t>
      </w:r>
      <w:r>
        <w:rPr>
          <w:rFonts w:hint="eastAsia" w:ascii="宋体" w:hAnsi="宋体" w:cs="宋体"/>
          <w:szCs w:val="21"/>
          <w:highlight w:val="none"/>
        </w:rPr>
        <w:t>.3</w:t>
      </w:r>
      <w:r>
        <w:rPr>
          <w:rFonts w:hint="eastAsia" w:ascii="宋体" w:hAnsi="宋体" w:cs="宋体"/>
          <w:szCs w:val="21"/>
          <w:highlight w:val="none"/>
          <w:lang w:val="zh-CN"/>
        </w:rPr>
        <w:t xml:space="preserve"> 酒店位置：</w:t>
      </w:r>
      <w:r>
        <w:rPr>
          <w:rFonts w:hint="eastAsia" w:ascii="宋体" w:hAnsi="宋体" w:cs="宋体"/>
          <w:szCs w:val="21"/>
          <w:highlight w:val="none"/>
          <w:u w:val="single"/>
          <w:lang w:val="zh-CN"/>
        </w:rPr>
        <w:t>XXXXX</w:t>
      </w:r>
      <w:r>
        <w:rPr>
          <w:rFonts w:hint="eastAsia" w:ascii="宋体" w:hAnsi="宋体" w:cs="宋体"/>
          <w:szCs w:val="21"/>
          <w:highlight w:val="none"/>
          <w:u w:val="single"/>
        </w:rPr>
        <w:t xml:space="preserve">                     </w:t>
      </w:r>
      <w:r>
        <w:rPr>
          <w:rFonts w:hint="eastAsia" w:ascii="宋体" w:hAnsi="宋体" w:cs="宋体"/>
          <w:kern w:val="0"/>
          <w:szCs w:val="21"/>
          <w:highlight w:val="none"/>
          <w:lang w:bidi="ar"/>
        </w:rPr>
        <w:t>。</w:t>
      </w:r>
    </w:p>
    <w:p>
      <w:pPr>
        <w:autoSpaceDE w:val="0"/>
        <w:autoSpaceDN w:val="0"/>
        <w:adjustRightInd w:val="0"/>
        <w:snapToGrid w:val="0"/>
        <w:spacing w:line="480" w:lineRule="exact"/>
        <w:ind w:firstLine="420" w:firstLineChars="200"/>
        <w:rPr>
          <w:rFonts w:hint="eastAsia" w:ascii="宋体" w:hAnsi="宋体" w:cs="宋体"/>
          <w:szCs w:val="21"/>
          <w:highlight w:val="none"/>
          <w:lang w:val="zh-CN"/>
        </w:rPr>
      </w:pPr>
      <w:r>
        <w:rPr>
          <w:rFonts w:hint="eastAsia" w:ascii="宋体" w:hAnsi="宋体" w:cs="宋体"/>
          <w:szCs w:val="21"/>
          <w:highlight w:val="none"/>
        </w:rPr>
        <w:t>1.4</w:t>
      </w:r>
      <w:r>
        <w:rPr>
          <w:rFonts w:hint="eastAsia" w:ascii="宋体" w:hAnsi="宋体" w:cs="宋体"/>
          <w:szCs w:val="21"/>
          <w:highlight w:val="none"/>
          <w:lang w:val="zh-CN"/>
        </w:rPr>
        <w:t xml:space="preserve"> </w:t>
      </w:r>
      <w:r>
        <w:rPr>
          <w:rFonts w:hint="eastAsia" w:ascii="宋体" w:hAnsi="宋体" w:cs="宋体"/>
          <w:szCs w:val="21"/>
          <w:highlight w:val="none"/>
        </w:rPr>
        <w:t>乙方根据甲方坤翔系统的安排为甲方旅客</w:t>
      </w:r>
      <w:r>
        <w:rPr>
          <w:rFonts w:hint="eastAsia" w:ascii="宋体" w:hAnsi="宋体" w:cs="宋体"/>
          <w:szCs w:val="21"/>
          <w:highlight w:val="none"/>
          <w:lang w:val="zh-CN"/>
        </w:rPr>
        <w:t>提供住宿、餐饮</w:t>
      </w:r>
      <w:r>
        <w:rPr>
          <w:rFonts w:hint="eastAsia" w:ascii="宋体" w:hAnsi="宋体" w:cs="宋体"/>
          <w:szCs w:val="21"/>
          <w:highlight w:val="none"/>
          <w:u w:val="single"/>
          <w:lang w:val="zh-CN"/>
        </w:rPr>
        <w:t>和地面交通</w:t>
      </w:r>
      <w:r>
        <w:rPr>
          <w:rFonts w:hint="eastAsia" w:ascii="宋体" w:hAnsi="宋体" w:cs="宋体"/>
          <w:szCs w:val="21"/>
          <w:highlight w:val="none"/>
          <w:lang w:val="zh-CN"/>
        </w:rPr>
        <w:t>等服务</w:t>
      </w:r>
      <w:r>
        <w:rPr>
          <w:rFonts w:hint="eastAsia" w:ascii="宋体" w:hAnsi="宋体" w:cs="宋体"/>
          <w:szCs w:val="21"/>
          <w:highlight w:val="none"/>
        </w:rPr>
        <w:t xml:space="preserve">， </w:t>
      </w:r>
      <w:r>
        <w:rPr>
          <w:rFonts w:hint="eastAsia" w:ascii="宋体" w:hAnsi="宋体" w:cs="宋体"/>
          <w:szCs w:val="21"/>
          <w:highlight w:val="none"/>
          <w:lang w:val="zh-CN"/>
        </w:rPr>
        <w:t>派出工作人员、</w:t>
      </w:r>
      <w:r>
        <w:rPr>
          <w:rFonts w:hint="eastAsia" w:ascii="宋体" w:hAnsi="宋体" w:cs="宋体"/>
          <w:szCs w:val="21"/>
          <w:highlight w:val="none"/>
        </w:rPr>
        <w:t>提供</w:t>
      </w:r>
      <w:r>
        <w:rPr>
          <w:rFonts w:hint="eastAsia" w:ascii="宋体" w:hAnsi="宋体" w:cs="宋体"/>
          <w:szCs w:val="21"/>
          <w:highlight w:val="none"/>
          <w:lang w:val="zh-CN"/>
        </w:rPr>
        <w:t>车辆接送旅客至酒店</w:t>
      </w:r>
      <w:r>
        <w:rPr>
          <w:rFonts w:hint="eastAsia" w:ascii="宋体" w:hAnsi="宋体" w:cs="宋体"/>
          <w:szCs w:val="21"/>
          <w:highlight w:val="none"/>
        </w:rPr>
        <w:t>/机场 ，由甲</w:t>
      </w:r>
      <w:r>
        <w:rPr>
          <w:rFonts w:hint="eastAsia" w:ascii="宋体" w:hAnsi="宋体" w:cs="宋体"/>
          <w:szCs w:val="21"/>
          <w:highlight w:val="none"/>
          <w:lang w:val="zh-CN"/>
        </w:rPr>
        <w:t>方</w:t>
      </w:r>
      <w:r>
        <w:rPr>
          <w:rFonts w:hint="eastAsia" w:ascii="宋体" w:hAnsi="宋体" w:cs="宋体"/>
          <w:szCs w:val="21"/>
          <w:highlight w:val="none"/>
        </w:rPr>
        <w:t>按本协议约定</w:t>
      </w:r>
      <w:r>
        <w:rPr>
          <w:rFonts w:hint="eastAsia" w:ascii="宋体" w:hAnsi="宋体" w:cs="宋体"/>
          <w:szCs w:val="21"/>
          <w:highlight w:val="none"/>
          <w:lang w:val="zh-CN"/>
        </w:rPr>
        <w:t>支付相关费用。</w:t>
      </w:r>
    </w:p>
    <w:p>
      <w:pPr>
        <w:autoSpaceDE w:val="0"/>
        <w:autoSpaceDN w:val="0"/>
        <w:adjustRightInd w:val="0"/>
        <w:snapToGrid w:val="0"/>
        <w:spacing w:line="440" w:lineRule="exact"/>
        <w:rPr>
          <w:rFonts w:hint="eastAsia" w:asciiTheme="minorEastAsia" w:hAnsiTheme="minorEastAsia" w:eastAsiaTheme="minorEastAsia" w:cstheme="minorEastAsia"/>
          <w:b/>
          <w:bCs/>
          <w:sz w:val="20"/>
          <w:szCs w:val="20"/>
          <w:highlight w:val="none"/>
        </w:rPr>
      </w:pPr>
    </w:p>
    <w:p>
      <w:pPr>
        <w:ind w:firstLine="402" w:firstLineChars="200"/>
        <w:rPr>
          <w:rFonts w:hint="eastAsia" w:asciiTheme="minorEastAsia" w:hAnsiTheme="minorEastAsia" w:eastAsiaTheme="minorEastAsia" w:cstheme="minorEastAsia"/>
          <w:b/>
          <w:bCs/>
          <w:sz w:val="20"/>
          <w:szCs w:val="20"/>
          <w:highlight w:val="none"/>
        </w:rPr>
      </w:pPr>
      <w:r>
        <w:rPr>
          <w:rFonts w:hint="eastAsia" w:asciiTheme="minorEastAsia" w:hAnsiTheme="minorEastAsia" w:eastAsiaTheme="minorEastAsia" w:cstheme="minorEastAsia"/>
          <w:b/>
          <w:bCs/>
          <w:sz w:val="20"/>
          <w:szCs w:val="20"/>
          <w:highlight w:val="none"/>
        </w:rPr>
        <w:t>第二条  价格标准与分配原则</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u w:val="single"/>
        </w:rPr>
      </w:pPr>
      <w:r>
        <w:rPr>
          <w:rFonts w:hint="eastAsia" w:asciiTheme="minorEastAsia" w:hAnsiTheme="minorEastAsia" w:eastAsiaTheme="minorEastAsia" w:cstheme="minorEastAsia"/>
          <w:sz w:val="20"/>
          <w:szCs w:val="20"/>
          <w:highlight w:val="none"/>
        </w:rPr>
        <w:t>2</w:t>
      </w:r>
      <w:r>
        <w:rPr>
          <w:rFonts w:hint="eastAsia" w:asciiTheme="minorEastAsia" w:hAnsiTheme="minorEastAsia" w:eastAsiaTheme="minorEastAsia" w:cstheme="minorEastAsia"/>
          <w:sz w:val="20"/>
          <w:szCs w:val="20"/>
          <w:highlight w:val="none"/>
          <w:lang w:val="zh-CN"/>
        </w:rPr>
        <w:t>.1</w:t>
      </w:r>
      <w:r>
        <w:rPr>
          <w:rFonts w:hint="eastAsia" w:asciiTheme="minorEastAsia" w:hAnsiTheme="minorEastAsia" w:eastAsiaTheme="minorEastAsia" w:cstheme="minorEastAsia"/>
          <w:sz w:val="20"/>
          <w:szCs w:val="20"/>
          <w:highlight w:val="none"/>
        </w:rPr>
        <w:t xml:space="preserve"> </w:t>
      </w:r>
      <w:r>
        <w:rPr>
          <w:rFonts w:hint="eastAsia" w:asciiTheme="minorEastAsia" w:hAnsiTheme="minorEastAsia" w:eastAsiaTheme="minorEastAsia" w:cstheme="minorEastAsia"/>
          <w:sz w:val="20"/>
          <w:szCs w:val="20"/>
          <w:highlight w:val="none"/>
          <w:lang w:val="zh-CN"/>
        </w:rPr>
        <w:t>中转旅客服务价格</w:t>
      </w:r>
      <w:r>
        <w:rPr>
          <w:rFonts w:hint="eastAsia" w:asciiTheme="minorEastAsia" w:hAnsiTheme="minorEastAsia" w:eastAsiaTheme="minorEastAsia" w:cstheme="minorEastAsia"/>
          <w:sz w:val="20"/>
          <w:szCs w:val="20"/>
          <w:highlight w:val="none"/>
          <w:u w:val="single"/>
        </w:rPr>
        <w:t xml:space="preserve">  </w:t>
      </w:r>
    </w:p>
    <w:tbl>
      <w:tblPr>
        <w:tblStyle w:val="25"/>
        <w:tblW w:w="10001" w:type="dxa"/>
        <w:jc w:val="center"/>
        <w:tblLayout w:type="fixed"/>
        <w:tblCellMar>
          <w:top w:w="0" w:type="dxa"/>
          <w:left w:w="108" w:type="dxa"/>
          <w:bottom w:w="0" w:type="dxa"/>
          <w:right w:w="108" w:type="dxa"/>
        </w:tblCellMar>
      </w:tblPr>
      <w:tblGrid>
        <w:gridCol w:w="2163"/>
        <w:gridCol w:w="2415"/>
        <w:gridCol w:w="1830"/>
        <w:gridCol w:w="3593"/>
      </w:tblGrid>
      <w:tr>
        <w:tblPrEx>
          <w:tblCellMar>
            <w:top w:w="0" w:type="dxa"/>
            <w:left w:w="108" w:type="dxa"/>
            <w:bottom w:w="0" w:type="dxa"/>
            <w:right w:w="108" w:type="dxa"/>
          </w:tblCellMar>
        </w:tblPrEx>
        <w:trPr>
          <w:trHeight w:val="610" w:hRule="atLeast"/>
          <w:jc w:val="center"/>
        </w:trPr>
        <w:tc>
          <w:tcPr>
            <w:tcW w:w="2163" w:type="dxa"/>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napToGrid w:val="0"/>
              <w:jc w:val="center"/>
              <w:rPr>
                <w:rFonts w:hint="eastAsia" w:asciiTheme="minorEastAsia" w:hAnsiTheme="minorEastAsia" w:eastAsiaTheme="minorEastAsia" w:cstheme="minorEastAsia"/>
                <w:b/>
                <w:bCs/>
                <w:sz w:val="20"/>
                <w:szCs w:val="20"/>
                <w:highlight w:val="none"/>
                <w:u w:val="single"/>
                <w:lang w:val="zh-CN"/>
              </w:rPr>
            </w:pPr>
            <w:r>
              <w:rPr>
                <w:rFonts w:hint="eastAsia" w:asciiTheme="minorEastAsia" w:hAnsiTheme="minorEastAsia" w:eastAsiaTheme="minorEastAsia" w:cstheme="minorEastAsia"/>
                <w:b/>
                <w:bCs/>
                <w:sz w:val="20"/>
                <w:szCs w:val="20"/>
                <w:highlight w:val="none"/>
                <w:u w:val="single"/>
                <w:lang w:val="zh-CN"/>
              </w:rPr>
              <w:t>房间类型</w:t>
            </w:r>
          </w:p>
        </w:tc>
        <w:tc>
          <w:tcPr>
            <w:tcW w:w="2415" w:type="dxa"/>
            <w:tcBorders>
              <w:top w:val="single" w:color="auto" w:sz="6" w:space="0"/>
              <w:left w:val="single" w:color="auto" w:sz="4" w:space="0"/>
              <w:bottom w:val="single" w:color="auto" w:sz="4" w:space="0"/>
              <w:right w:val="single" w:color="auto" w:sz="6" w:space="0"/>
            </w:tcBorders>
            <w:vAlign w:val="center"/>
          </w:tcPr>
          <w:p>
            <w:pPr>
              <w:autoSpaceDE w:val="0"/>
              <w:autoSpaceDN w:val="0"/>
              <w:adjustRightInd w:val="0"/>
              <w:snapToGrid w:val="0"/>
              <w:jc w:val="center"/>
              <w:rPr>
                <w:rFonts w:hint="eastAsia" w:asciiTheme="minorEastAsia" w:hAnsiTheme="minorEastAsia" w:eastAsiaTheme="minorEastAsia" w:cstheme="minorEastAsia"/>
                <w:b/>
                <w:bCs/>
                <w:sz w:val="20"/>
                <w:szCs w:val="20"/>
                <w:highlight w:val="none"/>
                <w:u w:val="single"/>
                <w:lang w:val="zh-CN"/>
              </w:rPr>
            </w:pPr>
            <w:r>
              <w:rPr>
                <w:rFonts w:hint="eastAsia" w:asciiTheme="minorEastAsia" w:hAnsiTheme="minorEastAsia" w:eastAsiaTheme="minorEastAsia" w:cstheme="minorEastAsia"/>
                <w:b/>
                <w:bCs/>
                <w:sz w:val="20"/>
                <w:szCs w:val="20"/>
                <w:highlight w:val="none"/>
                <w:u w:val="single"/>
                <w:lang w:val="zh-CN"/>
              </w:rPr>
              <w:t>房费价格</w:t>
            </w:r>
          </w:p>
          <w:p>
            <w:pPr>
              <w:autoSpaceDE w:val="0"/>
              <w:autoSpaceDN w:val="0"/>
              <w:adjustRightInd w:val="0"/>
              <w:snapToGrid w:val="0"/>
              <w:jc w:val="center"/>
              <w:rPr>
                <w:rFonts w:hint="eastAsia" w:asciiTheme="minorEastAsia" w:hAnsiTheme="minorEastAsia" w:eastAsiaTheme="minorEastAsia" w:cstheme="minorEastAsia"/>
                <w:b/>
                <w:bCs/>
                <w:sz w:val="20"/>
                <w:szCs w:val="20"/>
                <w:highlight w:val="none"/>
                <w:u w:val="single"/>
                <w:lang w:val="zh-CN"/>
              </w:rPr>
            </w:pPr>
            <w:r>
              <w:rPr>
                <w:rFonts w:hint="eastAsia" w:asciiTheme="minorEastAsia" w:hAnsiTheme="minorEastAsia" w:eastAsiaTheme="minorEastAsia" w:cstheme="minorEastAsia"/>
                <w:sz w:val="18"/>
                <w:szCs w:val="18"/>
                <w:highlight w:val="none"/>
                <w:u w:val="single"/>
                <w:lang w:val="zh-CN"/>
              </w:rPr>
              <w:t>（</w:t>
            </w:r>
            <w:r>
              <w:rPr>
                <w:rFonts w:hint="eastAsia" w:asciiTheme="minorEastAsia" w:hAnsiTheme="minorEastAsia" w:eastAsiaTheme="minorEastAsia" w:cstheme="minorEastAsia"/>
                <w:sz w:val="18"/>
                <w:szCs w:val="18"/>
                <w:highlight w:val="none"/>
                <w:u w:val="single"/>
              </w:rPr>
              <w:t>元/间/天</w:t>
            </w:r>
            <w:r>
              <w:rPr>
                <w:rFonts w:hint="eastAsia" w:asciiTheme="minorEastAsia" w:hAnsiTheme="minorEastAsia" w:eastAsiaTheme="minorEastAsia" w:cstheme="minorEastAsia"/>
                <w:sz w:val="18"/>
                <w:szCs w:val="18"/>
                <w:highlight w:val="none"/>
                <w:u w:val="single"/>
                <w:lang w:val="zh-CN"/>
              </w:rPr>
              <w:t>）</w:t>
            </w:r>
          </w:p>
        </w:tc>
        <w:tc>
          <w:tcPr>
            <w:tcW w:w="5423"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jc w:val="center"/>
              <w:rPr>
                <w:rFonts w:hint="eastAsia" w:asciiTheme="minorEastAsia" w:hAnsiTheme="minorEastAsia" w:eastAsiaTheme="minorEastAsia" w:cstheme="minorEastAsia"/>
                <w:b/>
                <w:bCs/>
                <w:sz w:val="20"/>
                <w:szCs w:val="20"/>
                <w:highlight w:val="none"/>
                <w:u w:val="single"/>
                <w:lang w:val="zh-CN"/>
              </w:rPr>
            </w:pPr>
            <w:r>
              <w:rPr>
                <w:rFonts w:hint="eastAsia" w:asciiTheme="minorEastAsia" w:hAnsiTheme="minorEastAsia" w:eastAsiaTheme="minorEastAsia" w:cstheme="minorEastAsia"/>
                <w:b/>
                <w:bCs/>
                <w:sz w:val="20"/>
                <w:szCs w:val="20"/>
                <w:highlight w:val="none"/>
                <w:u w:val="single"/>
                <w:lang w:val="zh-CN"/>
              </w:rPr>
              <w:t>备注</w:t>
            </w:r>
          </w:p>
        </w:tc>
      </w:tr>
      <w:tr>
        <w:tblPrEx>
          <w:tblCellMar>
            <w:top w:w="0" w:type="dxa"/>
            <w:left w:w="108" w:type="dxa"/>
            <w:bottom w:w="0" w:type="dxa"/>
            <w:right w:w="108" w:type="dxa"/>
          </w:tblCellMar>
        </w:tblPrEx>
        <w:trPr>
          <w:trHeight w:val="508" w:hRule="atLeast"/>
          <w:jc w:val="center"/>
        </w:trPr>
        <w:tc>
          <w:tcPr>
            <w:tcW w:w="2163" w:type="dxa"/>
            <w:tcBorders>
              <w:top w:val="single" w:color="auto" w:sz="4" w:space="0"/>
              <w:left w:val="single" w:color="auto" w:sz="4" w:space="0"/>
              <w:bottom w:val="single" w:color="auto" w:sz="6" w:space="0"/>
              <w:right w:val="single" w:color="auto" w:sz="6" w:space="0"/>
            </w:tcBorders>
            <w:vAlign w:val="center"/>
          </w:tcPr>
          <w:p>
            <w:pPr>
              <w:autoSpaceDE w:val="0"/>
              <w:autoSpaceDN w:val="0"/>
              <w:adjustRightInd w:val="0"/>
              <w:snapToGrid w:val="0"/>
              <w:jc w:val="center"/>
              <w:rPr>
                <w:rFonts w:hint="eastAsia" w:asciiTheme="minorEastAsia" w:hAnsiTheme="minorEastAsia" w:eastAsiaTheme="minorEastAsia" w:cstheme="minorEastAsia"/>
                <w:sz w:val="20"/>
                <w:szCs w:val="20"/>
                <w:highlight w:val="none"/>
                <w:u w:val="single"/>
              </w:rPr>
            </w:pPr>
            <w:r>
              <w:rPr>
                <w:rFonts w:hint="eastAsia" w:asciiTheme="minorEastAsia" w:hAnsiTheme="minorEastAsia" w:eastAsiaTheme="minorEastAsia" w:cstheme="minorEastAsia"/>
                <w:sz w:val="20"/>
                <w:szCs w:val="20"/>
                <w:highlight w:val="none"/>
                <w:u w:val="single"/>
                <w:lang w:val="zh-CN"/>
              </w:rPr>
              <w:t>单人间</w:t>
            </w:r>
          </w:p>
        </w:tc>
        <w:tc>
          <w:tcPr>
            <w:tcW w:w="24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jc w:val="center"/>
              <w:rPr>
                <w:rFonts w:hint="eastAsia" w:asciiTheme="minorEastAsia" w:hAnsiTheme="minorEastAsia" w:eastAsiaTheme="minorEastAsia" w:cstheme="minorEastAsia"/>
                <w:sz w:val="20"/>
                <w:szCs w:val="20"/>
                <w:highlight w:val="none"/>
                <w:u w:val="single"/>
              </w:rPr>
            </w:pPr>
            <w:r>
              <w:rPr>
                <w:rFonts w:hint="eastAsia" w:asciiTheme="minorEastAsia" w:hAnsiTheme="minorEastAsia" w:eastAsiaTheme="minorEastAsia" w:cstheme="minorEastAsia"/>
                <w:sz w:val="20"/>
                <w:szCs w:val="20"/>
                <w:highlight w:val="none"/>
                <w:u w:val="single"/>
                <w:lang w:val="zh-CN"/>
              </w:rPr>
              <w:t>XX</w:t>
            </w:r>
            <w:r>
              <w:rPr>
                <w:rFonts w:hint="eastAsia" w:asciiTheme="minorEastAsia" w:hAnsiTheme="minorEastAsia" w:eastAsiaTheme="minorEastAsia" w:cstheme="minorEastAsia"/>
                <w:sz w:val="20"/>
                <w:szCs w:val="20"/>
                <w:highlight w:val="none"/>
                <w:u w:val="single"/>
              </w:rPr>
              <w:t>X</w:t>
            </w:r>
          </w:p>
        </w:tc>
        <w:tc>
          <w:tcPr>
            <w:tcW w:w="5423" w:type="dxa"/>
            <w:gridSpan w:val="2"/>
            <w:tcBorders>
              <w:top w:val="single" w:color="auto" w:sz="6" w:space="0"/>
              <w:left w:val="single" w:color="auto" w:sz="4" w:space="0"/>
              <w:bottom w:val="single" w:color="auto" w:sz="6" w:space="0"/>
              <w:right w:val="single" w:color="auto" w:sz="6" w:space="0"/>
            </w:tcBorders>
            <w:vAlign w:val="center"/>
          </w:tcPr>
          <w:p>
            <w:pPr>
              <w:autoSpaceDE w:val="0"/>
              <w:autoSpaceDN w:val="0"/>
              <w:adjustRightInd w:val="0"/>
              <w:snapToGrid w:val="0"/>
              <w:jc w:val="center"/>
              <w:rPr>
                <w:rFonts w:hint="eastAsia" w:asciiTheme="minorEastAsia" w:hAnsiTheme="minorEastAsia" w:eastAsiaTheme="minorEastAsia" w:cstheme="minorEastAsia"/>
                <w:sz w:val="20"/>
                <w:szCs w:val="20"/>
                <w:highlight w:val="none"/>
                <w:u w:val="single"/>
              </w:rPr>
            </w:pPr>
            <w:r>
              <w:rPr>
                <w:rFonts w:hint="eastAsia" w:asciiTheme="minorEastAsia" w:hAnsiTheme="minorEastAsia" w:eastAsiaTheme="minorEastAsia" w:cstheme="minorEastAsia"/>
                <w:sz w:val="20"/>
                <w:szCs w:val="20"/>
                <w:highlight w:val="none"/>
                <w:u w:val="single"/>
                <w:lang w:val="zh-CN"/>
              </w:rPr>
              <w:t>房费含入住人数早餐</w:t>
            </w:r>
          </w:p>
        </w:tc>
      </w:tr>
      <w:tr>
        <w:tblPrEx>
          <w:tblCellMar>
            <w:top w:w="0" w:type="dxa"/>
            <w:left w:w="108" w:type="dxa"/>
            <w:bottom w:w="0" w:type="dxa"/>
            <w:right w:w="108" w:type="dxa"/>
          </w:tblCellMar>
        </w:tblPrEx>
        <w:trPr>
          <w:trHeight w:val="539" w:hRule="atLeast"/>
          <w:jc w:val="center"/>
        </w:trPr>
        <w:tc>
          <w:tcPr>
            <w:tcW w:w="2163" w:type="dxa"/>
            <w:tcBorders>
              <w:top w:val="single" w:color="auto" w:sz="4" w:space="0"/>
              <w:left w:val="single" w:color="auto" w:sz="4" w:space="0"/>
              <w:bottom w:val="single" w:color="auto" w:sz="6" w:space="0"/>
              <w:right w:val="single" w:color="auto" w:sz="6" w:space="0"/>
            </w:tcBorders>
            <w:vAlign w:val="center"/>
          </w:tcPr>
          <w:p>
            <w:pPr>
              <w:autoSpaceDE w:val="0"/>
              <w:autoSpaceDN w:val="0"/>
              <w:adjustRightInd w:val="0"/>
              <w:snapToGrid w:val="0"/>
              <w:jc w:val="center"/>
              <w:rPr>
                <w:rFonts w:hint="eastAsia" w:asciiTheme="minorEastAsia" w:hAnsiTheme="minorEastAsia" w:eastAsiaTheme="minorEastAsia" w:cstheme="minorEastAsia"/>
                <w:sz w:val="20"/>
                <w:szCs w:val="20"/>
                <w:highlight w:val="none"/>
                <w:u w:val="single"/>
                <w:lang w:val="zh-CN"/>
              </w:rPr>
            </w:pPr>
            <w:r>
              <w:rPr>
                <w:rFonts w:hint="eastAsia" w:asciiTheme="minorEastAsia" w:hAnsiTheme="minorEastAsia" w:eastAsiaTheme="minorEastAsia" w:cstheme="minorEastAsia"/>
                <w:sz w:val="20"/>
                <w:szCs w:val="20"/>
                <w:highlight w:val="none"/>
                <w:u w:val="single"/>
                <w:lang w:val="zh-CN"/>
              </w:rPr>
              <w:t>双人间</w:t>
            </w:r>
          </w:p>
        </w:tc>
        <w:tc>
          <w:tcPr>
            <w:tcW w:w="24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jc w:val="center"/>
              <w:rPr>
                <w:rFonts w:hint="eastAsia" w:asciiTheme="minorEastAsia" w:hAnsiTheme="minorEastAsia" w:eastAsiaTheme="minorEastAsia" w:cstheme="minorEastAsia"/>
                <w:sz w:val="20"/>
                <w:szCs w:val="20"/>
                <w:highlight w:val="none"/>
                <w:u w:val="single"/>
                <w:lang w:val="zh-CN"/>
              </w:rPr>
            </w:pPr>
            <w:r>
              <w:rPr>
                <w:rFonts w:hint="eastAsia" w:asciiTheme="minorEastAsia" w:hAnsiTheme="minorEastAsia" w:eastAsiaTheme="minorEastAsia" w:cstheme="minorEastAsia"/>
                <w:sz w:val="20"/>
                <w:szCs w:val="20"/>
                <w:highlight w:val="none"/>
                <w:u w:val="single"/>
                <w:lang w:val="zh-CN"/>
              </w:rPr>
              <w:t>XX</w:t>
            </w:r>
            <w:r>
              <w:rPr>
                <w:rFonts w:hint="eastAsia" w:asciiTheme="minorEastAsia" w:hAnsiTheme="minorEastAsia" w:eastAsiaTheme="minorEastAsia" w:cstheme="minorEastAsia"/>
                <w:sz w:val="20"/>
                <w:szCs w:val="20"/>
                <w:highlight w:val="none"/>
                <w:u w:val="single"/>
              </w:rPr>
              <w:t>X</w:t>
            </w:r>
          </w:p>
        </w:tc>
        <w:tc>
          <w:tcPr>
            <w:tcW w:w="5423" w:type="dxa"/>
            <w:gridSpan w:val="2"/>
            <w:tcBorders>
              <w:top w:val="single" w:color="auto" w:sz="6" w:space="0"/>
              <w:left w:val="single" w:color="auto" w:sz="4" w:space="0"/>
              <w:bottom w:val="single" w:color="auto" w:sz="6" w:space="0"/>
              <w:right w:val="single" w:color="auto" w:sz="6" w:space="0"/>
            </w:tcBorders>
            <w:vAlign w:val="center"/>
          </w:tcPr>
          <w:p>
            <w:pPr>
              <w:autoSpaceDE w:val="0"/>
              <w:autoSpaceDN w:val="0"/>
              <w:adjustRightInd w:val="0"/>
              <w:snapToGrid w:val="0"/>
              <w:jc w:val="center"/>
              <w:rPr>
                <w:rFonts w:hint="eastAsia" w:asciiTheme="minorEastAsia" w:hAnsiTheme="minorEastAsia" w:eastAsiaTheme="minorEastAsia" w:cstheme="minorEastAsia"/>
                <w:sz w:val="20"/>
                <w:szCs w:val="20"/>
                <w:highlight w:val="none"/>
                <w:u w:val="single"/>
                <w:lang w:val="zh-CN"/>
              </w:rPr>
            </w:pPr>
            <w:r>
              <w:rPr>
                <w:rFonts w:hint="eastAsia" w:asciiTheme="minorEastAsia" w:hAnsiTheme="minorEastAsia" w:eastAsiaTheme="minorEastAsia" w:cstheme="minorEastAsia"/>
                <w:sz w:val="20"/>
                <w:szCs w:val="20"/>
                <w:highlight w:val="none"/>
                <w:u w:val="single"/>
                <w:lang w:val="zh-CN"/>
              </w:rPr>
              <w:t>房费含入住人数早餐</w:t>
            </w:r>
          </w:p>
        </w:tc>
      </w:tr>
      <w:tr>
        <w:tblPrEx>
          <w:tblCellMar>
            <w:top w:w="0" w:type="dxa"/>
            <w:left w:w="108" w:type="dxa"/>
            <w:bottom w:w="0" w:type="dxa"/>
            <w:right w:w="108" w:type="dxa"/>
          </w:tblCellMar>
        </w:tblPrEx>
        <w:trPr>
          <w:trHeight w:val="340" w:hRule="atLeast"/>
          <w:jc w:val="center"/>
        </w:trPr>
        <w:tc>
          <w:tcPr>
            <w:tcW w:w="10001" w:type="dxa"/>
            <w:gridSpan w:val="4"/>
            <w:tcBorders>
              <w:top w:val="single" w:color="auto" w:sz="4" w:space="0"/>
              <w:left w:val="single" w:color="auto" w:sz="4" w:space="0"/>
              <w:bottom w:val="single" w:color="auto" w:sz="6" w:space="0"/>
              <w:right w:val="single" w:color="auto" w:sz="6" w:space="0"/>
            </w:tcBorders>
            <w:vAlign w:val="center"/>
          </w:tcPr>
          <w:p>
            <w:pPr>
              <w:widowControl/>
              <w:adjustRightInd w:val="0"/>
              <w:snapToGrid w:val="0"/>
              <w:jc w:val="center"/>
              <w:rPr>
                <w:rFonts w:hint="eastAsia" w:asciiTheme="minorEastAsia" w:hAnsiTheme="minorEastAsia" w:eastAsiaTheme="minorEastAsia" w:cstheme="minorEastAsia"/>
                <w:sz w:val="20"/>
                <w:szCs w:val="20"/>
                <w:highlight w:val="none"/>
                <w:u w:val="single"/>
                <w:lang w:val="zh-CN"/>
              </w:rPr>
            </w:pPr>
          </w:p>
        </w:tc>
      </w:tr>
      <w:tr>
        <w:tblPrEx>
          <w:tblCellMar>
            <w:top w:w="0" w:type="dxa"/>
            <w:left w:w="108" w:type="dxa"/>
            <w:bottom w:w="0" w:type="dxa"/>
            <w:right w:w="108" w:type="dxa"/>
          </w:tblCellMar>
        </w:tblPrEx>
        <w:trPr>
          <w:trHeight w:val="625" w:hRule="atLeast"/>
          <w:jc w:val="center"/>
        </w:trPr>
        <w:tc>
          <w:tcPr>
            <w:tcW w:w="2163" w:type="dxa"/>
            <w:tcBorders>
              <w:top w:val="single" w:color="auto" w:sz="4" w:space="0"/>
              <w:left w:val="single" w:color="auto" w:sz="4" w:space="0"/>
              <w:bottom w:val="single" w:color="auto" w:sz="6" w:space="0"/>
              <w:right w:val="single" w:color="auto" w:sz="6" w:space="0"/>
            </w:tcBorders>
            <w:vAlign w:val="center"/>
          </w:tcPr>
          <w:p>
            <w:pPr>
              <w:autoSpaceDE w:val="0"/>
              <w:autoSpaceDN w:val="0"/>
              <w:adjustRightInd w:val="0"/>
              <w:snapToGrid w:val="0"/>
              <w:jc w:val="center"/>
              <w:rPr>
                <w:rFonts w:hint="eastAsia" w:asciiTheme="minorEastAsia" w:hAnsiTheme="minorEastAsia" w:eastAsiaTheme="minorEastAsia" w:cstheme="minorEastAsia"/>
                <w:b/>
                <w:bCs/>
                <w:sz w:val="20"/>
                <w:szCs w:val="20"/>
                <w:highlight w:val="none"/>
                <w:u w:val="single"/>
                <w:lang w:val="zh-CN"/>
              </w:rPr>
            </w:pPr>
            <w:r>
              <w:rPr>
                <w:rFonts w:hint="eastAsia" w:asciiTheme="minorEastAsia" w:hAnsiTheme="minorEastAsia" w:eastAsiaTheme="minorEastAsia" w:cstheme="minorEastAsia"/>
                <w:b/>
                <w:bCs/>
                <w:sz w:val="20"/>
                <w:szCs w:val="20"/>
                <w:highlight w:val="none"/>
                <w:u w:val="single"/>
                <w:lang w:val="zh-CN"/>
              </w:rPr>
              <w:t>餐食类型</w:t>
            </w:r>
          </w:p>
        </w:tc>
        <w:tc>
          <w:tcPr>
            <w:tcW w:w="2415" w:type="dxa"/>
            <w:tcBorders>
              <w:top w:val="single" w:color="auto" w:sz="4" w:space="0"/>
              <w:left w:val="single" w:color="auto" w:sz="4" w:space="0"/>
              <w:bottom w:val="single" w:color="auto" w:sz="6" w:space="0"/>
              <w:right w:val="single" w:color="auto" w:sz="6" w:space="0"/>
            </w:tcBorders>
            <w:vAlign w:val="center"/>
          </w:tcPr>
          <w:p>
            <w:pPr>
              <w:autoSpaceDE w:val="0"/>
              <w:autoSpaceDN w:val="0"/>
              <w:adjustRightInd w:val="0"/>
              <w:snapToGrid w:val="0"/>
              <w:jc w:val="center"/>
              <w:rPr>
                <w:rFonts w:hint="eastAsia" w:asciiTheme="minorEastAsia" w:hAnsiTheme="minorEastAsia" w:eastAsiaTheme="minorEastAsia" w:cstheme="minorEastAsia"/>
                <w:b/>
                <w:bCs/>
                <w:sz w:val="20"/>
                <w:szCs w:val="20"/>
                <w:highlight w:val="none"/>
                <w:u w:val="single"/>
                <w:lang w:val="zh-CN"/>
              </w:rPr>
            </w:pPr>
            <w:r>
              <w:rPr>
                <w:rFonts w:hint="eastAsia" w:asciiTheme="minorEastAsia" w:hAnsiTheme="minorEastAsia" w:eastAsiaTheme="minorEastAsia" w:cstheme="minorEastAsia"/>
                <w:b/>
                <w:bCs/>
                <w:sz w:val="20"/>
                <w:szCs w:val="20"/>
                <w:highlight w:val="none"/>
                <w:u w:val="single"/>
              </w:rPr>
              <w:t>餐费价格</w:t>
            </w:r>
          </w:p>
          <w:p>
            <w:pPr>
              <w:autoSpaceDE w:val="0"/>
              <w:autoSpaceDN w:val="0"/>
              <w:adjustRightInd w:val="0"/>
              <w:snapToGrid w:val="0"/>
              <w:jc w:val="center"/>
              <w:rPr>
                <w:rFonts w:hint="eastAsia" w:asciiTheme="minorEastAsia" w:hAnsiTheme="minorEastAsia" w:eastAsiaTheme="minorEastAsia" w:cstheme="minorEastAsia"/>
                <w:b/>
                <w:bCs/>
                <w:sz w:val="20"/>
                <w:szCs w:val="20"/>
                <w:highlight w:val="none"/>
                <w:u w:val="single"/>
                <w:lang w:val="zh-CN"/>
              </w:rPr>
            </w:pPr>
            <w:r>
              <w:rPr>
                <w:rFonts w:hint="eastAsia" w:asciiTheme="minorEastAsia" w:hAnsiTheme="minorEastAsia" w:eastAsiaTheme="minorEastAsia" w:cstheme="minorEastAsia"/>
                <w:sz w:val="18"/>
                <w:szCs w:val="18"/>
                <w:highlight w:val="none"/>
                <w:u w:val="single"/>
                <w:lang w:val="zh-CN"/>
              </w:rPr>
              <w:t>（元/人</w:t>
            </w:r>
            <w:r>
              <w:rPr>
                <w:rFonts w:hint="eastAsia" w:asciiTheme="minorEastAsia" w:hAnsiTheme="minorEastAsia" w:eastAsiaTheme="minorEastAsia" w:cstheme="minorEastAsia"/>
                <w:sz w:val="18"/>
                <w:szCs w:val="18"/>
                <w:highlight w:val="none"/>
                <w:u w:val="single"/>
              </w:rPr>
              <w:t>/餐</w:t>
            </w:r>
            <w:r>
              <w:rPr>
                <w:rFonts w:hint="eastAsia" w:asciiTheme="minorEastAsia" w:hAnsiTheme="minorEastAsia" w:eastAsiaTheme="minorEastAsia" w:cstheme="minorEastAsia"/>
                <w:sz w:val="18"/>
                <w:szCs w:val="18"/>
                <w:highlight w:val="none"/>
                <w:u w:val="single"/>
                <w:lang w:val="zh-CN"/>
              </w:rPr>
              <w:t>）</w:t>
            </w:r>
          </w:p>
        </w:tc>
        <w:tc>
          <w:tcPr>
            <w:tcW w:w="1830" w:type="dxa"/>
            <w:tcBorders>
              <w:top w:val="single" w:color="auto" w:sz="6" w:space="0"/>
              <w:left w:val="single" w:color="auto" w:sz="6" w:space="0"/>
              <w:bottom w:val="single" w:color="auto" w:sz="6" w:space="0"/>
              <w:right w:val="single" w:color="auto" w:sz="4" w:space="0"/>
            </w:tcBorders>
            <w:vAlign w:val="center"/>
          </w:tcPr>
          <w:p>
            <w:pPr>
              <w:widowControl/>
              <w:adjustRightInd w:val="0"/>
              <w:snapToGrid w:val="0"/>
              <w:jc w:val="center"/>
              <w:rPr>
                <w:rFonts w:hint="eastAsia" w:asciiTheme="minorEastAsia" w:hAnsiTheme="minorEastAsia" w:eastAsiaTheme="minorEastAsia" w:cstheme="minorEastAsia"/>
                <w:b/>
                <w:bCs/>
                <w:sz w:val="20"/>
                <w:szCs w:val="20"/>
                <w:highlight w:val="none"/>
                <w:u w:val="single"/>
                <w:lang w:val="zh-CN"/>
              </w:rPr>
            </w:pPr>
            <w:r>
              <w:rPr>
                <w:rFonts w:hint="eastAsia" w:asciiTheme="minorEastAsia" w:hAnsiTheme="minorEastAsia" w:eastAsiaTheme="minorEastAsia" w:cstheme="minorEastAsia"/>
                <w:b/>
                <w:bCs/>
                <w:sz w:val="20"/>
                <w:szCs w:val="20"/>
                <w:highlight w:val="none"/>
                <w:u w:val="single"/>
                <w:lang w:val="zh-CN"/>
              </w:rPr>
              <w:t>供餐时间</w:t>
            </w:r>
          </w:p>
        </w:tc>
        <w:tc>
          <w:tcPr>
            <w:tcW w:w="3593" w:type="dxa"/>
            <w:tcBorders>
              <w:top w:val="single" w:color="auto" w:sz="6" w:space="0"/>
              <w:left w:val="single" w:color="auto" w:sz="4" w:space="0"/>
              <w:bottom w:val="single" w:color="auto" w:sz="6" w:space="0"/>
              <w:right w:val="single" w:color="auto" w:sz="6" w:space="0"/>
            </w:tcBorders>
            <w:vAlign w:val="center"/>
          </w:tcPr>
          <w:p>
            <w:pPr>
              <w:widowControl/>
              <w:adjustRightInd w:val="0"/>
              <w:snapToGrid w:val="0"/>
              <w:jc w:val="center"/>
              <w:rPr>
                <w:rFonts w:hint="eastAsia" w:asciiTheme="minorEastAsia" w:hAnsiTheme="minorEastAsia" w:eastAsiaTheme="minorEastAsia" w:cstheme="minorEastAsia"/>
                <w:b/>
                <w:bCs/>
                <w:sz w:val="20"/>
                <w:szCs w:val="20"/>
                <w:highlight w:val="none"/>
                <w:u w:val="single"/>
                <w:lang w:val="zh-CN"/>
              </w:rPr>
            </w:pPr>
            <w:r>
              <w:rPr>
                <w:rFonts w:hint="eastAsia" w:asciiTheme="minorEastAsia" w:hAnsiTheme="minorEastAsia" w:eastAsiaTheme="minorEastAsia" w:cstheme="minorEastAsia"/>
                <w:b/>
                <w:bCs/>
                <w:sz w:val="20"/>
                <w:szCs w:val="20"/>
                <w:highlight w:val="none"/>
                <w:u w:val="single"/>
                <w:lang w:val="zh-CN"/>
              </w:rPr>
              <w:t>备注</w:t>
            </w:r>
          </w:p>
        </w:tc>
      </w:tr>
      <w:tr>
        <w:tblPrEx>
          <w:tblCellMar>
            <w:top w:w="0" w:type="dxa"/>
            <w:left w:w="108" w:type="dxa"/>
            <w:bottom w:w="0" w:type="dxa"/>
            <w:right w:w="108" w:type="dxa"/>
          </w:tblCellMar>
        </w:tblPrEx>
        <w:trPr>
          <w:trHeight w:val="545" w:hRule="atLeast"/>
          <w:jc w:val="center"/>
        </w:trPr>
        <w:tc>
          <w:tcPr>
            <w:tcW w:w="216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jc w:val="center"/>
              <w:rPr>
                <w:rFonts w:hint="eastAsia" w:asciiTheme="minorEastAsia" w:hAnsiTheme="minorEastAsia" w:eastAsiaTheme="minorEastAsia" w:cstheme="minorEastAsia"/>
                <w:sz w:val="20"/>
                <w:szCs w:val="20"/>
                <w:highlight w:val="none"/>
                <w:u w:val="single"/>
              </w:rPr>
            </w:pPr>
            <w:r>
              <w:rPr>
                <w:rFonts w:hint="eastAsia" w:asciiTheme="minorEastAsia" w:hAnsiTheme="minorEastAsia" w:eastAsiaTheme="minorEastAsia" w:cstheme="minorEastAsia"/>
                <w:sz w:val="20"/>
                <w:szCs w:val="20"/>
                <w:highlight w:val="none"/>
                <w:u w:val="single"/>
              </w:rPr>
              <w:t>早   餐</w:t>
            </w:r>
          </w:p>
        </w:tc>
        <w:tc>
          <w:tcPr>
            <w:tcW w:w="2415" w:type="dxa"/>
            <w:tcBorders>
              <w:top w:val="single" w:color="auto" w:sz="6" w:space="0"/>
              <w:left w:val="single" w:color="auto" w:sz="4" w:space="0"/>
              <w:bottom w:val="single" w:color="auto" w:sz="6" w:space="0"/>
              <w:right w:val="single" w:color="auto" w:sz="6" w:space="0"/>
            </w:tcBorders>
            <w:vAlign w:val="center"/>
          </w:tcPr>
          <w:p>
            <w:pPr>
              <w:autoSpaceDE w:val="0"/>
              <w:autoSpaceDN w:val="0"/>
              <w:adjustRightInd w:val="0"/>
              <w:snapToGrid w:val="0"/>
              <w:jc w:val="center"/>
              <w:rPr>
                <w:rFonts w:hint="eastAsia" w:asciiTheme="minorEastAsia" w:hAnsiTheme="minorEastAsia" w:eastAsiaTheme="minorEastAsia" w:cstheme="minorEastAsia"/>
                <w:sz w:val="20"/>
                <w:szCs w:val="20"/>
                <w:highlight w:val="none"/>
                <w:u w:val="single"/>
                <w:lang w:val="zh-CN"/>
              </w:rPr>
            </w:pPr>
            <w:r>
              <w:rPr>
                <w:rFonts w:hint="eastAsia" w:asciiTheme="minorEastAsia" w:hAnsiTheme="minorEastAsia" w:eastAsiaTheme="minorEastAsia" w:cstheme="minorEastAsia"/>
                <w:sz w:val="20"/>
                <w:szCs w:val="20"/>
                <w:highlight w:val="none"/>
                <w:u w:val="single"/>
                <w:lang w:val="zh-CN"/>
              </w:rPr>
              <w:t>XX</w:t>
            </w:r>
          </w:p>
        </w:tc>
        <w:tc>
          <w:tcPr>
            <w:tcW w:w="1830" w:type="dxa"/>
            <w:tcBorders>
              <w:top w:val="single" w:color="auto" w:sz="6" w:space="0"/>
              <w:left w:val="single" w:color="auto" w:sz="6" w:space="0"/>
              <w:bottom w:val="single" w:color="auto" w:sz="6" w:space="0"/>
              <w:right w:val="single" w:color="auto" w:sz="4" w:space="0"/>
            </w:tcBorders>
            <w:vAlign w:val="center"/>
          </w:tcPr>
          <w:p>
            <w:pPr>
              <w:widowControl/>
              <w:adjustRightInd w:val="0"/>
              <w:snapToGrid w:val="0"/>
              <w:jc w:val="center"/>
              <w:rPr>
                <w:rFonts w:hint="eastAsia" w:asciiTheme="minorEastAsia" w:hAnsiTheme="minorEastAsia" w:eastAsiaTheme="minorEastAsia" w:cstheme="minorEastAsia"/>
                <w:kern w:val="0"/>
                <w:sz w:val="20"/>
                <w:szCs w:val="20"/>
                <w:highlight w:val="none"/>
                <w:u w:val="single"/>
              </w:rPr>
            </w:pPr>
            <w:r>
              <w:rPr>
                <w:rFonts w:hint="eastAsia" w:asciiTheme="minorEastAsia" w:hAnsiTheme="minorEastAsia" w:eastAsiaTheme="minorEastAsia" w:cstheme="minorEastAsia"/>
                <w:kern w:val="0"/>
                <w:sz w:val="20"/>
                <w:szCs w:val="20"/>
                <w:highlight w:val="none"/>
                <w:u w:val="single"/>
              </w:rPr>
              <w:t>05:30-10:30</w:t>
            </w:r>
          </w:p>
        </w:tc>
        <w:tc>
          <w:tcPr>
            <w:tcW w:w="3593" w:type="dxa"/>
            <w:tcBorders>
              <w:top w:val="single" w:color="auto" w:sz="6" w:space="0"/>
              <w:left w:val="single" w:color="auto" w:sz="4" w:space="0"/>
              <w:bottom w:val="single" w:color="auto" w:sz="6" w:space="0"/>
              <w:right w:val="single" w:color="auto" w:sz="6" w:space="0"/>
            </w:tcBorders>
            <w:vAlign w:val="center"/>
          </w:tcPr>
          <w:p>
            <w:pPr>
              <w:widowControl/>
              <w:adjustRightInd w:val="0"/>
              <w:snapToGrid w:val="0"/>
              <w:jc w:val="center"/>
              <w:rPr>
                <w:rFonts w:hint="eastAsia" w:asciiTheme="minorEastAsia" w:hAnsiTheme="minorEastAsia" w:eastAsiaTheme="minorEastAsia" w:cstheme="minorEastAsia"/>
                <w:sz w:val="20"/>
                <w:szCs w:val="20"/>
                <w:highlight w:val="none"/>
                <w:u w:val="single"/>
              </w:rPr>
            </w:pPr>
            <w:r>
              <w:rPr>
                <w:rFonts w:hint="eastAsia" w:asciiTheme="minorEastAsia" w:hAnsiTheme="minorEastAsia" w:eastAsiaTheme="minorEastAsia" w:cstheme="minorEastAsia"/>
                <w:sz w:val="20"/>
                <w:szCs w:val="20"/>
                <w:highlight w:val="none"/>
                <w:u w:val="single"/>
              </w:rPr>
              <w:t>XXXXXXX</w:t>
            </w:r>
          </w:p>
        </w:tc>
      </w:tr>
      <w:tr>
        <w:tblPrEx>
          <w:tblCellMar>
            <w:top w:w="0" w:type="dxa"/>
            <w:left w:w="108" w:type="dxa"/>
            <w:bottom w:w="0" w:type="dxa"/>
            <w:right w:w="108" w:type="dxa"/>
          </w:tblCellMar>
        </w:tblPrEx>
        <w:trPr>
          <w:trHeight w:val="320" w:hRule="atLeast"/>
          <w:jc w:val="center"/>
        </w:trPr>
        <w:tc>
          <w:tcPr>
            <w:tcW w:w="10001" w:type="dxa"/>
            <w:gridSpan w:val="4"/>
            <w:tcBorders>
              <w:top w:val="single" w:color="auto" w:sz="6" w:space="0"/>
              <w:left w:val="single" w:color="auto" w:sz="6" w:space="0"/>
              <w:bottom w:val="single" w:color="auto" w:sz="6" w:space="0"/>
              <w:right w:val="single" w:color="auto" w:sz="6" w:space="0"/>
            </w:tcBorders>
            <w:vAlign w:val="center"/>
          </w:tcPr>
          <w:p>
            <w:pPr>
              <w:widowControl/>
              <w:adjustRightInd w:val="0"/>
              <w:snapToGrid w:val="0"/>
              <w:jc w:val="center"/>
              <w:rPr>
                <w:rFonts w:hint="eastAsia" w:asciiTheme="minorEastAsia" w:hAnsiTheme="minorEastAsia" w:eastAsiaTheme="minorEastAsia" w:cstheme="minorEastAsia"/>
                <w:sz w:val="20"/>
                <w:szCs w:val="20"/>
                <w:highlight w:val="none"/>
                <w:u w:val="single"/>
                <w:lang w:val="zh-CN"/>
              </w:rPr>
            </w:pPr>
          </w:p>
        </w:tc>
      </w:tr>
      <w:tr>
        <w:tblPrEx>
          <w:tblCellMar>
            <w:top w:w="0" w:type="dxa"/>
            <w:left w:w="108" w:type="dxa"/>
            <w:bottom w:w="0" w:type="dxa"/>
            <w:right w:w="108" w:type="dxa"/>
          </w:tblCellMar>
        </w:tblPrEx>
        <w:trPr>
          <w:trHeight w:val="560" w:hRule="atLeast"/>
          <w:jc w:val="center"/>
        </w:trPr>
        <w:tc>
          <w:tcPr>
            <w:tcW w:w="216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jc w:val="center"/>
              <w:rPr>
                <w:rFonts w:hint="eastAsia" w:asciiTheme="minorEastAsia" w:hAnsiTheme="minorEastAsia" w:eastAsiaTheme="minorEastAsia" w:cstheme="minorEastAsia"/>
                <w:sz w:val="20"/>
                <w:szCs w:val="20"/>
                <w:highlight w:val="none"/>
                <w:u w:val="single"/>
                <w:lang w:val="zh-CN"/>
              </w:rPr>
            </w:pPr>
            <w:r>
              <w:rPr>
                <w:rFonts w:hint="eastAsia" w:asciiTheme="minorEastAsia" w:hAnsiTheme="minorEastAsia" w:eastAsiaTheme="minorEastAsia" w:cstheme="minorEastAsia"/>
                <w:b/>
                <w:bCs/>
                <w:sz w:val="20"/>
                <w:szCs w:val="20"/>
                <w:highlight w:val="none"/>
                <w:u w:val="single"/>
              </w:rPr>
              <w:t>地面交通</w:t>
            </w:r>
            <w:r>
              <w:rPr>
                <w:rFonts w:hint="eastAsia" w:asciiTheme="minorEastAsia" w:hAnsiTheme="minorEastAsia" w:eastAsiaTheme="minorEastAsia" w:cstheme="minorEastAsia"/>
                <w:b/>
                <w:bCs/>
                <w:color w:val="0000FF"/>
                <w:sz w:val="20"/>
                <w:szCs w:val="20"/>
                <w:highlight w:val="none"/>
                <w:u w:val="single"/>
                <w:lang w:eastAsia="zh-CN"/>
              </w:rPr>
              <w:t>（如不需要车辆服务，请删除此行）</w:t>
            </w:r>
            <w:r>
              <w:rPr>
                <w:rFonts w:hint="eastAsia" w:asciiTheme="minorEastAsia" w:hAnsiTheme="minorEastAsia" w:eastAsiaTheme="minorEastAsia" w:cstheme="minorEastAsia"/>
                <w:b/>
                <w:bCs/>
                <w:sz w:val="20"/>
                <w:szCs w:val="20"/>
                <w:highlight w:val="none"/>
                <w:u w:val="single"/>
              </w:rPr>
              <w:t xml:space="preserve">  </w:t>
            </w:r>
          </w:p>
        </w:tc>
        <w:tc>
          <w:tcPr>
            <w:tcW w:w="2415" w:type="dxa"/>
            <w:tcBorders>
              <w:top w:val="single" w:color="auto" w:sz="6" w:space="0"/>
              <w:left w:val="single" w:color="auto" w:sz="4" w:space="0"/>
              <w:bottom w:val="single" w:color="auto" w:sz="6" w:space="0"/>
              <w:right w:val="single" w:color="auto" w:sz="6" w:space="0"/>
            </w:tcBorders>
            <w:vAlign w:val="center"/>
          </w:tcPr>
          <w:p>
            <w:pPr>
              <w:autoSpaceDE w:val="0"/>
              <w:autoSpaceDN w:val="0"/>
              <w:adjustRightInd w:val="0"/>
              <w:snapToGrid w:val="0"/>
              <w:jc w:val="center"/>
              <w:rPr>
                <w:rFonts w:hint="eastAsia" w:asciiTheme="minorEastAsia" w:hAnsiTheme="minorEastAsia" w:eastAsiaTheme="minorEastAsia" w:cstheme="minorEastAsia"/>
                <w:sz w:val="20"/>
                <w:szCs w:val="20"/>
                <w:highlight w:val="none"/>
                <w:u w:val="single"/>
                <w:lang w:val="zh-CN"/>
              </w:rPr>
            </w:pPr>
            <w:r>
              <w:rPr>
                <w:rFonts w:hint="eastAsia" w:asciiTheme="minorEastAsia" w:hAnsiTheme="minorEastAsia" w:eastAsiaTheme="minorEastAsia" w:cstheme="minorEastAsia"/>
                <w:sz w:val="20"/>
                <w:szCs w:val="20"/>
                <w:highlight w:val="none"/>
                <w:u w:val="single"/>
                <w:lang w:val="zh-CN"/>
              </w:rPr>
              <w:t>XX</w:t>
            </w:r>
            <w:r>
              <w:rPr>
                <w:rFonts w:hint="eastAsia" w:asciiTheme="minorEastAsia" w:hAnsiTheme="minorEastAsia" w:eastAsiaTheme="minorEastAsia" w:cstheme="minorEastAsia"/>
                <w:sz w:val="20"/>
                <w:szCs w:val="20"/>
                <w:highlight w:val="none"/>
                <w:u w:val="single"/>
              </w:rPr>
              <w:t xml:space="preserve">元 </w:t>
            </w:r>
            <w:r>
              <w:rPr>
                <w:rFonts w:hint="eastAsia" w:asciiTheme="minorEastAsia" w:hAnsiTheme="minorEastAsia" w:eastAsiaTheme="minorEastAsia" w:cstheme="minorEastAsia"/>
                <w:sz w:val="20"/>
                <w:szCs w:val="20"/>
                <w:highlight w:val="none"/>
                <w:u w:val="single"/>
                <w:lang w:val="zh-CN"/>
              </w:rPr>
              <w:t>/人</w:t>
            </w:r>
            <w:r>
              <w:rPr>
                <w:rFonts w:hint="eastAsia" w:asciiTheme="minorEastAsia" w:hAnsiTheme="minorEastAsia" w:eastAsiaTheme="minorEastAsia" w:cstheme="minorEastAsia"/>
                <w:sz w:val="20"/>
                <w:szCs w:val="20"/>
                <w:highlight w:val="none"/>
                <w:u w:val="single"/>
              </w:rPr>
              <w:t>/</w:t>
            </w:r>
            <w:r>
              <w:rPr>
                <w:rFonts w:hint="eastAsia" w:asciiTheme="minorEastAsia" w:hAnsiTheme="minorEastAsia" w:eastAsiaTheme="minorEastAsia" w:cstheme="minorEastAsia"/>
                <w:sz w:val="20"/>
                <w:szCs w:val="20"/>
                <w:highlight w:val="none"/>
                <w:u w:val="single"/>
                <w:lang w:val="zh-CN"/>
              </w:rPr>
              <w:t>往返程或房费含</w:t>
            </w:r>
          </w:p>
        </w:tc>
        <w:tc>
          <w:tcPr>
            <w:tcW w:w="5423" w:type="dxa"/>
            <w:gridSpan w:val="2"/>
            <w:tcBorders>
              <w:top w:val="single" w:color="auto" w:sz="6" w:space="0"/>
              <w:left w:val="single" w:color="auto" w:sz="6" w:space="0"/>
              <w:bottom w:val="single" w:color="auto" w:sz="6" w:space="0"/>
              <w:right w:val="single" w:color="auto" w:sz="6" w:space="0"/>
            </w:tcBorders>
            <w:vAlign w:val="center"/>
          </w:tcPr>
          <w:p>
            <w:pPr>
              <w:widowControl/>
              <w:adjustRightInd w:val="0"/>
              <w:snapToGrid w:val="0"/>
              <w:jc w:val="center"/>
              <w:rPr>
                <w:rFonts w:hint="eastAsia" w:asciiTheme="minorEastAsia" w:hAnsiTheme="minorEastAsia" w:eastAsiaTheme="minorEastAsia" w:cstheme="minorEastAsia"/>
                <w:sz w:val="20"/>
                <w:szCs w:val="20"/>
                <w:highlight w:val="none"/>
                <w:u w:val="single"/>
                <w:lang w:val="zh-CN"/>
              </w:rPr>
            </w:pPr>
            <w:r>
              <w:rPr>
                <w:rFonts w:hint="eastAsia" w:asciiTheme="minorEastAsia" w:hAnsiTheme="minorEastAsia" w:eastAsiaTheme="minorEastAsia" w:cstheme="minorEastAsia"/>
                <w:sz w:val="20"/>
                <w:szCs w:val="20"/>
                <w:highlight w:val="none"/>
                <w:u w:val="single"/>
                <w:lang w:val="zh-CN"/>
              </w:rPr>
              <w:t>接送车辆需购买车辆全险及车上人员责任险。</w:t>
            </w:r>
          </w:p>
        </w:tc>
      </w:tr>
    </w:tbl>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u w:val="single"/>
        </w:rPr>
      </w:pPr>
      <w:r>
        <w:rPr>
          <w:rFonts w:hint="eastAsia" w:asciiTheme="minorEastAsia" w:hAnsiTheme="minorEastAsia" w:eastAsiaTheme="minorEastAsia" w:cstheme="minorEastAsia"/>
          <w:sz w:val="20"/>
          <w:szCs w:val="20"/>
          <w:highlight w:val="none"/>
        </w:rPr>
        <w:t>2.2 航延旅客服务价格</w:t>
      </w:r>
    </w:p>
    <w:tbl>
      <w:tblPr>
        <w:tblStyle w:val="25"/>
        <w:tblW w:w="10001" w:type="dxa"/>
        <w:jc w:val="center"/>
        <w:tblLayout w:type="fixed"/>
        <w:tblCellMar>
          <w:top w:w="0" w:type="dxa"/>
          <w:left w:w="108" w:type="dxa"/>
          <w:bottom w:w="0" w:type="dxa"/>
          <w:right w:w="108" w:type="dxa"/>
        </w:tblCellMar>
      </w:tblPr>
      <w:tblGrid>
        <w:gridCol w:w="2163"/>
        <w:gridCol w:w="2415"/>
        <w:gridCol w:w="1830"/>
        <w:gridCol w:w="3593"/>
      </w:tblGrid>
      <w:tr>
        <w:tblPrEx>
          <w:tblCellMar>
            <w:top w:w="0" w:type="dxa"/>
            <w:left w:w="108" w:type="dxa"/>
            <w:bottom w:w="0" w:type="dxa"/>
            <w:right w:w="108" w:type="dxa"/>
          </w:tblCellMar>
        </w:tblPrEx>
        <w:trPr>
          <w:trHeight w:val="610" w:hRule="atLeast"/>
          <w:jc w:val="center"/>
        </w:trPr>
        <w:tc>
          <w:tcPr>
            <w:tcW w:w="2163" w:type="dxa"/>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napToGrid w:val="0"/>
              <w:jc w:val="center"/>
              <w:rPr>
                <w:rFonts w:hint="eastAsia" w:asciiTheme="minorEastAsia" w:hAnsiTheme="minorEastAsia" w:eastAsiaTheme="minorEastAsia" w:cstheme="minorEastAsia"/>
                <w:b/>
                <w:bCs/>
                <w:sz w:val="20"/>
                <w:szCs w:val="20"/>
                <w:highlight w:val="none"/>
                <w:u w:val="single"/>
                <w:lang w:val="zh-CN"/>
              </w:rPr>
            </w:pPr>
            <w:r>
              <w:rPr>
                <w:rFonts w:hint="eastAsia" w:asciiTheme="minorEastAsia" w:hAnsiTheme="minorEastAsia" w:eastAsiaTheme="minorEastAsia" w:cstheme="minorEastAsia"/>
                <w:b/>
                <w:bCs/>
                <w:sz w:val="20"/>
                <w:szCs w:val="20"/>
                <w:highlight w:val="none"/>
                <w:u w:val="single"/>
                <w:lang w:val="zh-CN"/>
              </w:rPr>
              <w:t>房间类型</w:t>
            </w:r>
          </w:p>
        </w:tc>
        <w:tc>
          <w:tcPr>
            <w:tcW w:w="2415" w:type="dxa"/>
            <w:tcBorders>
              <w:top w:val="single" w:color="auto" w:sz="6" w:space="0"/>
              <w:left w:val="single" w:color="auto" w:sz="4" w:space="0"/>
              <w:bottom w:val="single" w:color="auto" w:sz="4" w:space="0"/>
              <w:right w:val="single" w:color="auto" w:sz="6" w:space="0"/>
            </w:tcBorders>
            <w:vAlign w:val="center"/>
          </w:tcPr>
          <w:p>
            <w:pPr>
              <w:autoSpaceDE w:val="0"/>
              <w:autoSpaceDN w:val="0"/>
              <w:adjustRightInd w:val="0"/>
              <w:snapToGrid w:val="0"/>
              <w:jc w:val="center"/>
              <w:rPr>
                <w:rFonts w:hint="eastAsia" w:asciiTheme="minorEastAsia" w:hAnsiTheme="minorEastAsia" w:eastAsiaTheme="minorEastAsia" w:cstheme="minorEastAsia"/>
                <w:b/>
                <w:bCs/>
                <w:sz w:val="20"/>
                <w:szCs w:val="20"/>
                <w:highlight w:val="none"/>
                <w:u w:val="single"/>
                <w:lang w:val="zh-CN"/>
              </w:rPr>
            </w:pPr>
            <w:r>
              <w:rPr>
                <w:rFonts w:hint="eastAsia" w:asciiTheme="minorEastAsia" w:hAnsiTheme="minorEastAsia" w:eastAsiaTheme="minorEastAsia" w:cstheme="minorEastAsia"/>
                <w:b/>
                <w:bCs/>
                <w:sz w:val="20"/>
                <w:szCs w:val="20"/>
                <w:highlight w:val="none"/>
                <w:u w:val="single"/>
                <w:lang w:val="zh-CN"/>
              </w:rPr>
              <w:t>房费价格</w:t>
            </w:r>
          </w:p>
          <w:p>
            <w:pPr>
              <w:autoSpaceDE w:val="0"/>
              <w:autoSpaceDN w:val="0"/>
              <w:adjustRightInd w:val="0"/>
              <w:snapToGrid w:val="0"/>
              <w:jc w:val="center"/>
              <w:rPr>
                <w:rFonts w:hint="eastAsia" w:asciiTheme="minorEastAsia" w:hAnsiTheme="minorEastAsia" w:eastAsiaTheme="minorEastAsia" w:cstheme="minorEastAsia"/>
                <w:b/>
                <w:bCs/>
                <w:sz w:val="20"/>
                <w:szCs w:val="20"/>
                <w:highlight w:val="none"/>
                <w:u w:val="single"/>
                <w:lang w:val="zh-CN"/>
              </w:rPr>
            </w:pPr>
            <w:r>
              <w:rPr>
                <w:rFonts w:hint="eastAsia" w:asciiTheme="minorEastAsia" w:hAnsiTheme="minorEastAsia" w:eastAsiaTheme="minorEastAsia" w:cstheme="minorEastAsia"/>
                <w:sz w:val="18"/>
                <w:szCs w:val="18"/>
                <w:highlight w:val="none"/>
                <w:u w:val="single"/>
                <w:lang w:val="zh-CN"/>
              </w:rPr>
              <w:t>（</w:t>
            </w:r>
            <w:r>
              <w:rPr>
                <w:rFonts w:hint="eastAsia" w:asciiTheme="minorEastAsia" w:hAnsiTheme="minorEastAsia" w:eastAsiaTheme="minorEastAsia" w:cstheme="minorEastAsia"/>
                <w:sz w:val="18"/>
                <w:szCs w:val="18"/>
                <w:highlight w:val="none"/>
                <w:u w:val="single"/>
              </w:rPr>
              <w:t>元/间/天</w:t>
            </w:r>
            <w:r>
              <w:rPr>
                <w:rFonts w:hint="eastAsia" w:asciiTheme="minorEastAsia" w:hAnsiTheme="minorEastAsia" w:eastAsiaTheme="minorEastAsia" w:cstheme="minorEastAsia"/>
                <w:sz w:val="18"/>
                <w:szCs w:val="18"/>
                <w:highlight w:val="none"/>
                <w:u w:val="single"/>
                <w:lang w:val="zh-CN"/>
              </w:rPr>
              <w:t>）</w:t>
            </w:r>
          </w:p>
        </w:tc>
        <w:tc>
          <w:tcPr>
            <w:tcW w:w="5423"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jc w:val="center"/>
              <w:rPr>
                <w:rFonts w:hint="eastAsia" w:asciiTheme="minorEastAsia" w:hAnsiTheme="minorEastAsia" w:eastAsiaTheme="minorEastAsia" w:cstheme="minorEastAsia"/>
                <w:b/>
                <w:bCs/>
                <w:sz w:val="20"/>
                <w:szCs w:val="20"/>
                <w:highlight w:val="none"/>
                <w:u w:val="single"/>
                <w:lang w:val="zh-CN"/>
              </w:rPr>
            </w:pPr>
            <w:r>
              <w:rPr>
                <w:rFonts w:hint="eastAsia" w:asciiTheme="minorEastAsia" w:hAnsiTheme="minorEastAsia" w:eastAsiaTheme="minorEastAsia" w:cstheme="minorEastAsia"/>
                <w:b/>
                <w:bCs/>
                <w:sz w:val="20"/>
                <w:szCs w:val="20"/>
                <w:highlight w:val="none"/>
                <w:u w:val="single"/>
                <w:lang w:val="zh-CN"/>
              </w:rPr>
              <w:t>备注</w:t>
            </w:r>
          </w:p>
        </w:tc>
      </w:tr>
      <w:tr>
        <w:tblPrEx>
          <w:tblCellMar>
            <w:top w:w="0" w:type="dxa"/>
            <w:left w:w="108" w:type="dxa"/>
            <w:bottom w:w="0" w:type="dxa"/>
            <w:right w:w="108" w:type="dxa"/>
          </w:tblCellMar>
        </w:tblPrEx>
        <w:trPr>
          <w:trHeight w:val="508" w:hRule="atLeast"/>
          <w:jc w:val="center"/>
        </w:trPr>
        <w:tc>
          <w:tcPr>
            <w:tcW w:w="2163" w:type="dxa"/>
            <w:tcBorders>
              <w:top w:val="single" w:color="auto" w:sz="4" w:space="0"/>
              <w:left w:val="single" w:color="auto" w:sz="4" w:space="0"/>
              <w:bottom w:val="single" w:color="auto" w:sz="6" w:space="0"/>
              <w:right w:val="single" w:color="auto" w:sz="6" w:space="0"/>
            </w:tcBorders>
            <w:vAlign w:val="center"/>
          </w:tcPr>
          <w:p>
            <w:pPr>
              <w:autoSpaceDE w:val="0"/>
              <w:autoSpaceDN w:val="0"/>
              <w:adjustRightInd w:val="0"/>
              <w:snapToGrid w:val="0"/>
              <w:jc w:val="center"/>
              <w:rPr>
                <w:rFonts w:hint="eastAsia" w:asciiTheme="minorEastAsia" w:hAnsiTheme="minorEastAsia" w:eastAsiaTheme="minorEastAsia" w:cstheme="minorEastAsia"/>
                <w:sz w:val="20"/>
                <w:szCs w:val="20"/>
                <w:highlight w:val="none"/>
                <w:u w:val="single"/>
              </w:rPr>
            </w:pPr>
            <w:r>
              <w:rPr>
                <w:rFonts w:hint="eastAsia" w:asciiTheme="minorEastAsia" w:hAnsiTheme="minorEastAsia" w:eastAsiaTheme="minorEastAsia" w:cstheme="minorEastAsia"/>
                <w:sz w:val="20"/>
                <w:szCs w:val="20"/>
                <w:highlight w:val="none"/>
                <w:u w:val="single"/>
                <w:lang w:val="zh-CN"/>
              </w:rPr>
              <w:t>单人间</w:t>
            </w:r>
          </w:p>
        </w:tc>
        <w:tc>
          <w:tcPr>
            <w:tcW w:w="24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jc w:val="center"/>
              <w:rPr>
                <w:rFonts w:hint="eastAsia" w:asciiTheme="minorEastAsia" w:hAnsiTheme="minorEastAsia" w:eastAsiaTheme="minorEastAsia" w:cstheme="minorEastAsia"/>
                <w:sz w:val="20"/>
                <w:szCs w:val="20"/>
                <w:highlight w:val="none"/>
                <w:u w:val="single"/>
              </w:rPr>
            </w:pPr>
            <w:r>
              <w:rPr>
                <w:rFonts w:hint="eastAsia" w:asciiTheme="minorEastAsia" w:hAnsiTheme="minorEastAsia" w:eastAsiaTheme="minorEastAsia" w:cstheme="minorEastAsia"/>
                <w:sz w:val="20"/>
                <w:szCs w:val="20"/>
                <w:highlight w:val="none"/>
                <w:u w:val="single"/>
                <w:lang w:val="zh-CN"/>
              </w:rPr>
              <w:t>XX</w:t>
            </w:r>
            <w:r>
              <w:rPr>
                <w:rFonts w:hint="eastAsia" w:asciiTheme="minorEastAsia" w:hAnsiTheme="minorEastAsia" w:eastAsiaTheme="minorEastAsia" w:cstheme="minorEastAsia"/>
                <w:sz w:val="20"/>
                <w:szCs w:val="20"/>
                <w:highlight w:val="none"/>
                <w:u w:val="single"/>
              </w:rPr>
              <w:t>X</w:t>
            </w:r>
          </w:p>
        </w:tc>
        <w:tc>
          <w:tcPr>
            <w:tcW w:w="5423" w:type="dxa"/>
            <w:gridSpan w:val="2"/>
            <w:tcBorders>
              <w:top w:val="single" w:color="auto" w:sz="6" w:space="0"/>
              <w:left w:val="single" w:color="auto" w:sz="4" w:space="0"/>
              <w:bottom w:val="single" w:color="auto" w:sz="6" w:space="0"/>
              <w:right w:val="single" w:color="auto" w:sz="6" w:space="0"/>
            </w:tcBorders>
            <w:vAlign w:val="center"/>
          </w:tcPr>
          <w:p>
            <w:pPr>
              <w:wordWrap w:val="0"/>
              <w:topLinePunct/>
              <w:adjustRightInd w:val="0"/>
              <w:snapToGrid w:val="0"/>
              <w:jc w:val="center"/>
              <w:rPr>
                <w:rFonts w:hint="eastAsia" w:asciiTheme="minorEastAsia" w:hAnsiTheme="minorEastAsia" w:eastAsiaTheme="minorEastAsia" w:cstheme="minorEastAsia"/>
                <w:sz w:val="20"/>
                <w:szCs w:val="20"/>
                <w:highlight w:val="none"/>
                <w:u w:val="single"/>
              </w:rPr>
            </w:pPr>
            <w:r>
              <w:rPr>
                <w:rFonts w:hint="eastAsia" w:asciiTheme="minorEastAsia" w:hAnsiTheme="minorEastAsia" w:eastAsiaTheme="minorEastAsia" w:cstheme="minorEastAsia"/>
                <w:sz w:val="20"/>
                <w:szCs w:val="20"/>
                <w:highlight w:val="none"/>
                <w:u w:val="single"/>
                <w:lang w:val="zh-CN"/>
              </w:rPr>
              <w:t>半天房费按全天房费的</w:t>
            </w:r>
            <w:r>
              <w:rPr>
                <w:rFonts w:hint="eastAsia" w:asciiTheme="minorEastAsia" w:hAnsiTheme="minorEastAsia" w:eastAsiaTheme="minorEastAsia" w:cstheme="minorEastAsia"/>
                <w:sz w:val="20"/>
                <w:szCs w:val="20"/>
                <w:highlight w:val="none"/>
                <w:u w:val="single"/>
              </w:rPr>
              <w:t>50%</w:t>
            </w:r>
            <w:r>
              <w:rPr>
                <w:rFonts w:hint="eastAsia" w:asciiTheme="minorEastAsia" w:hAnsiTheme="minorEastAsia" w:eastAsiaTheme="minorEastAsia" w:cstheme="minorEastAsia"/>
                <w:sz w:val="20"/>
                <w:szCs w:val="20"/>
                <w:highlight w:val="none"/>
                <w:u w:val="single"/>
                <w:lang w:val="zh-CN"/>
              </w:rPr>
              <w:t>结算</w:t>
            </w:r>
          </w:p>
        </w:tc>
      </w:tr>
      <w:tr>
        <w:tblPrEx>
          <w:tblCellMar>
            <w:top w:w="0" w:type="dxa"/>
            <w:left w:w="108" w:type="dxa"/>
            <w:bottom w:w="0" w:type="dxa"/>
            <w:right w:w="108" w:type="dxa"/>
          </w:tblCellMar>
        </w:tblPrEx>
        <w:trPr>
          <w:trHeight w:val="539" w:hRule="atLeast"/>
          <w:jc w:val="center"/>
        </w:trPr>
        <w:tc>
          <w:tcPr>
            <w:tcW w:w="2163" w:type="dxa"/>
            <w:tcBorders>
              <w:top w:val="single" w:color="auto" w:sz="4" w:space="0"/>
              <w:left w:val="single" w:color="auto" w:sz="4" w:space="0"/>
              <w:bottom w:val="single" w:color="auto" w:sz="6" w:space="0"/>
              <w:right w:val="single" w:color="auto" w:sz="6" w:space="0"/>
            </w:tcBorders>
            <w:vAlign w:val="center"/>
          </w:tcPr>
          <w:p>
            <w:pPr>
              <w:autoSpaceDE w:val="0"/>
              <w:autoSpaceDN w:val="0"/>
              <w:adjustRightInd w:val="0"/>
              <w:snapToGrid w:val="0"/>
              <w:jc w:val="center"/>
              <w:rPr>
                <w:rFonts w:hint="eastAsia" w:asciiTheme="minorEastAsia" w:hAnsiTheme="minorEastAsia" w:eastAsiaTheme="minorEastAsia" w:cstheme="minorEastAsia"/>
                <w:sz w:val="20"/>
                <w:szCs w:val="20"/>
                <w:highlight w:val="none"/>
                <w:u w:val="single"/>
                <w:lang w:val="zh-CN"/>
              </w:rPr>
            </w:pPr>
            <w:r>
              <w:rPr>
                <w:rFonts w:hint="eastAsia" w:asciiTheme="minorEastAsia" w:hAnsiTheme="minorEastAsia" w:eastAsiaTheme="minorEastAsia" w:cstheme="minorEastAsia"/>
                <w:sz w:val="20"/>
                <w:szCs w:val="20"/>
                <w:highlight w:val="none"/>
                <w:u w:val="single"/>
                <w:lang w:val="zh-CN"/>
              </w:rPr>
              <w:t>双人间</w:t>
            </w:r>
          </w:p>
        </w:tc>
        <w:tc>
          <w:tcPr>
            <w:tcW w:w="241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jc w:val="center"/>
              <w:rPr>
                <w:rFonts w:hint="eastAsia" w:asciiTheme="minorEastAsia" w:hAnsiTheme="minorEastAsia" w:eastAsiaTheme="minorEastAsia" w:cstheme="minorEastAsia"/>
                <w:sz w:val="20"/>
                <w:szCs w:val="20"/>
                <w:highlight w:val="none"/>
                <w:u w:val="single"/>
                <w:lang w:val="zh-CN"/>
              </w:rPr>
            </w:pPr>
            <w:r>
              <w:rPr>
                <w:rFonts w:hint="eastAsia" w:asciiTheme="minorEastAsia" w:hAnsiTheme="minorEastAsia" w:eastAsiaTheme="minorEastAsia" w:cstheme="minorEastAsia"/>
                <w:sz w:val="20"/>
                <w:szCs w:val="20"/>
                <w:highlight w:val="none"/>
                <w:u w:val="single"/>
                <w:lang w:val="zh-CN"/>
              </w:rPr>
              <w:t>XX</w:t>
            </w:r>
            <w:r>
              <w:rPr>
                <w:rFonts w:hint="eastAsia" w:asciiTheme="minorEastAsia" w:hAnsiTheme="minorEastAsia" w:eastAsiaTheme="minorEastAsia" w:cstheme="minorEastAsia"/>
                <w:sz w:val="20"/>
                <w:szCs w:val="20"/>
                <w:highlight w:val="none"/>
                <w:u w:val="single"/>
              </w:rPr>
              <w:t>X</w:t>
            </w:r>
          </w:p>
        </w:tc>
        <w:tc>
          <w:tcPr>
            <w:tcW w:w="5423" w:type="dxa"/>
            <w:gridSpan w:val="2"/>
            <w:tcBorders>
              <w:top w:val="single" w:color="auto" w:sz="6" w:space="0"/>
              <w:left w:val="single" w:color="auto" w:sz="4" w:space="0"/>
              <w:bottom w:val="single" w:color="auto" w:sz="6" w:space="0"/>
              <w:right w:val="single" w:color="auto" w:sz="6" w:space="0"/>
            </w:tcBorders>
            <w:vAlign w:val="center"/>
          </w:tcPr>
          <w:p>
            <w:pPr>
              <w:wordWrap w:val="0"/>
              <w:topLinePunct/>
              <w:adjustRightInd w:val="0"/>
              <w:snapToGrid w:val="0"/>
              <w:jc w:val="center"/>
              <w:rPr>
                <w:rFonts w:hint="eastAsia" w:asciiTheme="minorEastAsia" w:hAnsiTheme="minorEastAsia" w:eastAsiaTheme="minorEastAsia" w:cstheme="minorEastAsia"/>
                <w:sz w:val="20"/>
                <w:szCs w:val="20"/>
                <w:highlight w:val="none"/>
                <w:u w:val="single"/>
                <w:lang w:val="zh-CN"/>
              </w:rPr>
            </w:pPr>
            <w:r>
              <w:rPr>
                <w:rFonts w:hint="eastAsia" w:asciiTheme="minorEastAsia" w:hAnsiTheme="minorEastAsia" w:eastAsiaTheme="minorEastAsia" w:cstheme="minorEastAsia"/>
                <w:sz w:val="20"/>
                <w:szCs w:val="20"/>
                <w:highlight w:val="none"/>
                <w:u w:val="single"/>
                <w:lang w:val="zh-CN"/>
              </w:rPr>
              <w:t>半天房费按全天房费的</w:t>
            </w:r>
            <w:r>
              <w:rPr>
                <w:rFonts w:hint="eastAsia" w:asciiTheme="minorEastAsia" w:hAnsiTheme="minorEastAsia" w:eastAsiaTheme="minorEastAsia" w:cstheme="minorEastAsia"/>
                <w:sz w:val="20"/>
                <w:szCs w:val="20"/>
                <w:highlight w:val="none"/>
                <w:u w:val="single"/>
              </w:rPr>
              <w:t>50%</w:t>
            </w:r>
            <w:r>
              <w:rPr>
                <w:rFonts w:hint="eastAsia" w:asciiTheme="minorEastAsia" w:hAnsiTheme="minorEastAsia" w:eastAsiaTheme="minorEastAsia" w:cstheme="minorEastAsia"/>
                <w:sz w:val="20"/>
                <w:szCs w:val="20"/>
                <w:highlight w:val="none"/>
                <w:u w:val="single"/>
                <w:lang w:val="zh-CN"/>
              </w:rPr>
              <w:t>结算</w:t>
            </w:r>
          </w:p>
        </w:tc>
      </w:tr>
      <w:tr>
        <w:tblPrEx>
          <w:tblCellMar>
            <w:top w:w="0" w:type="dxa"/>
            <w:left w:w="108" w:type="dxa"/>
            <w:bottom w:w="0" w:type="dxa"/>
            <w:right w:w="108" w:type="dxa"/>
          </w:tblCellMar>
        </w:tblPrEx>
        <w:trPr>
          <w:trHeight w:val="340" w:hRule="atLeast"/>
          <w:jc w:val="center"/>
        </w:trPr>
        <w:tc>
          <w:tcPr>
            <w:tcW w:w="10001" w:type="dxa"/>
            <w:gridSpan w:val="4"/>
            <w:tcBorders>
              <w:top w:val="single" w:color="auto" w:sz="4" w:space="0"/>
              <w:left w:val="single" w:color="auto" w:sz="4" w:space="0"/>
              <w:bottom w:val="single" w:color="auto" w:sz="6" w:space="0"/>
              <w:right w:val="single" w:color="auto" w:sz="6" w:space="0"/>
            </w:tcBorders>
            <w:vAlign w:val="center"/>
          </w:tcPr>
          <w:p>
            <w:pPr>
              <w:widowControl/>
              <w:adjustRightInd w:val="0"/>
              <w:snapToGrid w:val="0"/>
              <w:jc w:val="center"/>
              <w:rPr>
                <w:rFonts w:hint="eastAsia" w:asciiTheme="minorEastAsia" w:hAnsiTheme="minorEastAsia" w:eastAsiaTheme="minorEastAsia" w:cstheme="minorEastAsia"/>
                <w:sz w:val="20"/>
                <w:szCs w:val="20"/>
                <w:highlight w:val="none"/>
                <w:u w:val="single"/>
                <w:lang w:val="zh-CN"/>
              </w:rPr>
            </w:pPr>
          </w:p>
        </w:tc>
      </w:tr>
      <w:tr>
        <w:tblPrEx>
          <w:tblCellMar>
            <w:top w:w="0" w:type="dxa"/>
            <w:left w:w="108" w:type="dxa"/>
            <w:bottom w:w="0" w:type="dxa"/>
            <w:right w:w="108" w:type="dxa"/>
          </w:tblCellMar>
        </w:tblPrEx>
        <w:trPr>
          <w:trHeight w:val="625" w:hRule="atLeast"/>
          <w:jc w:val="center"/>
        </w:trPr>
        <w:tc>
          <w:tcPr>
            <w:tcW w:w="2163" w:type="dxa"/>
            <w:tcBorders>
              <w:top w:val="single" w:color="auto" w:sz="4" w:space="0"/>
              <w:left w:val="single" w:color="auto" w:sz="4" w:space="0"/>
              <w:bottom w:val="single" w:color="auto" w:sz="6" w:space="0"/>
              <w:right w:val="single" w:color="auto" w:sz="6" w:space="0"/>
            </w:tcBorders>
            <w:vAlign w:val="center"/>
          </w:tcPr>
          <w:p>
            <w:pPr>
              <w:autoSpaceDE w:val="0"/>
              <w:autoSpaceDN w:val="0"/>
              <w:adjustRightInd w:val="0"/>
              <w:snapToGrid w:val="0"/>
              <w:jc w:val="center"/>
              <w:rPr>
                <w:rFonts w:hint="eastAsia" w:asciiTheme="minorEastAsia" w:hAnsiTheme="minorEastAsia" w:eastAsiaTheme="minorEastAsia" w:cstheme="minorEastAsia"/>
                <w:b/>
                <w:bCs/>
                <w:sz w:val="20"/>
                <w:szCs w:val="20"/>
                <w:highlight w:val="none"/>
                <w:u w:val="single"/>
                <w:lang w:val="zh-CN"/>
              </w:rPr>
            </w:pPr>
            <w:r>
              <w:rPr>
                <w:rFonts w:hint="eastAsia" w:asciiTheme="minorEastAsia" w:hAnsiTheme="minorEastAsia" w:eastAsiaTheme="minorEastAsia" w:cstheme="minorEastAsia"/>
                <w:b/>
                <w:bCs/>
                <w:sz w:val="20"/>
                <w:szCs w:val="20"/>
                <w:highlight w:val="none"/>
                <w:u w:val="single"/>
                <w:lang w:val="zh-CN"/>
              </w:rPr>
              <w:t>餐食类型</w:t>
            </w:r>
          </w:p>
        </w:tc>
        <w:tc>
          <w:tcPr>
            <w:tcW w:w="2415" w:type="dxa"/>
            <w:tcBorders>
              <w:top w:val="single" w:color="auto" w:sz="4" w:space="0"/>
              <w:left w:val="single" w:color="auto" w:sz="4" w:space="0"/>
              <w:bottom w:val="single" w:color="auto" w:sz="6" w:space="0"/>
              <w:right w:val="single" w:color="auto" w:sz="6" w:space="0"/>
            </w:tcBorders>
            <w:vAlign w:val="center"/>
          </w:tcPr>
          <w:p>
            <w:pPr>
              <w:autoSpaceDE w:val="0"/>
              <w:autoSpaceDN w:val="0"/>
              <w:adjustRightInd w:val="0"/>
              <w:snapToGrid w:val="0"/>
              <w:jc w:val="center"/>
              <w:rPr>
                <w:rFonts w:hint="eastAsia" w:asciiTheme="minorEastAsia" w:hAnsiTheme="minorEastAsia" w:eastAsiaTheme="minorEastAsia" w:cstheme="minorEastAsia"/>
                <w:b/>
                <w:bCs/>
                <w:sz w:val="20"/>
                <w:szCs w:val="20"/>
                <w:highlight w:val="none"/>
                <w:u w:val="single"/>
                <w:lang w:val="zh-CN"/>
              </w:rPr>
            </w:pPr>
            <w:r>
              <w:rPr>
                <w:rFonts w:hint="eastAsia" w:asciiTheme="minorEastAsia" w:hAnsiTheme="minorEastAsia" w:eastAsiaTheme="minorEastAsia" w:cstheme="minorEastAsia"/>
                <w:b/>
                <w:bCs/>
                <w:sz w:val="20"/>
                <w:szCs w:val="20"/>
                <w:highlight w:val="none"/>
                <w:u w:val="single"/>
              </w:rPr>
              <w:t>餐费价格</w:t>
            </w:r>
          </w:p>
          <w:p>
            <w:pPr>
              <w:autoSpaceDE w:val="0"/>
              <w:autoSpaceDN w:val="0"/>
              <w:adjustRightInd w:val="0"/>
              <w:snapToGrid w:val="0"/>
              <w:jc w:val="center"/>
              <w:rPr>
                <w:rFonts w:hint="eastAsia" w:asciiTheme="minorEastAsia" w:hAnsiTheme="minorEastAsia" w:eastAsiaTheme="minorEastAsia" w:cstheme="minorEastAsia"/>
                <w:b/>
                <w:bCs/>
                <w:sz w:val="20"/>
                <w:szCs w:val="20"/>
                <w:highlight w:val="none"/>
                <w:u w:val="single"/>
                <w:lang w:val="zh-CN"/>
              </w:rPr>
            </w:pPr>
            <w:r>
              <w:rPr>
                <w:rFonts w:hint="eastAsia" w:asciiTheme="minorEastAsia" w:hAnsiTheme="minorEastAsia" w:eastAsiaTheme="minorEastAsia" w:cstheme="minorEastAsia"/>
                <w:sz w:val="18"/>
                <w:szCs w:val="18"/>
                <w:highlight w:val="none"/>
                <w:u w:val="single"/>
                <w:lang w:val="zh-CN"/>
              </w:rPr>
              <w:t>（元/人</w:t>
            </w:r>
            <w:r>
              <w:rPr>
                <w:rFonts w:hint="eastAsia" w:asciiTheme="minorEastAsia" w:hAnsiTheme="minorEastAsia" w:eastAsiaTheme="minorEastAsia" w:cstheme="minorEastAsia"/>
                <w:sz w:val="18"/>
                <w:szCs w:val="18"/>
                <w:highlight w:val="none"/>
                <w:u w:val="single"/>
              </w:rPr>
              <w:t>/餐</w:t>
            </w:r>
            <w:r>
              <w:rPr>
                <w:rFonts w:hint="eastAsia" w:asciiTheme="minorEastAsia" w:hAnsiTheme="minorEastAsia" w:eastAsiaTheme="minorEastAsia" w:cstheme="minorEastAsia"/>
                <w:sz w:val="18"/>
                <w:szCs w:val="18"/>
                <w:highlight w:val="none"/>
                <w:u w:val="single"/>
                <w:lang w:val="zh-CN"/>
              </w:rPr>
              <w:t>）</w:t>
            </w:r>
          </w:p>
        </w:tc>
        <w:tc>
          <w:tcPr>
            <w:tcW w:w="1830" w:type="dxa"/>
            <w:tcBorders>
              <w:top w:val="single" w:color="auto" w:sz="6" w:space="0"/>
              <w:left w:val="single" w:color="auto" w:sz="6" w:space="0"/>
              <w:bottom w:val="single" w:color="auto" w:sz="6" w:space="0"/>
              <w:right w:val="single" w:color="auto" w:sz="4" w:space="0"/>
            </w:tcBorders>
            <w:vAlign w:val="center"/>
          </w:tcPr>
          <w:p>
            <w:pPr>
              <w:widowControl/>
              <w:adjustRightInd w:val="0"/>
              <w:snapToGrid w:val="0"/>
              <w:jc w:val="center"/>
              <w:rPr>
                <w:rFonts w:hint="eastAsia" w:asciiTheme="minorEastAsia" w:hAnsiTheme="minorEastAsia" w:eastAsiaTheme="minorEastAsia" w:cstheme="minorEastAsia"/>
                <w:b/>
                <w:bCs/>
                <w:sz w:val="20"/>
                <w:szCs w:val="20"/>
                <w:highlight w:val="none"/>
                <w:u w:val="single"/>
                <w:lang w:val="zh-CN"/>
              </w:rPr>
            </w:pPr>
            <w:r>
              <w:rPr>
                <w:rFonts w:hint="eastAsia" w:asciiTheme="minorEastAsia" w:hAnsiTheme="minorEastAsia" w:eastAsiaTheme="minorEastAsia" w:cstheme="minorEastAsia"/>
                <w:b/>
                <w:bCs/>
                <w:sz w:val="20"/>
                <w:szCs w:val="20"/>
                <w:highlight w:val="none"/>
                <w:u w:val="single"/>
                <w:lang w:val="zh-CN"/>
              </w:rPr>
              <w:t>供餐时间</w:t>
            </w:r>
          </w:p>
        </w:tc>
        <w:tc>
          <w:tcPr>
            <w:tcW w:w="3593" w:type="dxa"/>
            <w:tcBorders>
              <w:top w:val="single" w:color="auto" w:sz="6" w:space="0"/>
              <w:left w:val="single" w:color="auto" w:sz="4" w:space="0"/>
              <w:bottom w:val="single" w:color="auto" w:sz="6" w:space="0"/>
              <w:right w:val="single" w:color="auto" w:sz="6" w:space="0"/>
            </w:tcBorders>
            <w:vAlign w:val="center"/>
          </w:tcPr>
          <w:p>
            <w:pPr>
              <w:widowControl/>
              <w:adjustRightInd w:val="0"/>
              <w:snapToGrid w:val="0"/>
              <w:jc w:val="center"/>
              <w:rPr>
                <w:rFonts w:hint="eastAsia" w:asciiTheme="minorEastAsia" w:hAnsiTheme="minorEastAsia" w:eastAsiaTheme="minorEastAsia" w:cstheme="minorEastAsia"/>
                <w:b/>
                <w:bCs/>
                <w:sz w:val="20"/>
                <w:szCs w:val="20"/>
                <w:highlight w:val="none"/>
                <w:u w:val="single"/>
                <w:lang w:val="zh-CN"/>
              </w:rPr>
            </w:pPr>
            <w:r>
              <w:rPr>
                <w:rFonts w:hint="eastAsia" w:asciiTheme="minorEastAsia" w:hAnsiTheme="minorEastAsia" w:eastAsiaTheme="minorEastAsia" w:cstheme="minorEastAsia"/>
                <w:b/>
                <w:bCs/>
                <w:sz w:val="20"/>
                <w:szCs w:val="20"/>
                <w:highlight w:val="none"/>
                <w:u w:val="single"/>
                <w:lang w:val="zh-CN"/>
              </w:rPr>
              <w:t>备注</w:t>
            </w:r>
          </w:p>
        </w:tc>
      </w:tr>
      <w:tr>
        <w:tblPrEx>
          <w:tblCellMar>
            <w:top w:w="0" w:type="dxa"/>
            <w:left w:w="108" w:type="dxa"/>
            <w:bottom w:w="0" w:type="dxa"/>
            <w:right w:w="108" w:type="dxa"/>
          </w:tblCellMar>
        </w:tblPrEx>
        <w:trPr>
          <w:trHeight w:val="545" w:hRule="atLeast"/>
          <w:jc w:val="center"/>
        </w:trPr>
        <w:tc>
          <w:tcPr>
            <w:tcW w:w="216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jc w:val="center"/>
              <w:rPr>
                <w:rFonts w:hint="eastAsia" w:asciiTheme="minorEastAsia" w:hAnsiTheme="minorEastAsia" w:eastAsiaTheme="minorEastAsia" w:cstheme="minorEastAsia"/>
                <w:sz w:val="20"/>
                <w:szCs w:val="20"/>
                <w:highlight w:val="none"/>
                <w:u w:val="single"/>
              </w:rPr>
            </w:pPr>
            <w:r>
              <w:rPr>
                <w:rFonts w:hint="eastAsia" w:asciiTheme="minorEastAsia" w:hAnsiTheme="minorEastAsia" w:eastAsiaTheme="minorEastAsia" w:cstheme="minorEastAsia"/>
                <w:sz w:val="20"/>
                <w:szCs w:val="20"/>
                <w:highlight w:val="none"/>
                <w:u w:val="single"/>
              </w:rPr>
              <w:t>早   餐</w:t>
            </w:r>
          </w:p>
        </w:tc>
        <w:tc>
          <w:tcPr>
            <w:tcW w:w="2415" w:type="dxa"/>
            <w:tcBorders>
              <w:top w:val="single" w:color="auto" w:sz="6" w:space="0"/>
              <w:left w:val="single" w:color="auto" w:sz="4" w:space="0"/>
              <w:bottom w:val="single" w:color="auto" w:sz="6" w:space="0"/>
              <w:right w:val="single" w:color="auto" w:sz="6" w:space="0"/>
            </w:tcBorders>
            <w:vAlign w:val="center"/>
          </w:tcPr>
          <w:p>
            <w:pPr>
              <w:autoSpaceDE w:val="0"/>
              <w:autoSpaceDN w:val="0"/>
              <w:adjustRightInd w:val="0"/>
              <w:snapToGrid w:val="0"/>
              <w:jc w:val="center"/>
              <w:rPr>
                <w:rFonts w:hint="eastAsia" w:asciiTheme="minorEastAsia" w:hAnsiTheme="minorEastAsia" w:eastAsiaTheme="minorEastAsia" w:cstheme="minorEastAsia"/>
                <w:sz w:val="20"/>
                <w:szCs w:val="20"/>
                <w:highlight w:val="none"/>
                <w:u w:val="single"/>
                <w:lang w:val="zh-CN"/>
              </w:rPr>
            </w:pPr>
            <w:r>
              <w:rPr>
                <w:rFonts w:hint="eastAsia" w:asciiTheme="minorEastAsia" w:hAnsiTheme="minorEastAsia" w:eastAsiaTheme="minorEastAsia" w:cstheme="minorEastAsia"/>
                <w:sz w:val="20"/>
                <w:szCs w:val="20"/>
                <w:highlight w:val="none"/>
                <w:u w:val="single"/>
                <w:lang w:val="zh-CN"/>
              </w:rPr>
              <w:t>XX</w:t>
            </w:r>
          </w:p>
        </w:tc>
        <w:tc>
          <w:tcPr>
            <w:tcW w:w="1830" w:type="dxa"/>
            <w:tcBorders>
              <w:top w:val="single" w:color="auto" w:sz="6" w:space="0"/>
              <w:left w:val="single" w:color="auto" w:sz="6" w:space="0"/>
              <w:bottom w:val="single" w:color="auto" w:sz="6" w:space="0"/>
              <w:right w:val="single" w:color="auto" w:sz="4" w:space="0"/>
            </w:tcBorders>
            <w:vAlign w:val="center"/>
          </w:tcPr>
          <w:p>
            <w:pPr>
              <w:widowControl/>
              <w:adjustRightInd w:val="0"/>
              <w:snapToGrid w:val="0"/>
              <w:jc w:val="center"/>
              <w:rPr>
                <w:rFonts w:hint="eastAsia" w:asciiTheme="minorEastAsia" w:hAnsiTheme="minorEastAsia" w:eastAsiaTheme="minorEastAsia" w:cstheme="minorEastAsia"/>
                <w:kern w:val="0"/>
                <w:sz w:val="20"/>
                <w:szCs w:val="20"/>
                <w:highlight w:val="none"/>
                <w:u w:val="single"/>
              </w:rPr>
            </w:pPr>
            <w:r>
              <w:rPr>
                <w:rFonts w:hint="eastAsia" w:asciiTheme="minorEastAsia" w:hAnsiTheme="minorEastAsia" w:eastAsiaTheme="minorEastAsia" w:cstheme="minorEastAsia"/>
                <w:kern w:val="0"/>
                <w:sz w:val="20"/>
                <w:szCs w:val="20"/>
                <w:highlight w:val="none"/>
                <w:u w:val="single"/>
              </w:rPr>
              <w:t>05:30-10:30</w:t>
            </w:r>
          </w:p>
        </w:tc>
        <w:tc>
          <w:tcPr>
            <w:tcW w:w="3593" w:type="dxa"/>
            <w:tcBorders>
              <w:top w:val="single" w:color="auto" w:sz="6" w:space="0"/>
              <w:left w:val="single" w:color="auto" w:sz="4" w:space="0"/>
              <w:bottom w:val="single" w:color="auto" w:sz="6" w:space="0"/>
              <w:right w:val="single" w:color="auto" w:sz="6" w:space="0"/>
            </w:tcBorders>
            <w:vAlign w:val="center"/>
          </w:tcPr>
          <w:p>
            <w:pPr>
              <w:widowControl/>
              <w:adjustRightInd w:val="0"/>
              <w:snapToGrid w:val="0"/>
              <w:jc w:val="center"/>
              <w:rPr>
                <w:rFonts w:hint="eastAsia" w:asciiTheme="minorEastAsia" w:hAnsiTheme="minorEastAsia" w:eastAsiaTheme="minorEastAsia" w:cstheme="minorEastAsia"/>
                <w:sz w:val="20"/>
                <w:szCs w:val="20"/>
                <w:highlight w:val="none"/>
                <w:u w:val="single"/>
              </w:rPr>
            </w:pPr>
            <w:r>
              <w:rPr>
                <w:rFonts w:hint="eastAsia" w:asciiTheme="minorEastAsia" w:hAnsiTheme="minorEastAsia" w:eastAsiaTheme="minorEastAsia" w:cstheme="minorEastAsia"/>
                <w:sz w:val="20"/>
                <w:szCs w:val="20"/>
                <w:highlight w:val="none"/>
                <w:u w:val="single"/>
              </w:rPr>
              <w:t>XXXXXXX</w:t>
            </w:r>
          </w:p>
        </w:tc>
      </w:tr>
      <w:tr>
        <w:tblPrEx>
          <w:tblCellMar>
            <w:top w:w="0" w:type="dxa"/>
            <w:left w:w="108" w:type="dxa"/>
            <w:bottom w:w="0" w:type="dxa"/>
            <w:right w:w="108" w:type="dxa"/>
          </w:tblCellMar>
        </w:tblPrEx>
        <w:trPr>
          <w:trHeight w:val="545" w:hRule="atLeast"/>
          <w:jc w:val="center"/>
        </w:trPr>
        <w:tc>
          <w:tcPr>
            <w:tcW w:w="2163" w:type="dxa"/>
            <w:tcBorders>
              <w:top w:val="single" w:color="auto" w:sz="6" w:space="0"/>
              <w:left w:val="single" w:color="auto" w:sz="6" w:space="0"/>
              <w:bottom w:val="single" w:color="auto" w:sz="6" w:space="0"/>
              <w:right w:val="single" w:color="auto" w:sz="6" w:space="0"/>
            </w:tcBorders>
            <w:vAlign w:val="center"/>
          </w:tcPr>
          <w:p>
            <w:pPr>
              <w:wordWrap w:val="0"/>
              <w:topLinePunct/>
              <w:adjustRightInd w:val="0"/>
              <w:snapToGrid w:val="0"/>
              <w:jc w:val="center"/>
              <w:rPr>
                <w:rFonts w:hint="eastAsia" w:asciiTheme="minorEastAsia" w:hAnsiTheme="minorEastAsia" w:eastAsiaTheme="minorEastAsia" w:cstheme="minorEastAsia"/>
                <w:sz w:val="20"/>
                <w:szCs w:val="20"/>
                <w:highlight w:val="none"/>
                <w:u w:val="single"/>
              </w:rPr>
            </w:pPr>
            <w:r>
              <w:rPr>
                <w:rFonts w:hint="eastAsia" w:asciiTheme="minorEastAsia" w:hAnsiTheme="minorEastAsia" w:eastAsiaTheme="minorEastAsia" w:cstheme="minorEastAsia"/>
                <w:sz w:val="20"/>
                <w:szCs w:val="20"/>
                <w:highlight w:val="none"/>
                <w:u w:val="single"/>
              </w:rPr>
              <w:t>午   餐</w:t>
            </w:r>
          </w:p>
        </w:tc>
        <w:tc>
          <w:tcPr>
            <w:tcW w:w="2415" w:type="dxa"/>
            <w:tcBorders>
              <w:top w:val="single" w:color="auto" w:sz="6" w:space="0"/>
              <w:left w:val="single" w:color="auto" w:sz="4" w:space="0"/>
              <w:bottom w:val="single" w:color="auto" w:sz="6" w:space="0"/>
              <w:right w:val="single" w:color="auto" w:sz="6" w:space="0"/>
            </w:tcBorders>
            <w:vAlign w:val="center"/>
          </w:tcPr>
          <w:p>
            <w:pPr>
              <w:wordWrap w:val="0"/>
              <w:topLinePunct/>
              <w:adjustRightInd w:val="0"/>
              <w:snapToGrid w:val="0"/>
              <w:jc w:val="center"/>
              <w:rPr>
                <w:rFonts w:hint="eastAsia" w:asciiTheme="minorEastAsia" w:hAnsiTheme="minorEastAsia" w:eastAsiaTheme="minorEastAsia" w:cstheme="minorEastAsia"/>
                <w:sz w:val="20"/>
                <w:szCs w:val="20"/>
                <w:highlight w:val="none"/>
                <w:u w:val="single"/>
                <w:lang w:val="zh-CN"/>
              </w:rPr>
            </w:pPr>
            <w:r>
              <w:rPr>
                <w:rFonts w:hint="eastAsia" w:asciiTheme="minorEastAsia" w:hAnsiTheme="minorEastAsia" w:eastAsiaTheme="minorEastAsia" w:cstheme="minorEastAsia"/>
                <w:sz w:val="20"/>
                <w:szCs w:val="20"/>
                <w:highlight w:val="none"/>
                <w:u w:val="single"/>
                <w:lang w:val="zh-CN"/>
              </w:rPr>
              <w:t>XX</w:t>
            </w:r>
          </w:p>
        </w:tc>
        <w:tc>
          <w:tcPr>
            <w:tcW w:w="1830" w:type="dxa"/>
            <w:tcBorders>
              <w:top w:val="single" w:color="auto" w:sz="6" w:space="0"/>
              <w:left w:val="single" w:color="auto" w:sz="6" w:space="0"/>
              <w:bottom w:val="single" w:color="auto" w:sz="6" w:space="0"/>
              <w:right w:val="single" w:color="auto" w:sz="4" w:space="0"/>
            </w:tcBorders>
            <w:vAlign w:val="center"/>
          </w:tcPr>
          <w:p>
            <w:pPr>
              <w:wordWrap w:val="0"/>
              <w:topLinePunct/>
              <w:adjustRightInd w:val="0"/>
              <w:snapToGrid w:val="0"/>
              <w:jc w:val="center"/>
              <w:rPr>
                <w:rFonts w:hint="eastAsia" w:asciiTheme="minorEastAsia" w:hAnsiTheme="minorEastAsia" w:eastAsiaTheme="minorEastAsia" w:cstheme="minorEastAsia"/>
                <w:kern w:val="0"/>
                <w:sz w:val="20"/>
                <w:szCs w:val="20"/>
                <w:highlight w:val="none"/>
                <w:u w:val="single"/>
              </w:rPr>
            </w:pPr>
            <w:r>
              <w:rPr>
                <w:rFonts w:hint="eastAsia" w:asciiTheme="minorEastAsia" w:hAnsiTheme="minorEastAsia" w:eastAsiaTheme="minorEastAsia" w:cstheme="minorEastAsia"/>
                <w:kern w:val="0"/>
                <w:sz w:val="20"/>
                <w:szCs w:val="20"/>
                <w:highlight w:val="none"/>
                <w:u w:val="single"/>
              </w:rPr>
              <w:t>11:30-14:30</w:t>
            </w:r>
          </w:p>
        </w:tc>
        <w:tc>
          <w:tcPr>
            <w:tcW w:w="3593" w:type="dxa"/>
            <w:tcBorders>
              <w:top w:val="single" w:color="auto" w:sz="6" w:space="0"/>
              <w:left w:val="single" w:color="auto" w:sz="4" w:space="0"/>
              <w:bottom w:val="single" w:color="auto" w:sz="6" w:space="0"/>
              <w:right w:val="single" w:color="auto" w:sz="6" w:space="0"/>
            </w:tcBorders>
            <w:vAlign w:val="center"/>
          </w:tcPr>
          <w:p>
            <w:pPr>
              <w:wordWrap w:val="0"/>
              <w:topLinePunct/>
              <w:adjustRightInd w:val="0"/>
              <w:snapToGrid w:val="0"/>
              <w:jc w:val="center"/>
              <w:rPr>
                <w:rFonts w:hint="eastAsia" w:asciiTheme="minorEastAsia" w:hAnsiTheme="minorEastAsia" w:eastAsiaTheme="minorEastAsia" w:cstheme="minorEastAsia"/>
                <w:sz w:val="20"/>
                <w:szCs w:val="20"/>
                <w:highlight w:val="none"/>
                <w:u w:val="single"/>
              </w:rPr>
            </w:pPr>
            <w:r>
              <w:rPr>
                <w:rFonts w:hint="eastAsia" w:asciiTheme="minorEastAsia" w:hAnsiTheme="minorEastAsia" w:eastAsiaTheme="minorEastAsia" w:cstheme="minorEastAsia"/>
                <w:sz w:val="20"/>
                <w:szCs w:val="20"/>
                <w:highlight w:val="none"/>
                <w:u w:val="single"/>
              </w:rPr>
              <w:t>XXXXXXX</w:t>
            </w:r>
          </w:p>
        </w:tc>
      </w:tr>
      <w:tr>
        <w:tblPrEx>
          <w:tblCellMar>
            <w:top w:w="0" w:type="dxa"/>
            <w:left w:w="108" w:type="dxa"/>
            <w:bottom w:w="0" w:type="dxa"/>
            <w:right w:w="108" w:type="dxa"/>
          </w:tblCellMar>
        </w:tblPrEx>
        <w:trPr>
          <w:trHeight w:val="545" w:hRule="atLeast"/>
          <w:jc w:val="center"/>
        </w:trPr>
        <w:tc>
          <w:tcPr>
            <w:tcW w:w="2163" w:type="dxa"/>
            <w:tcBorders>
              <w:top w:val="single" w:color="auto" w:sz="6" w:space="0"/>
              <w:left w:val="single" w:color="auto" w:sz="6" w:space="0"/>
              <w:bottom w:val="single" w:color="auto" w:sz="6" w:space="0"/>
              <w:right w:val="single" w:color="auto" w:sz="6" w:space="0"/>
            </w:tcBorders>
            <w:vAlign w:val="center"/>
          </w:tcPr>
          <w:p>
            <w:pPr>
              <w:wordWrap w:val="0"/>
              <w:topLinePunct/>
              <w:adjustRightInd w:val="0"/>
              <w:snapToGrid w:val="0"/>
              <w:jc w:val="center"/>
              <w:rPr>
                <w:rFonts w:hint="eastAsia" w:asciiTheme="minorEastAsia" w:hAnsiTheme="minorEastAsia" w:eastAsiaTheme="minorEastAsia" w:cstheme="minorEastAsia"/>
                <w:sz w:val="20"/>
                <w:szCs w:val="20"/>
                <w:highlight w:val="none"/>
                <w:u w:val="single"/>
              </w:rPr>
            </w:pPr>
            <w:r>
              <w:rPr>
                <w:rFonts w:hint="eastAsia" w:asciiTheme="minorEastAsia" w:hAnsiTheme="minorEastAsia" w:eastAsiaTheme="minorEastAsia" w:cstheme="minorEastAsia"/>
                <w:sz w:val="20"/>
                <w:szCs w:val="20"/>
                <w:highlight w:val="none"/>
                <w:u w:val="single"/>
              </w:rPr>
              <w:t>晚   餐</w:t>
            </w:r>
          </w:p>
        </w:tc>
        <w:tc>
          <w:tcPr>
            <w:tcW w:w="2415" w:type="dxa"/>
            <w:tcBorders>
              <w:top w:val="single" w:color="auto" w:sz="6" w:space="0"/>
              <w:left w:val="single" w:color="auto" w:sz="4" w:space="0"/>
              <w:bottom w:val="single" w:color="auto" w:sz="6" w:space="0"/>
              <w:right w:val="single" w:color="auto" w:sz="6" w:space="0"/>
            </w:tcBorders>
            <w:vAlign w:val="center"/>
          </w:tcPr>
          <w:p>
            <w:pPr>
              <w:wordWrap w:val="0"/>
              <w:topLinePunct/>
              <w:adjustRightInd w:val="0"/>
              <w:snapToGrid w:val="0"/>
              <w:jc w:val="center"/>
              <w:rPr>
                <w:rFonts w:hint="eastAsia" w:asciiTheme="minorEastAsia" w:hAnsiTheme="minorEastAsia" w:eastAsiaTheme="minorEastAsia" w:cstheme="minorEastAsia"/>
                <w:sz w:val="20"/>
                <w:szCs w:val="20"/>
                <w:highlight w:val="none"/>
                <w:u w:val="single"/>
                <w:lang w:val="zh-CN"/>
              </w:rPr>
            </w:pPr>
            <w:r>
              <w:rPr>
                <w:rFonts w:hint="eastAsia" w:asciiTheme="minorEastAsia" w:hAnsiTheme="minorEastAsia" w:eastAsiaTheme="minorEastAsia" w:cstheme="minorEastAsia"/>
                <w:sz w:val="20"/>
                <w:szCs w:val="20"/>
                <w:highlight w:val="none"/>
                <w:u w:val="single"/>
                <w:lang w:val="zh-CN"/>
              </w:rPr>
              <w:t>XX</w:t>
            </w:r>
          </w:p>
        </w:tc>
        <w:tc>
          <w:tcPr>
            <w:tcW w:w="1830" w:type="dxa"/>
            <w:tcBorders>
              <w:top w:val="single" w:color="auto" w:sz="6" w:space="0"/>
              <w:left w:val="single" w:color="auto" w:sz="6" w:space="0"/>
              <w:bottom w:val="single" w:color="auto" w:sz="6" w:space="0"/>
              <w:right w:val="single" w:color="auto" w:sz="4" w:space="0"/>
            </w:tcBorders>
            <w:vAlign w:val="center"/>
          </w:tcPr>
          <w:p>
            <w:pPr>
              <w:wordWrap w:val="0"/>
              <w:topLinePunct/>
              <w:adjustRightInd w:val="0"/>
              <w:snapToGrid w:val="0"/>
              <w:jc w:val="center"/>
              <w:rPr>
                <w:rFonts w:hint="eastAsia" w:asciiTheme="minorEastAsia" w:hAnsiTheme="minorEastAsia" w:eastAsiaTheme="minorEastAsia" w:cstheme="minorEastAsia"/>
                <w:kern w:val="0"/>
                <w:sz w:val="20"/>
                <w:szCs w:val="20"/>
                <w:highlight w:val="none"/>
                <w:u w:val="single"/>
              </w:rPr>
            </w:pPr>
            <w:r>
              <w:rPr>
                <w:rFonts w:hint="eastAsia" w:asciiTheme="minorEastAsia" w:hAnsiTheme="minorEastAsia" w:eastAsiaTheme="minorEastAsia" w:cstheme="minorEastAsia"/>
                <w:kern w:val="0"/>
                <w:sz w:val="20"/>
                <w:szCs w:val="20"/>
                <w:highlight w:val="none"/>
                <w:u w:val="single"/>
              </w:rPr>
              <w:t>17:30-21:00</w:t>
            </w:r>
          </w:p>
        </w:tc>
        <w:tc>
          <w:tcPr>
            <w:tcW w:w="3593" w:type="dxa"/>
            <w:tcBorders>
              <w:top w:val="single" w:color="auto" w:sz="6" w:space="0"/>
              <w:left w:val="single" w:color="auto" w:sz="4" w:space="0"/>
              <w:bottom w:val="single" w:color="auto" w:sz="6" w:space="0"/>
              <w:right w:val="single" w:color="auto" w:sz="6" w:space="0"/>
            </w:tcBorders>
            <w:vAlign w:val="center"/>
          </w:tcPr>
          <w:p>
            <w:pPr>
              <w:wordWrap w:val="0"/>
              <w:topLinePunct/>
              <w:adjustRightInd w:val="0"/>
              <w:snapToGrid w:val="0"/>
              <w:jc w:val="center"/>
              <w:rPr>
                <w:rFonts w:hint="eastAsia" w:asciiTheme="minorEastAsia" w:hAnsiTheme="minorEastAsia" w:eastAsiaTheme="minorEastAsia" w:cstheme="minorEastAsia"/>
                <w:sz w:val="20"/>
                <w:szCs w:val="20"/>
                <w:highlight w:val="none"/>
                <w:u w:val="single"/>
              </w:rPr>
            </w:pPr>
            <w:r>
              <w:rPr>
                <w:rFonts w:hint="eastAsia" w:asciiTheme="minorEastAsia" w:hAnsiTheme="minorEastAsia" w:eastAsiaTheme="minorEastAsia" w:cstheme="minorEastAsia"/>
                <w:sz w:val="20"/>
                <w:szCs w:val="20"/>
                <w:highlight w:val="none"/>
                <w:u w:val="single"/>
              </w:rPr>
              <w:t>XXXXXXX</w:t>
            </w:r>
          </w:p>
        </w:tc>
      </w:tr>
      <w:tr>
        <w:tblPrEx>
          <w:tblCellMar>
            <w:top w:w="0" w:type="dxa"/>
            <w:left w:w="108" w:type="dxa"/>
            <w:bottom w:w="0" w:type="dxa"/>
            <w:right w:w="108" w:type="dxa"/>
          </w:tblCellMar>
        </w:tblPrEx>
        <w:trPr>
          <w:trHeight w:val="545" w:hRule="atLeast"/>
          <w:jc w:val="center"/>
        </w:trPr>
        <w:tc>
          <w:tcPr>
            <w:tcW w:w="2163" w:type="dxa"/>
            <w:tcBorders>
              <w:top w:val="single" w:color="auto" w:sz="6" w:space="0"/>
              <w:left w:val="single" w:color="auto" w:sz="6" w:space="0"/>
              <w:bottom w:val="single" w:color="auto" w:sz="6" w:space="0"/>
              <w:right w:val="single" w:color="auto" w:sz="6" w:space="0"/>
            </w:tcBorders>
            <w:vAlign w:val="center"/>
          </w:tcPr>
          <w:p>
            <w:pPr>
              <w:wordWrap w:val="0"/>
              <w:topLinePunct/>
              <w:adjustRightInd w:val="0"/>
              <w:snapToGrid w:val="0"/>
              <w:jc w:val="center"/>
              <w:rPr>
                <w:rFonts w:hint="eastAsia" w:asciiTheme="minorEastAsia" w:hAnsiTheme="minorEastAsia" w:eastAsiaTheme="minorEastAsia" w:cstheme="minorEastAsia"/>
                <w:sz w:val="20"/>
                <w:szCs w:val="20"/>
                <w:highlight w:val="none"/>
                <w:u w:val="single"/>
              </w:rPr>
            </w:pPr>
            <w:r>
              <w:rPr>
                <w:rFonts w:hint="eastAsia" w:asciiTheme="minorEastAsia" w:hAnsiTheme="minorEastAsia" w:eastAsiaTheme="minorEastAsia" w:cstheme="minorEastAsia"/>
                <w:sz w:val="20"/>
                <w:szCs w:val="20"/>
                <w:highlight w:val="none"/>
                <w:u w:val="single"/>
              </w:rPr>
              <w:t>宵   夜</w:t>
            </w:r>
          </w:p>
        </w:tc>
        <w:tc>
          <w:tcPr>
            <w:tcW w:w="2415" w:type="dxa"/>
            <w:tcBorders>
              <w:top w:val="single" w:color="auto" w:sz="6" w:space="0"/>
              <w:left w:val="single" w:color="auto" w:sz="4" w:space="0"/>
              <w:bottom w:val="single" w:color="auto" w:sz="6" w:space="0"/>
              <w:right w:val="single" w:color="auto" w:sz="6" w:space="0"/>
            </w:tcBorders>
            <w:vAlign w:val="center"/>
          </w:tcPr>
          <w:p>
            <w:pPr>
              <w:wordWrap w:val="0"/>
              <w:topLinePunct/>
              <w:adjustRightInd w:val="0"/>
              <w:snapToGrid w:val="0"/>
              <w:jc w:val="center"/>
              <w:rPr>
                <w:rFonts w:hint="eastAsia" w:asciiTheme="minorEastAsia" w:hAnsiTheme="minorEastAsia" w:eastAsiaTheme="minorEastAsia" w:cstheme="minorEastAsia"/>
                <w:sz w:val="20"/>
                <w:szCs w:val="20"/>
                <w:highlight w:val="none"/>
                <w:u w:val="single"/>
                <w:lang w:val="zh-CN"/>
              </w:rPr>
            </w:pPr>
            <w:r>
              <w:rPr>
                <w:rFonts w:hint="eastAsia" w:asciiTheme="minorEastAsia" w:hAnsiTheme="minorEastAsia" w:eastAsiaTheme="minorEastAsia" w:cstheme="minorEastAsia"/>
                <w:sz w:val="20"/>
                <w:szCs w:val="20"/>
                <w:highlight w:val="none"/>
                <w:u w:val="single"/>
                <w:lang w:val="zh-CN"/>
              </w:rPr>
              <w:t>XX</w:t>
            </w:r>
          </w:p>
        </w:tc>
        <w:tc>
          <w:tcPr>
            <w:tcW w:w="1830" w:type="dxa"/>
            <w:tcBorders>
              <w:top w:val="single" w:color="auto" w:sz="6" w:space="0"/>
              <w:left w:val="single" w:color="auto" w:sz="6" w:space="0"/>
              <w:bottom w:val="single" w:color="auto" w:sz="6" w:space="0"/>
              <w:right w:val="single" w:color="auto" w:sz="4" w:space="0"/>
            </w:tcBorders>
            <w:vAlign w:val="center"/>
          </w:tcPr>
          <w:p>
            <w:pPr>
              <w:wordWrap w:val="0"/>
              <w:topLinePunct/>
              <w:adjustRightInd w:val="0"/>
              <w:snapToGrid w:val="0"/>
              <w:jc w:val="center"/>
              <w:rPr>
                <w:rFonts w:hint="eastAsia" w:asciiTheme="minorEastAsia" w:hAnsiTheme="minorEastAsia" w:eastAsiaTheme="minorEastAsia" w:cstheme="minorEastAsia"/>
                <w:kern w:val="0"/>
                <w:sz w:val="20"/>
                <w:szCs w:val="20"/>
                <w:highlight w:val="none"/>
                <w:u w:val="single"/>
              </w:rPr>
            </w:pPr>
            <w:r>
              <w:rPr>
                <w:rFonts w:hint="eastAsia" w:asciiTheme="minorEastAsia" w:hAnsiTheme="minorEastAsia" w:eastAsiaTheme="minorEastAsia" w:cstheme="minorEastAsia"/>
                <w:kern w:val="0"/>
                <w:sz w:val="20"/>
                <w:szCs w:val="20"/>
                <w:highlight w:val="none"/>
                <w:u w:val="single"/>
              </w:rPr>
              <w:t>21:00之后</w:t>
            </w:r>
          </w:p>
        </w:tc>
        <w:tc>
          <w:tcPr>
            <w:tcW w:w="3593" w:type="dxa"/>
            <w:tcBorders>
              <w:top w:val="single" w:color="auto" w:sz="6" w:space="0"/>
              <w:left w:val="single" w:color="auto" w:sz="4" w:space="0"/>
              <w:bottom w:val="single" w:color="auto" w:sz="6" w:space="0"/>
              <w:right w:val="single" w:color="auto" w:sz="6" w:space="0"/>
            </w:tcBorders>
            <w:vAlign w:val="center"/>
          </w:tcPr>
          <w:p>
            <w:pPr>
              <w:wordWrap w:val="0"/>
              <w:topLinePunct/>
              <w:adjustRightInd w:val="0"/>
              <w:snapToGrid w:val="0"/>
              <w:jc w:val="center"/>
              <w:rPr>
                <w:rFonts w:hint="eastAsia" w:asciiTheme="minorEastAsia" w:hAnsiTheme="minorEastAsia" w:eastAsiaTheme="minorEastAsia" w:cstheme="minorEastAsia"/>
                <w:sz w:val="20"/>
                <w:szCs w:val="20"/>
                <w:highlight w:val="none"/>
                <w:u w:val="single"/>
              </w:rPr>
            </w:pPr>
            <w:r>
              <w:rPr>
                <w:rFonts w:hint="eastAsia" w:asciiTheme="minorEastAsia" w:hAnsiTheme="minorEastAsia" w:eastAsiaTheme="minorEastAsia" w:cstheme="minorEastAsia"/>
                <w:sz w:val="20"/>
                <w:szCs w:val="20"/>
                <w:highlight w:val="none"/>
                <w:u w:val="single"/>
              </w:rPr>
              <w:t>如使用了晚餐则不再享受宵夜服务</w:t>
            </w:r>
          </w:p>
        </w:tc>
      </w:tr>
      <w:tr>
        <w:tblPrEx>
          <w:tblCellMar>
            <w:top w:w="0" w:type="dxa"/>
            <w:left w:w="108" w:type="dxa"/>
            <w:bottom w:w="0" w:type="dxa"/>
            <w:right w:w="108" w:type="dxa"/>
          </w:tblCellMar>
        </w:tblPrEx>
        <w:trPr>
          <w:trHeight w:val="320" w:hRule="atLeast"/>
          <w:jc w:val="center"/>
        </w:trPr>
        <w:tc>
          <w:tcPr>
            <w:tcW w:w="10001" w:type="dxa"/>
            <w:gridSpan w:val="4"/>
            <w:tcBorders>
              <w:top w:val="single" w:color="auto" w:sz="6" w:space="0"/>
              <w:left w:val="single" w:color="auto" w:sz="6" w:space="0"/>
              <w:bottom w:val="single" w:color="auto" w:sz="6" w:space="0"/>
              <w:right w:val="single" w:color="auto" w:sz="6" w:space="0"/>
            </w:tcBorders>
            <w:vAlign w:val="center"/>
          </w:tcPr>
          <w:p>
            <w:pPr>
              <w:widowControl/>
              <w:adjustRightInd w:val="0"/>
              <w:snapToGrid w:val="0"/>
              <w:jc w:val="center"/>
              <w:rPr>
                <w:rFonts w:hint="eastAsia" w:asciiTheme="minorEastAsia" w:hAnsiTheme="minorEastAsia" w:eastAsiaTheme="minorEastAsia" w:cstheme="minorEastAsia"/>
                <w:sz w:val="20"/>
                <w:szCs w:val="20"/>
                <w:highlight w:val="none"/>
                <w:u w:val="single"/>
                <w:lang w:val="zh-CN"/>
              </w:rPr>
            </w:pPr>
          </w:p>
        </w:tc>
      </w:tr>
      <w:tr>
        <w:tblPrEx>
          <w:tblCellMar>
            <w:top w:w="0" w:type="dxa"/>
            <w:left w:w="108" w:type="dxa"/>
            <w:bottom w:w="0" w:type="dxa"/>
            <w:right w:w="108" w:type="dxa"/>
          </w:tblCellMar>
        </w:tblPrEx>
        <w:trPr>
          <w:trHeight w:val="560" w:hRule="atLeast"/>
          <w:jc w:val="center"/>
        </w:trPr>
        <w:tc>
          <w:tcPr>
            <w:tcW w:w="216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jc w:val="center"/>
              <w:rPr>
                <w:rFonts w:hint="eastAsia" w:asciiTheme="minorEastAsia" w:hAnsiTheme="minorEastAsia" w:eastAsiaTheme="minorEastAsia" w:cstheme="minorEastAsia"/>
                <w:sz w:val="20"/>
                <w:szCs w:val="20"/>
                <w:highlight w:val="none"/>
                <w:u w:val="single"/>
                <w:lang w:val="zh-CN"/>
              </w:rPr>
            </w:pPr>
            <w:r>
              <w:rPr>
                <w:rFonts w:hint="eastAsia" w:asciiTheme="minorEastAsia" w:hAnsiTheme="minorEastAsia" w:eastAsiaTheme="minorEastAsia" w:cstheme="minorEastAsia"/>
                <w:b/>
                <w:bCs/>
                <w:sz w:val="20"/>
                <w:szCs w:val="20"/>
                <w:highlight w:val="none"/>
                <w:u w:val="single"/>
              </w:rPr>
              <w:t>地面交通</w:t>
            </w:r>
            <w:r>
              <w:rPr>
                <w:rFonts w:hint="eastAsia" w:asciiTheme="minorEastAsia" w:hAnsiTheme="minorEastAsia" w:eastAsiaTheme="minorEastAsia" w:cstheme="minorEastAsia"/>
                <w:b/>
                <w:bCs/>
                <w:color w:val="0000FF"/>
                <w:sz w:val="20"/>
                <w:szCs w:val="20"/>
                <w:highlight w:val="none"/>
                <w:u w:val="single"/>
                <w:lang w:eastAsia="zh-CN"/>
              </w:rPr>
              <w:t>（如不需要车辆服务，请删除此行）</w:t>
            </w:r>
            <w:r>
              <w:rPr>
                <w:rFonts w:hint="eastAsia" w:asciiTheme="minorEastAsia" w:hAnsiTheme="minorEastAsia" w:eastAsiaTheme="minorEastAsia" w:cstheme="minorEastAsia"/>
                <w:b/>
                <w:bCs/>
                <w:sz w:val="20"/>
                <w:szCs w:val="20"/>
                <w:highlight w:val="none"/>
                <w:u w:val="single"/>
              </w:rPr>
              <w:t xml:space="preserve">  </w:t>
            </w:r>
          </w:p>
        </w:tc>
        <w:tc>
          <w:tcPr>
            <w:tcW w:w="2415" w:type="dxa"/>
            <w:tcBorders>
              <w:top w:val="single" w:color="auto" w:sz="6" w:space="0"/>
              <w:left w:val="single" w:color="auto" w:sz="4" w:space="0"/>
              <w:bottom w:val="single" w:color="auto" w:sz="6" w:space="0"/>
              <w:right w:val="single" w:color="auto" w:sz="6" w:space="0"/>
            </w:tcBorders>
            <w:vAlign w:val="center"/>
          </w:tcPr>
          <w:p>
            <w:pPr>
              <w:autoSpaceDE w:val="0"/>
              <w:autoSpaceDN w:val="0"/>
              <w:adjustRightInd w:val="0"/>
              <w:snapToGrid w:val="0"/>
              <w:jc w:val="center"/>
              <w:rPr>
                <w:rFonts w:hint="eastAsia" w:asciiTheme="minorEastAsia" w:hAnsiTheme="minorEastAsia" w:eastAsiaTheme="minorEastAsia" w:cstheme="minorEastAsia"/>
                <w:sz w:val="20"/>
                <w:szCs w:val="20"/>
                <w:highlight w:val="none"/>
                <w:u w:val="single"/>
                <w:lang w:val="zh-CN"/>
              </w:rPr>
            </w:pPr>
            <w:r>
              <w:rPr>
                <w:rFonts w:hint="eastAsia" w:asciiTheme="minorEastAsia" w:hAnsiTheme="minorEastAsia" w:eastAsiaTheme="minorEastAsia" w:cstheme="minorEastAsia"/>
                <w:sz w:val="20"/>
                <w:szCs w:val="20"/>
                <w:highlight w:val="none"/>
                <w:u w:val="single"/>
                <w:lang w:val="zh-CN"/>
              </w:rPr>
              <w:t>XX</w:t>
            </w:r>
            <w:r>
              <w:rPr>
                <w:rFonts w:hint="eastAsia" w:asciiTheme="minorEastAsia" w:hAnsiTheme="minorEastAsia" w:eastAsiaTheme="minorEastAsia" w:cstheme="minorEastAsia"/>
                <w:sz w:val="20"/>
                <w:szCs w:val="20"/>
                <w:highlight w:val="none"/>
                <w:u w:val="single"/>
              </w:rPr>
              <w:t xml:space="preserve">元 </w:t>
            </w:r>
            <w:r>
              <w:rPr>
                <w:rFonts w:hint="eastAsia" w:asciiTheme="minorEastAsia" w:hAnsiTheme="minorEastAsia" w:eastAsiaTheme="minorEastAsia" w:cstheme="minorEastAsia"/>
                <w:sz w:val="20"/>
                <w:szCs w:val="20"/>
                <w:highlight w:val="none"/>
                <w:u w:val="single"/>
                <w:lang w:val="zh-CN"/>
              </w:rPr>
              <w:t>/人</w:t>
            </w:r>
            <w:r>
              <w:rPr>
                <w:rFonts w:hint="eastAsia" w:asciiTheme="minorEastAsia" w:hAnsiTheme="minorEastAsia" w:eastAsiaTheme="minorEastAsia" w:cstheme="minorEastAsia"/>
                <w:sz w:val="20"/>
                <w:szCs w:val="20"/>
                <w:highlight w:val="none"/>
                <w:u w:val="single"/>
              </w:rPr>
              <w:t>/</w:t>
            </w:r>
            <w:r>
              <w:rPr>
                <w:rFonts w:hint="eastAsia" w:asciiTheme="minorEastAsia" w:hAnsiTheme="minorEastAsia" w:eastAsiaTheme="minorEastAsia" w:cstheme="minorEastAsia"/>
                <w:sz w:val="20"/>
                <w:szCs w:val="20"/>
                <w:highlight w:val="none"/>
                <w:u w:val="single"/>
                <w:lang w:val="zh-CN"/>
              </w:rPr>
              <w:t>往返程或房费含</w:t>
            </w:r>
          </w:p>
        </w:tc>
        <w:tc>
          <w:tcPr>
            <w:tcW w:w="5423" w:type="dxa"/>
            <w:gridSpan w:val="2"/>
            <w:tcBorders>
              <w:top w:val="single" w:color="auto" w:sz="6" w:space="0"/>
              <w:left w:val="single" w:color="auto" w:sz="6" w:space="0"/>
              <w:bottom w:val="single" w:color="auto" w:sz="6" w:space="0"/>
              <w:right w:val="single" w:color="auto" w:sz="6" w:space="0"/>
            </w:tcBorders>
            <w:vAlign w:val="center"/>
          </w:tcPr>
          <w:p>
            <w:pPr>
              <w:widowControl/>
              <w:adjustRightInd w:val="0"/>
              <w:snapToGrid w:val="0"/>
              <w:jc w:val="center"/>
              <w:rPr>
                <w:rFonts w:hint="eastAsia" w:asciiTheme="minorEastAsia" w:hAnsiTheme="minorEastAsia" w:eastAsiaTheme="minorEastAsia" w:cstheme="minorEastAsia"/>
                <w:sz w:val="20"/>
                <w:szCs w:val="20"/>
                <w:highlight w:val="none"/>
                <w:u w:val="single"/>
                <w:lang w:val="zh-CN"/>
              </w:rPr>
            </w:pPr>
            <w:r>
              <w:rPr>
                <w:rFonts w:hint="eastAsia" w:asciiTheme="minorEastAsia" w:hAnsiTheme="minorEastAsia" w:eastAsiaTheme="minorEastAsia" w:cstheme="minorEastAsia"/>
                <w:sz w:val="20"/>
                <w:szCs w:val="20"/>
                <w:highlight w:val="none"/>
                <w:u w:val="single"/>
                <w:lang w:val="zh-CN"/>
              </w:rPr>
              <w:t>接送车辆需购买车辆全险及车上人员责任险。</w:t>
            </w:r>
          </w:p>
        </w:tc>
      </w:tr>
    </w:tbl>
    <w:p>
      <w:pPr>
        <w:autoSpaceDE w:val="0"/>
        <w:autoSpaceDN w:val="0"/>
        <w:adjustRightInd w:val="0"/>
        <w:snapToGrid w:val="0"/>
        <w:spacing w:line="440" w:lineRule="exact"/>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lang w:val="zh-CN"/>
        </w:rPr>
        <w:t>备注：</w:t>
      </w:r>
    </w:p>
    <w:p>
      <w:pPr>
        <w:ind w:firstLine="400" w:firstLineChars="200"/>
        <w:rPr>
          <w:rFonts w:hint="eastAsia" w:ascii="宋体" w:hAnsi="宋体" w:cs="宋体"/>
          <w:color w:val="000000"/>
          <w:sz w:val="20"/>
          <w:szCs w:val="20"/>
          <w:highlight w:val="none"/>
        </w:rPr>
      </w:pPr>
      <w:r>
        <w:rPr>
          <w:rFonts w:hint="eastAsia" w:asciiTheme="minorEastAsia" w:hAnsiTheme="minorEastAsia" w:eastAsiaTheme="minorEastAsia" w:cstheme="minorEastAsia"/>
          <w:sz w:val="20"/>
          <w:szCs w:val="20"/>
          <w:highlight w:val="none"/>
        </w:rPr>
        <w:t xml:space="preserve">1 </w:t>
      </w:r>
      <w:r>
        <w:rPr>
          <w:rFonts w:hint="eastAsia" w:ascii="宋体" w:hAnsi="宋体" w:cs="宋体"/>
          <w:color w:val="000000"/>
          <w:sz w:val="20"/>
          <w:szCs w:val="20"/>
          <w:highlight w:val="none"/>
        </w:rPr>
        <w:t>本合同</w:t>
      </w:r>
      <w:r>
        <w:rPr>
          <w:rFonts w:hint="eastAsia" w:ascii="宋体" w:hAnsi="宋体" w:cs="宋体"/>
          <w:color w:val="000000"/>
          <w:sz w:val="20"/>
          <w:szCs w:val="20"/>
          <w:highlight w:val="none"/>
          <w:u w:val="single"/>
        </w:rPr>
        <w:t xml:space="preserve">    </w:t>
      </w:r>
      <w:r>
        <w:rPr>
          <w:rFonts w:hint="eastAsia" w:ascii="宋体" w:hAnsi="宋体" w:cs="宋体"/>
          <w:color w:val="C00000"/>
          <w:sz w:val="20"/>
          <w:szCs w:val="20"/>
          <w:highlight w:val="none"/>
          <w:u w:val="single"/>
        </w:rPr>
        <w:t>单价</w:t>
      </w:r>
      <w:r>
        <w:rPr>
          <w:rFonts w:hint="eastAsia" w:ascii="宋体" w:hAnsi="宋体" w:cs="宋体"/>
          <w:color w:val="000000"/>
          <w:sz w:val="20"/>
          <w:szCs w:val="20"/>
          <w:highlight w:val="none"/>
          <w:u w:val="single"/>
        </w:rPr>
        <w:t xml:space="preserve">    </w:t>
      </w:r>
      <w:r>
        <w:rPr>
          <w:rFonts w:hint="eastAsia" w:ascii="宋体" w:hAnsi="宋体" w:cs="宋体"/>
          <w:color w:val="000000"/>
          <w:sz w:val="20"/>
          <w:szCs w:val="20"/>
          <w:highlight w:val="none"/>
        </w:rPr>
        <w:t>为</w:t>
      </w:r>
      <w:r>
        <w:rPr>
          <w:rFonts w:hint="eastAsia" w:ascii="宋体" w:hAnsi="宋体" w:cs="宋体"/>
          <w:color w:val="000000"/>
          <w:sz w:val="20"/>
          <w:szCs w:val="20"/>
          <w:highlight w:val="none"/>
          <w:u w:val="single"/>
        </w:rPr>
        <w:t xml:space="preserve">   含税   </w:t>
      </w:r>
      <w:r>
        <w:rPr>
          <w:rFonts w:hint="eastAsia" w:ascii="宋体" w:hAnsi="宋体" w:cs="宋体"/>
          <w:color w:val="000000"/>
          <w:sz w:val="20"/>
          <w:szCs w:val="20"/>
          <w:highlight w:val="none"/>
        </w:rPr>
        <w:t>价（</w:t>
      </w:r>
      <w:r>
        <w:rPr>
          <w:rFonts w:hint="eastAsia" w:ascii="宋体" w:hAnsi="宋体" w:cs="宋体"/>
          <w:color w:val="000000"/>
          <w:sz w:val="20"/>
          <w:szCs w:val="20"/>
          <w:highlight w:val="none"/>
          <w:u w:val="single"/>
        </w:rPr>
        <w:t>房费、餐费增值税税率   %；车费增值税税率   %</w:t>
      </w:r>
      <w:r>
        <w:rPr>
          <w:rFonts w:hint="eastAsia" w:ascii="宋体" w:hAnsi="宋体" w:cs="宋体"/>
          <w:color w:val="000000"/>
          <w:sz w:val="20"/>
          <w:szCs w:val="20"/>
          <w:highlight w:val="none"/>
        </w:rPr>
        <w:t>），计价货币及单位为：</w:t>
      </w:r>
      <w:r>
        <w:rPr>
          <w:rFonts w:hint="eastAsia" w:ascii="宋体" w:hAnsi="宋体" w:cs="宋体"/>
          <w:color w:val="000000"/>
          <w:sz w:val="20"/>
          <w:szCs w:val="20"/>
          <w:highlight w:val="none"/>
          <w:u w:val="single"/>
        </w:rPr>
        <w:t xml:space="preserve">  人民币/元  </w:t>
      </w:r>
      <w:r>
        <w:rPr>
          <w:rFonts w:hint="eastAsia" w:ascii="宋体" w:hAnsi="宋体" w:cs="宋体"/>
          <w:color w:val="000000"/>
          <w:sz w:val="20"/>
          <w:szCs w:val="20"/>
          <w:highlight w:val="none"/>
        </w:rPr>
        <w:t>。</w:t>
      </w:r>
    </w:p>
    <w:p>
      <w:pPr>
        <w:ind w:firstLine="400" w:firstLineChars="200"/>
        <w:rPr>
          <w:rFonts w:hint="eastAsia" w:ascii="宋体" w:hAnsi="宋体" w:cs="宋体"/>
          <w:sz w:val="20"/>
          <w:szCs w:val="20"/>
          <w:highlight w:val="none"/>
        </w:rPr>
      </w:pPr>
      <w:r>
        <w:rPr>
          <w:rFonts w:hint="eastAsia" w:ascii="宋体" w:hAnsi="宋体" w:cs="宋体"/>
          <w:sz w:val="20"/>
          <w:szCs w:val="20"/>
          <w:highlight w:val="none"/>
        </w:rPr>
        <w:t>❶因国家税务政策变化导致增值税率发生变化时，按新的增值税率执行，协议价=协议签订时的不含税价*(1+新税率)，协议签订时的不含税价＝(协议约定的含税价+价外费用)/(1+协议签订时适用的税率)。</w:t>
      </w:r>
    </w:p>
    <w:p>
      <w:pPr>
        <w:widowControl/>
        <w:ind w:firstLine="400" w:firstLineChars="200"/>
        <w:rPr>
          <w:rFonts w:hint="eastAsia" w:asciiTheme="minorEastAsia" w:hAnsiTheme="minorEastAsia" w:eastAsiaTheme="minorEastAsia" w:cstheme="minorEastAsia"/>
          <w:sz w:val="20"/>
          <w:szCs w:val="20"/>
          <w:highlight w:val="none"/>
        </w:rPr>
      </w:pPr>
      <w:r>
        <w:rPr>
          <w:rFonts w:hint="eastAsia" w:ascii="宋体" w:hAnsi="宋体" w:cs="宋体"/>
          <w:sz w:val="20"/>
          <w:szCs w:val="20"/>
          <w:highlight w:val="none"/>
        </w:rPr>
        <w:t>❷其他情形导致的税率变更，按本合同签订时约定的含税价</w:t>
      </w:r>
      <w:r>
        <w:rPr>
          <w:rFonts w:ascii="宋体" w:hAnsi="宋体" w:cs="宋体"/>
          <w:sz w:val="20"/>
          <w:szCs w:val="20"/>
          <w:highlight w:val="none"/>
        </w:rPr>
        <w:t>不变</w:t>
      </w:r>
      <w:r>
        <w:rPr>
          <w:rFonts w:hint="eastAsia" w:ascii="宋体" w:hAnsi="宋体" w:cs="宋体"/>
          <w:sz w:val="20"/>
          <w:szCs w:val="20"/>
          <w:highlight w:val="none"/>
        </w:rPr>
        <w:t>进行结算。</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b/>
          <w:bCs/>
          <w:kern w:val="0"/>
          <w:sz w:val="20"/>
          <w:szCs w:val="20"/>
          <w:highlight w:val="none"/>
          <w:lang w:val="zh-CN"/>
        </w:rPr>
      </w:pPr>
      <w:r>
        <w:rPr>
          <w:rFonts w:hint="eastAsia" w:asciiTheme="minorEastAsia" w:hAnsiTheme="minorEastAsia" w:eastAsiaTheme="minorEastAsia" w:cstheme="minorEastAsia"/>
          <w:sz w:val="20"/>
          <w:szCs w:val="20"/>
          <w:highlight w:val="none"/>
        </w:rPr>
        <w:t xml:space="preserve">2 </w:t>
      </w:r>
      <w:r>
        <w:rPr>
          <w:rFonts w:hint="eastAsia" w:asciiTheme="minorEastAsia" w:hAnsiTheme="minorEastAsia" w:eastAsiaTheme="minorEastAsia" w:cstheme="minorEastAsia"/>
          <w:b/>
          <w:bCs/>
          <w:sz w:val="20"/>
          <w:szCs w:val="20"/>
          <w:highlight w:val="none"/>
        </w:rPr>
        <w:t>甲方仅为</w:t>
      </w:r>
      <w:r>
        <w:rPr>
          <w:rFonts w:hint="eastAsia" w:asciiTheme="minorEastAsia" w:hAnsiTheme="minorEastAsia" w:eastAsiaTheme="minorEastAsia" w:cstheme="minorEastAsia"/>
          <w:b/>
          <w:bCs/>
          <w:kern w:val="0"/>
          <w:sz w:val="20"/>
          <w:szCs w:val="20"/>
          <w:highlight w:val="none"/>
        </w:rPr>
        <w:t>符合</w:t>
      </w:r>
      <w:r>
        <w:rPr>
          <w:rFonts w:hint="eastAsia" w:asciiTheme="minorEastAsia" w:hAnsiTheme="minorEastAsia" w:eastAsiaTheme="minorEastAsia" w:cstheme="minorEastAsia"/>
          <w:b/>
          <w:bCs/>
          <w:kern w:val="0"/>
          <w:sz w:val="20"/>
          <w:szCs w:val="20"/>
          <w:highlight w:val="none"/>
          <w:lang w:val="zh-CN"/>
        </w:rPr>
        <w:t>中转住宿条件的旅客提供住宿、餐食</w:t>
      </w:r>
      <w:r>
        <w:rPr>
          <w:rFonts w:hint="eastAsia" w:asciiTheme="minorEastAsia" w:hAnsiTheme="minorEastAsia" w:eastAsiaTheme="minorEastAsia" w:cstheme="minorEastAsia"/>
          <w:sz w:val="20"/>
          <w:szCs w:val="20"/>
          <w:highlight w:val="none"/>
          <w:lang w:val="zh-CN"/>
        </w:rPr>
        <w:t>及车辆接送</w:t>
      </w:r>
      <w:r>
        <w:rPr>
          <w:rFonts w:hint="eastAsia" w:asciiTheme="minorEastAsia" w:hAnsiTheme="minorEastAsia" w:eastAsiaTheme="minorEastAsia" w:cstheme="minorEastAsia"/>
          <w:b/>
          <w:bCs/>
          <w:kern w:val="0"/>
          <w:sz w:val="20"/>
          <w:szCs w:val="20"/>
          <w:highlight w:val="none"/>
          <w:lang w:val="zh-CN"/>
        </w:rPr>
        <w:t>服务。</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b/>
          <w:bCs/>
          <w:kern w:val="0"/>
          <w:sz w:val="20"/>
          <w:szCs w:val="20"/>
          <w:highlight w:val="none"/>
          <w:lang w:val="zh-CN"/>
        </w:rPr>
      </w:pPr>
      <w:r>
        <w:rPr>
          <w:rFonts w:hint="eastAsia" w:asciiTheme="minorEastAsia" w:hAnsiTheme="minorEastAsia" w:eastAsiaTheme="minorEastAsia" w:cstheme="minorEastAsia"/>
          <w:kern w:val="0"/>
          <w:sz w:val="20"/>
          <w:szCs w:val="20"/>
          <w:highlight w:val="none"/>
        </w:rPr>
        <w:t xml:space="preserve">3 </w:t>
      </w:r>
      <w:r>
        <w:rPr>
          <w:rFonts w:hint="eastAsia" w:asciiTheme="minorEastAsia" w:hAnsiTheme="minorEastAsia" w:eastAsiaTheme="minorEastAsia" w:cstheme="minorEastAsia"/>
          <w:b/>
          <w:bCs/>
          <w:kern w:val="0"/>
          <w:sz w:val="20"/>
          <w:szCs w:val="20"/>
          <w:highlight w:val="none"/>
        </w:rPr>
        <w:t>乙方应</w:t>
      </w:r>
      <w:r>
        <w:rPr>
          <w:rFonts w:hint="eastAsia" w:asciiTheme="minorEastAsia" w:hAnsiTheme="minorEastAsia" w:eastAsiaTheme="minorEastAsia" w:cstheme="minorEastAsia"/>
          <w:b/>
          <w:bCs/>
          <w:kern w:val="0"/>
          <w:sz w:val="20"/>
          <w:szCs w:val="20"/>
          <w:highlight w:val="none"/>
          <w:lang w:val="zh-CN"/>
        </w:rPr>
        <w:t>按</w:t>
      </w:r>
      <w:r>
        <w:rPr>
          <w:rFonts w:hint="eastAsia" w:asciiTheme="minorEastAsia" w:hAnsiTheme="minorEastAsia" w:eastAsiaTheme="minorEastAsia" w:cstheme="minorEastAsia"/>
          <w:b/>
          <w:bCs/>
          <w:kern w:val="0"/>
          <w:sz w:val="20"/>
          <w:szCs w:val="20"/>
          <w:highlight w:val="none"/>
        </w:rPr>
        <w:t>甲方</w:t>
      </w:r>
      <w:r>
        <w:rPr>
          <w:rFonts w:hint="eastAsia" w:asciiTheme="minorEastAsia" w:hAnsiTheme="minorEastAsia" w:eastAsiaTheme="minorEastAsia" w:cstheme="minorEastAsia"/>
          <w:b/>
          <w:bCs/>
          <w:kern w:val="0"/>
          <w:sz w:val="20"/>
          <w:szCs w:val="20"/>
          <w:highlight w:val="none"/>
          <w:lang w:val="zh-CN"/>
        </w:rPr>
        <w:t>相关标准执行，</w:t>
      </w:r>
      <w:r>
        <w:rPr>
          <w:rFonts w:hint="eastAsia" w:asciiTheme="minorEastAsia" w:hAnsiTheme="minorEastAsia" w:eastAsiaTheme="minorEastAsia" w:cstheme="minorEastAsia"/>
          <w:b/>
          <w:bCs/>
          <w:kern w:val="0"/>
          <w:sz w:val="20"/>
          <w:szCs w:val="20"/>
          <w:highlight w:val="none"/>
        </w:rPr>
        <w:t>并</w:t>
      </w:r>
      <w:r>
        <w:rPr>
          <w:rFonts w:hint="eastAsia" w:asciiTheme="minorEastAsia" w:hAnsiTheme="minorEastAsia" w:eastAsiaTheme="minorEastAsia" w:cstheme="minorEastAsia"/>
          <w:b/>
          <w:bCs/>
          <w:kern w:val="0"/>
          <w:sz w:val="20"/>
          <w:szCs w:val="20"/>
          <w:highlight w:val="none"/>
          <w:lang w:val="zh-CN"/>
        </w:rPr>
        <w:t>以甲方最新通知为准。</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u w:val="single"/>
        </w:rPr>
      </w:pPr>
      <w:r>
        <w:rPr>
          <w:rFonts w:hint="eastAsia" w:asciiTheme="minorEastAsia" w:hAnsiTheme="minorEastAsia" w:eastAsiaTheme="minorEastAsia" w:cstheme="minorEastAsia"/>
          <w:kern w:val="0"/>
          <w:sz w:val="20"/>
          <w:szCs w:val="20"/>
          <w:highlight w:val="none"/>
        </w:rPr>
        <w:t xml:space="preserve">4 </w:t>
      </w:r>
      <w:r>
        <w:rPr>
          <w:rFonts w:hint="eastAsia" w:asciiTheme="minorEastAsia" w:hAnsiTheme="minorEastAsia" w:eastAsiaTheme="minorEastAsia" w:cstheme="minorEastAsia"/>
          <w:b/>
          <w:bCs/>
          <w:kern w:val="0"/>
          <w:sz w:val="20"/>
          <w:szCs w:val="20"/>
          <w:highlight w:val="none"/>
        </w:rPr>
        <w:t>如甲方标准发生</w:t>
      </w:r>
      <w:r>
        <w:rPr>
          <w:rFonts w:hint="eastAsia" w:asciiTheme="minorEastAsia" w:hAnsiTheme="minorEastAsia" w:eastAsiaTheme="minorEastAsia" w:cstheme="minorEastAsia"/>
          <w:b/>
          <w:bCs/>
          <w:kern w:val="0"/>
          <w:sz w:val="20"/>
          <w:szCs w:val="20"/>
          <w:highlight w:val="none"/>
          <w:lang w:val="zh-CN"/>
        </w:rPr>
        <w:t>调整，双方另行签署书面文件，作为本</w:t>
      </w:r>
      <w:r>
        <w:rPr>
          <w:rFonts w:hint="eastAsia" w:asciiTheme="minorEastAsia" w:hAnsiTheme="minorEastAsia" w:eastAsiaTheme="minorEastAsia" w:cstheme="minorEastAsia"/>
          <w:b/>
          <w:bCs/>
          <w:kern w:val="0"/>
          <w:sz w:val="20"/>
          <w:szCs w:val="20"/>
          <w:highlight w:val="none"/>
        </w:rPr>
        <w:t>协议</w:t>
      </w:r>
      <w:r>
        <w:rPr>
          <w:rFonts w:hint="eastAsia" w:asciiTheme="minorEastAsia" w:hAnsiTheme="minorEastAsia" w:eastAsiaTheme="minorEastAsia" w:cstheme="minorEastAsia"/>
          <w:b/>
          <w:bCs/>
          <w:kern w:val="0"/>
          <w:sz w:val="20"/>
          <w:szCs w:val="20"/>
          <w:highlight w:val="none"/>
          <w:lang w:val="zh-CN"/>
        </w:rPr>
        <w:t>的补充</w:t>
      </w:r>
      <w:r>
        <w:rPr>
          <w:rFonts w:hint="eastAsia" w:asciiTheme="minorEastAsia" w:hAnsiTheme="minorEastAsia" w:eastAsiaTheme="minorEastAsia" w:cstheme="minorEastAsia"/>
          <w:b/>
          <w:bCs/>
          <w:kern w:val="0"/>
          <w:sz w:val="20"/>
          <w:szCs w:val="20"/>
          <w:highlight w:val="none"/>
        </w:rPr>
        <w:t>合同</w:t>
      </w:r>
      <w:r>
        <w:rPr>
          <w:rFonts w:hint="eastAsia" w:asciiTheme="minorEastAsia" w:hAnsiTheme="minorEastAsia" w:eastAsiaTheme="minorEastAsia" w:cstheme="minorEastAsia"/>
          <w:b/>
          <w:bCs/>
          <w:kern w:val="0"/>
          <w:sz w:val="20"/>
          <w:szCs w:val="20"/>
          <w:highlight w:val="none"/>
          <w:lang w:val="zh-CN"/>
        </w:rPr>
        <w:t>，补充</w:t>
      </w:r>
      <w:r>
        <w:rPr>
          <w:rFonts w:hint="eastAsia" w:asciiTheme="minorEastAsia" w:hAnsiTheme="minorEastAsia" w:eastAsiaTheme="minorEastAsia" w:cstheme="minorEastAsia"/>
          <w:b/>
          <w:bCs/>
          <w:kern w:val="0"/>
          <w:sz w:val="20"/>
          <w:szCs w:val="20"/>
          <w:highlight w:val="none"/>
        </w:rPr>
        <w:t>合同</w:t>
      </w:r>
      <w:r>
        <w:rPr>
          <w:rFonts w:hint="eastAsia" w:asciiTheme="minorEastAsia" w:hAnsiTheme="minorEastAsia" w:eastAsiaTheme="minorEastAsia" w:cstheme="minorEastAsia"/>
          <w:b/>
          <w:bCs/>
          <w:kern w:val="0"/>
          <w:sz w:val="20"/>
          <w:szCs w:val="20"/>
          <w:highlight w:val="none"/>
          <w:lang w:val="zh-CN"/>
        </w:rPr>
        <w:t>与本</w:t>
      </w:r>
      <w:r>
        <w:rPr>
          <w:rFonts w:hint="eastAsia" w:asciiTheme="minorEastAsia" w:hAnsiTheme="minorEastAsia" w:eastAsiaTheme="minorEastAsia" w:cstheme="minorEastAsia"/>
          <w:b/>
          <w:bCs/>
          <w:kern w:val="0"/>
          <w:sz w:val="20"/>
          <w:szCs w:val="20"/>
          <w:highlight w:val="none"/>
        </w:rPr>
        <w:t>协议</w:t>
      </w:r>
      <w:r>
        <w:rPr>
          <w:rFonts w:hint="eastAsia" w:asciiTheme="minorEastAsia" w:hAnsiTheme="minorEastAsia" w:eastAsiaTheme="minorEastAsia" w:cstheme="minorEastAsia"/>
          <w:b/>
          <w:bCs/>
          <w:kern w:val="0"/>
          <w:sz w:val="20"/>
          <w:szCs w:val="20"/>
          <w:highlight w:val="none"/>
          <w:lang w:val="zh-CN"/>
        </w:rPr>
        <w:t>具有同等法律效力</w:t>
      </w:r>
      <w:r>
        <w:rPr>
          <w:rFonts w:hint="eastAsia" w:asciiTheme="minorEastAsia" w:hAnsiTheme="minorEastAsia" w:eastAsiaTheme="minorEastAsia" w:cstheme="minorEastAsia"/>
          <w:b/>
          <w:bCs/>
          <w:sz w:val="20"/>
          <w:szCs w:val="20"/>
          <w:highlight w:val="none"/>
          <w:lang w:val="zh-CN"/>
        </w:rPr>
        <w:t>。</w:t>
      </w:r>
      <w:r>
        <w:rPr>
          <w:rFonts w:hint="eastAsia" w:asciiTheme="minorEastAsia" w:hAnsiTheme="minorEastAsia" w:eastAsiaTheme="minorEastAsia" w:cstheme="minorEastAsia"/>
          <w:sz w:val="20"/>
          <w:szCs w:val="20"/>
          <w:highlight w:val="none"/>
          <w:u w:val="single"/>
        </w:rPr>
        <w:t xml:space="preserve"> </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2.3 </w:t>
      </w:r>
      <w:r>
        <w:rPr>
          <w:rFonts w:hint="eastAsia" w:asciiTheme="minorEastAsia" w:hAnsiTheme="minorEastAsia" w:eastAsiaTheme="minorEastAsia" w:cstheme="minorEastAsia"/>
          <w:sz w:val="20"/>
          <w:szCs w:val="20"/>
          <w:highlight w:val="none"/>
          <w:lang w:val="zh-CN"/>
        </w:rPr>
        <w:t>当</w:t>
      </w:r>
      <w:r>
        <w:rPr>
          <w:rFonts w:hint="eastAsia" w:asciiTheme="minorEastAsia" w:hAnsiTheme="minorEastAsia" w:eastAsiaTheme="minorEastAsia" w:cstheme="minorEastAsia"/>
          <w:sz w:val="20"/>
          <w:szCs w:val="20"/>
          <w:highlight w:val="none"/>
        </w:rPr>
        <w:t>甲方</w:t>
      </w:r>
      <w:r>
        <w:rPr>
          <w:rFonts w:hint="eastAsia" w:asciiTheme="minorEastAsia" w:hAnsiTheme="minorEastAsia" w:eastAsiaTheme="minorEastAsia" w:cstheme="minorEastAsia"/>
          <w:sz w:val="20"/>
          <w:szCs w:val="20"/>
          <w:highlight w:val="none"/>
          <w:lang w:val="zh-CN"/>
        </w:rPr>
        <w:t>旅客住宿时间超出双方约定天数时，超出部分</w:t>
      </w:r>
      <w:r>
        <w:rPr>
          <w:rFonts w:hint="eastAsia" w:asciiTheme="minorEastAsia" w:hAnsiTheme="minorEastAsia" w:eastAsiaTheme="minorEastAsia" w:cstheme="minorEastAsia"/>
          <w:sz w:val="20"/>
          <w:szCs w:val="20"/>
          <w:highlight w:val="none"/>
        </w:rPr>
        <w:t>费用</w:t>
      </w:r>
      <w:r>
        <w:rPr>
          <w:rFonts w:hint="eastAsia" w:asciiTheme="minorEastAsia" w:hAnsiTheme="minorEastAsia" w:eastAsiaTheme="minorEastAsia" w:cstheme="minorEastAsia"/>
          <w:sz w:val="20"/>
          <w:szCs w:val="20"/>
          <w:highlight w:val="none"/>
          <w:lang w:val="zh-CN"/>
        </w:rPr>
        <w:t>由旅客自理。</w:t>
      </w:r>
      <w:r>
        <w:rPr>
          <w:rFonts w:hint="eastAsia" w:asciiTheme="minorEastAsia" w:hAnsiTheme="minorEastAsia" w:eastAsiaTheme="minorEastAsia" w:cstheme="minorEastAsia"/>
          <w:sz w:val="20"/>
          <w:szCs w:val="20"/>
          <w:highlight w:val="none"/>
          <w:u w:val="single"/>
          <w:lang w:val="zh-CN"/>
        </w:rPr>
        <w:t>如不符合按单人单间标准安排的旅客提出单人单间住宿要求，所发生的房费差额应由旅客自行承担</w:t>
      </w:r>
      <w:r>
        <w:rPr>
          <w:rFonts w:hint="eastAsia" w:asciiTheme="minorEastAsia" w:hAnsiTheme="minorEastAsia" w:eastAsiaTheme="minorEastAsia" w:cstheme="minorEastAsia"/>
          <w:sz w:val="20"/>
          <w:szCs w:val="20"/>
          <w:highlight w:val="none"/>
          <w:lang w:val="zh-CN"/>
        </w:rPr>
        <w:t>，甲乙双方均应当在费用发生前就此向旅客做出说明。</w:t>
      </w:r>
      <w:r>
        <w:rPr>
          <w:rFonts w:hint="eastAsia" w:asciiTheme="minorEastAsia" w:hAnsiTheme="minorEastAsia" w:eastAsiaTheme="minorEastAsia" w:cstheme="minorEastAsia"/>
          <w:sz w:val="20"/>
          <w:szCs w:val="20"/>
          <w:highlight w:val="none"/>
        </w:rPr>
        <w:t>本款由旅客承担的费用由乙方直接与旅客结算。</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rPr>
        <w:t xml:space="preserve">2.4 </w:t>
      </w:r>
      <w:r>
        <w:rPr>
          <w:rFonts w:hint="eastAsia" w:asciiTheme="minorEastAsia" w:hAnsiTheme="minorEastAsia" w:eastAsiaTheme="minorEastAsia" w:cstheme="minorEastAsia"/>
          <w:sz w:val="20"/>
          <w:szCs w:val="20"/>
          <w:highlight w:val="none"/>
          <w:lang w:val="zh-CN"/>
        </w:rPr>
        <w:t>旅客自行消费的酒水、付费电话等费用，由旅客本人负责向乙方支付，酒店应当在费用发生前就此向旅客做出说明。</w:t>
      </w:r>
      <w:r>
        <w:rPr>
          <w:rFonts w:hint="eastAsia" w:asciiTheme="minorEastAsia" w:hAnsiTheme="minorEastAsia" w:eastAsiaTheme="minorEastAsia" w:cstheme="minorEastAsia"/>
          <w:sz w:val="20"/>
          <w:szCs w:val="20"/>
          <w:highlight w:val="none"/>
        </w:rPr>
        <w:t>本款由旅客承担的费用由乙方直接与旅客结算。</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rPr>
        <w:t>2</w:t>
      </w:r>
      <w:r>
        <w:rPr>
          <w:rFonts w:hint="eastAsia" w:asciiTheme="minorEastAsia" w:hAnsiTheme="minorEastAsia" w:eastAsiaTheme="minorEastAsia" w:cstheme="minorEastAsia"/>
          <w:sz w:val="20"/>
          <w:szCs w:val="20"/>
          <w:highlight w:val="none"/>
          <w:lang w:val="zh-CN"/>
        </w:rPr>
        <w:t>.</w:t>
      </w:r>
      <w:r>
        <w:rPr>
          <w:rFonts w:hint="eastAsia" w:asciiTheme="minorEastAsia" w:hAnsiTheme="minorEastAsia" w:eastAsiaTheme="minorEastAsia" w:cstheme="minorEastAsia"/>
          <w:sz w:val="20"/>
          <w:szCs w:val="20"/>
          <w:highlight w:val="none"/>
        </w:rPr>
        <w:t>5</w:t>
      </w:r>
      <w:r>
        <w:rPr>
          <w:rFonts w:hint="eastAsia" w:asciiTheme="minorEastAsia" w:hAnsiTheme="minorEastAsia" w:eastAsiaTheme="minorEastAsia" w:cstheme="minorEastAsia"/>
          <w:sz w:val="20"/>
          <w:szCs w:val="20"/>
          <w:highlight w:val="none"/>
          <w:lang w:val="zh-CN"/>
        </w:rPr>
        <w:t xml:space="preserve"> 乙方根据甲方</w:t>
      </w:r>
      <w:r>
        <w:rPr>
          <w:rFonts w:hint="eastAsia" w:asciiTheme="minorEastAsia" w:hAnsiTheme="minorEastAsia" w:eastAsiaTheme="minorEastAsia" w:cstheme="minorEastAsia"/>
          <w:sz w:val="20"/>
          <w:szCs w:val="20"/>
          <w:highlight w:val="none"/>
        </w:rPr>
        <w:t>坤翔系统明细</w:t>
      </w:r>
      <w:r>
        <w:rPr>
          <w:rFonts w:hint="eastAsia" w:asciiTheme="minorEastAsia" w:hAnsiTheme="minorEastAsia" w:eastAsiaTheme="minorEastAsia" w:cstheme="minorEastAsia"/>
          <w:sz w:val="20"/>
          <w:szCs w:val="20"/>
          <w:highlight w:val="none"/>
          <w:lang w:val="zh-CN"/>
        </w:rPr>
        <w:t>安排旅客食宿，</w:t>
      </w:r>
      <w:r>
        <w:rPr>
          <w:rFonts w:hint="eastAsia" w:asciiTheme="minorEastAsia" w:hAnsiTheme="minorEastAsia" w:eastAsiaTheme="minorEastAsia" w:cstheme="minorEastAsia"/>
          <w:sz w:val="20"/>
          <w:szCs w:val="20"/>
          <w:highlight w:val="none"/>
        </w:rPr>
        <w:t>配合甲方及时做好坤翔系统相关操作，并以坤翔系统相关数据作为中转、航延房费、餐费及车费的结算依据。甲方有权对坤翔系统相关数据进行复核，并要求乙方提供有关单据予以佐证。</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rPr>
        <w:t>2</w:t>
      </w:r>
      <w:r>
        <w:rPr>
          <w:rFonts w:hint="eastAsia" w:asciiTheme="minorEastAsia" w:hAnsiTheme="minorEastAsia" w:eastAsiaTheme="minorEastAsia" w:cstheme="minorEastAsia"/>
          <w:sz w:val="20"/>
          <w:szCs w:val="20"/>
          <w:highlight w:val="none"/>
          <w:lang w:val="zh-CN"/>
        </w:rPr>
        <w:t>.</w:t>
      </w:r>
      <w:r>
        <w:rPr>
          <w:rFonts w:hint="eastAsia" w:asciiTheme="minorEastAsia" w:hAnsiTheme="minorEastAsia" w:eastAsiaTheme="minorEastAsia" w:cstheme="minorEastAsia"/>
          <w:sz w:val="20"/>
          <w:szCs w:val="20"/>
          <w:highlight w:val="none"/>
        </w:rPr>
        <w:t>6</w:t>
      </w:r>
      <w:r>
        <w:rPr>
          <w:rFonts w:hint="eastAsia" w:asciiTheme="minorEastAsia" w:hAnsiTheme="minorEastAsia" w:eastAsiaTheme="minorEastAsia" w:cstheme="minorEastAsia"/>
          <w:sz w:val="20"/>
          <w:szCs w:val="20"/>
          <w:highlight w:val="none"/>
          <w:lang w:val="zh-CN"/>
        </w:rPr>
        <w:t xml:space="preserve"> </w:t>
      </w:r>
      <w:r>
        <w:rPr>
          <w:rFonts w:hint="eastAsia" w:asciiTheme="minorEastAsia" w:hAnsiTheme="minorEastAsia" w:eastAsiaTheme="minorEastAsia" w:cstheme="minorEastAsia"/>
          <w:sz w:val="20"/>
          <w:szCs w:val="20"/>
          <w:highlight w:val="none"/>
        </w:rPr>
        <w:t>由于酒店自身原因（包括不限于汽车故障、交通事故、无法调派等），需要</w:t>
      </w:r>
      <w:r>
        <w:rPr>
          <w:rFonts w:hint="eastAsia" w:asciiTheme="minorEastAsia" w:hAnsiTheme="minorEastAsia" w:eastAsiaTheme="minorEastAsia" w:cstheme="minorEastAsia"/>
          <w:sz w:val="20"/>
          <w:szCs w:val="20"/>
          <w:highlight w:val="none"/>
          <w:lang w:val="zh-CN"/>
        </w:rPr>
        <w:t>旅客自行乘车（巴士或出租车）抵离酒店</w:t>
      </w:r>
      <w:r>
        <w:rPr>
          <w:rFonts w:hint="eastAsia" w:asciiTheme="minorEastAsia" w:hAnsiTheme="minorEastAsia" w:eastAsiaTheme="minorEastAsia" w:cstheme="minorEastAsia"/>
          <w:sz w:val="20"/>
          <w:szCs w:val="20"/>
          <w:highlight w:val="none"/>
        </w:rPr>
        <w:t>的</w:t>
      </w:r>
      <w:r>
        <w:rPr>
          <w:rFonts w:hint="eastAsia" w:asciiTheme="minorEastAsia" w:hAnsiTheme="minorEastAsia" w:eastAsiaTheme="minorEastAsia" w:cstheme="minorEastAsia"/>
          <w:sz w:val="20"/>
          <w:szCs w:val="20"/>
          <w:highlight w:val="none"/>
          <w:lang w:val="zh-CN"/>
        </w:rPr>
        <w:t>，由乙方直接为旅客支付抵离酒店的车费。</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2.7 旅客分配原则</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2.7.1 示例：中转旅客：包含中转免费旅客、中转错失旅客。根据旅客意愿，自行选择酒店。</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b w:val="0"/>
          <w:bCs w:val="0"/>
          <w:sz w:val="20"/>
          <w:szCs w:val="20"/>
          <w:highlight w:val="none"/>
        </w:rPr>
      </w:pPr>
      <w:r>
        <w:rPr>
          <w:rFonts w:hint="eastAsia" w:asciiTheme="minorEastAsia" w:hAnsiTheme="minorEastAsia" w:eastAsiaTheme="minorEastAsia" w:cstheme="minorEastAsia"/>
          <w:sz w:val="20"/>
          <w:szCs w:val="20"/>
          <w:highlight w:val="none"/>
        </w:rPr>
        <w:t xml:space="preserve">2.7.2 </w:t>
      </w:r>
      <w:r>
        <w:rPr>
          <w:rFonts w:hint="eastAsia" w:ascii="宋体" w:hAnsi="宋体" w:cs="宋体"/>
          <w:szCs w:val="21"/>
          <w:highlight w:val="none"/>
        </w:rPr>
        <w:t>示例：</w:t>
      </w:r>
      <w:r>
        <w:rPr>
          <w:rFonts w:hint="eastAsia" w:asciiTheme="minorEastAsia" w:hAnsiTheme="minorEastAsia" w:eastAsiaTheme="minorEastAsia" w:cstheme="minorEastAsia"/>
          <w:sz w:val="20"/>
          <w:szCs w:val="20"/>
          <w:highlight w:val="none"/>
        </w:rPr>
        <w:t>航延旅客：包含不正常航班、超售、备降、遣返旅客等。结合甲方业务需要，根据航延酒店值班规则，并由甲方结合酒店考察排名情况、酒店值班表顺序、酒店可用房量以及航延旅客预估量等综合情况，对值班酒店进行滚动安排。</w:t>
      </w:r>
    </w:p>
    <w:p>
      <w:pPr>
        <w:ind w:firstLine="402" w:firstLineChars="200"/>
        <w:rPr>
          <w:rFonts w:hint="eastAsia" w:asciiTheme="minorEastAsia" w:hAnsiTheme="minorEastAsia" w:eastAsiaTheme="minorEastAsia" w:cstheme="minorEastAsia"/>
          <w:b/>
          <w:bCs/>
          <w:sz w:val="20"/>
          <w:szCs w:val="20"/>
          <w:highlight w:val="none"/>
        </w:rPr>
      </w:pPr>
      <w:r>
        <w:rPr>
          <w:rFonts w:hint="eastAsia" w:asciiTheme="minorEastAsia" w:hAnsiTheme="minorEastAsia" w:eastAsiaTheme="minorEastAsia" w:cstheme="minorEastAsia"/>
          <w:b/>
          <w:bCs/>
          <w:sz w:val="20"/>
          <w:szCs w:val="20"/>
          <w:highlight w:val="none"/>
        </w:rPr>
        <w:t>第三条 服务标准与监督管理</w:t>
      </w:r>
    </w:p>
    <w:p>
      <w:pPr>
        <w:autoSpaceDE w:val="0"/>
        <w:autoSpaceDN w:val="0"/>
        <w:adjustRightInd w:val="0"/>
        <w:snapToGrid w:val="0"/>
        <w:spacing w:line="480" w:lineRule="exact"/>
        <w:ind w:firstLine="400"/>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rPr>
        <w:t xml:space="preserve">3.1 </w:t>
      </w:r>
      <w:r>
        <w:rPr>
          <w:rFonts w:hint="eastAsia" w:asciiTheme="minorEastAsia" w:hAnsiTheme="minorEastAsia" w:eastAsiaTheme="minorEastAsia" w:cstheme="minorEastAsia"/>
          <w:sz w:val="20"/>
          <w:szCs w:val="20"/>
          <w:highlight w:val="none"/>
          <w:lang w:val="zh-CN"/>
        </w:rPr>
        <w:t>乙方为旅客提供住宿服务标准如下：</w:t>
      </w:r>
    </w:p>
    <w:p>
      <w:pPr>
        <w:autoSpaceDE w:val="0"/>
        <w:autoSpaceDN w:val="0"/>
        <w:adjustRightInd w:val="0"/>
        <w:snapToGrid w:val="0"/>
        <w:spacing w:line="480" w:lineRule="exact"/>
        <w:ind w:firstLine="4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3.1.1 乙方</w:t>
      </w:r>
      <w:r>
        <w:rPr>
          <w:rFonts w:hint="eastAsia" w:asciiTheme="minorEastAsia" w:hAnsiTheme="minorEastAsia" w:eastAsiaTheme="minorEastAsia" w:cstheme="minorEastAsia"/>
          <w:sz w:val="20"/>
          <w:szCs w:val="20"/>
          <w:highlight w:val="none"/>
          <w:lang w:val="zh-CN"/>
        </w:rPr>
        <w:t>应具备必要的酒店运营资质证件，包括</w:t>
      </w:r>
      <w:r>
        <w:rPr>
          <w:rFonts w:hint="eastAsia" w:asciiTheme="minorEastAsia" w:hAnsiTheme="minorEastAsia" w:eastAsiaTheme="minorEastAsia" w:cstheme="minorEastAsia"/>
          <w:sz w:val="20"/>
          <w:szCs w:val="20"/>
          <w:highlight w:val="none"/>
        </w:rPr>
        <w:t>但</w:t>
      </w:r>
      <w:r>
        <w:rPr>
          <w:rFonts w:hint="eastAsia" w:asciiTheme="minorEastAsia" w:hAnsiTheme="minorEastAsia" w:eastAsiaTheme="minorEastAsia" w:cstheme="minorEastAsia"/>
          <w:sz w:val="20"/>
          <w:szCs w:val="20"/>
          <w:highlight w:val="none"/>
          <w:lang w:val="zh-CN"/>
        </w:rPr>
        <w:t>不仅限于企业法人营业执照、</w:t>
      </w:r>
      <w:r>
        <w:rPr>
          <w:rFonts w:hint="eastAsia" w:asciiTheme="minorEastAsia" w:hAnsiTheme="minorEastAsia" w:eastAsiaTheme="minorEastAsia" w:cstheme="minorEastAsia"/>
          <w:sz w:val="20"/>
          <w:szCs w:val="20"/>
          <w:highlight w:val="none"/>
        </w:rPr>
        <w:t>食品经营许可证</w:t>
      </w:r>
      <w:r>
        <w:rPr>
          <w:rFonts w:hint="eastAsia" w:asciiTheme="minorEastAsia" w:hAnsiTheme="minorEastAsia" w:eastAsiaTheme="minorEastAsia" w:cstheme="minorEastAsia"/>
          <w:sz w:val="20"/>
          <w:szCs w:val="20"/>
          <w:highlight w:val="none"/>
          <w:lang w:val="zh-CN"/>
        </w:rPr>
        <w:t>、卫生许可证、特种行业许可证、消防安全验收证明</w:t>
      </w:r>
      <w:r>
        <w:rPr>
          <w:rFonts w:hint="eastAsia" w:asciiTheme="minorEastAsia" w:hAnsiTheme="minorEastAsia" w:eastAsiaTheme="minorEastAsia" w:cstheme="minorEastAsia"/>
          <w:sz w:val="20"/>
          <w:szCs w:val="20"/>
          <w:highlight w:val="none"/>
          <w:u w:val="single"/>
        </w:rPr>
        <w:t xml:space="preserve"> 、</w:t>
      </w:r>
      <w:r>
        <w:rPr>
          <w:rFonts w:hint="eastAsia" w:asciiTheme="minorEastAsia" w:hAnsiTheme="minorEastAsia" w:eastAsiaTheme="minorEastAsia" w:cstheme="minorEastAsia"/>
          <w:sz w:val="20"/>
          <w:szCs w:val="20"/>
          <w:highlight w:val="none"/>
          <w:lang w:val="zh-CN"/>
        </w:rPr>
        <w:t>星级评定证书（如有），供甲方备查。</w:t>
      </w:r>
      <w:r>
        <w:rPr>
          <w:rFonts w:hint="eastAsia" w:asciiTheme="minorEastAsia" w:hAnsiTheme="minorEastAsia" w:eastAsiaTheme="minorEastAsia" w:cstheme="minorEastAsia"/>
          <w:sz w:val="20"/>
          <w:szCs w:val="20"/>
          <w:highlight w:val="none"/>
        </w:rPr>
        <w:t>如前述证件内容发生变更，包括失去特许经营资格资质时，应在相关变更发生后 XX个工作日</w:t>
      </w:r>
      <w:r>
        <w:rPr>
          <w:rFonts w:hint="eastAsia" w:asciiTheme="minorEastAsia" w:hAnsiTheme="minorEastAsia" w:eastAsiaTheme="minorEastAsia" w:cstheme="minorEastAsia"/>
          <w:sz w:val="20"/>
          <w:szCs w:val="20"/>
          <w:highlight w:val="none"/>
          <w:u w:val="single"/>
        </w:rPr>
        <w:t xml:space="preserve"> </w:t>
      </w:r>
      <w:r>
        <w:rPr>
          <w:rFonts w:hint="eastAsia" w:asciiTheme="minorEastAsia" w:hAnsiTheme="minorEastAsia" w:eastAsiaTheme="minorEastAsia" w:cstheme="minorEastAsia"/>
          <w:sz w:val="20"/>
          <w:szCs w:val="20"/>
          <w:highlight w:val="none"/>
        </w:rPr>
        <w:t>内书面通知甲方。</w:t>
      </w:r>
    </w:p>
    <w:p>
      <w:pPr>
        <w:autoSpaceDE w:val="0"/>
        <w:autoSpaceDN w:val="0"/>
        <w:adjustRightInd w:val="0"/>
        <w:snapToGrid w:val="0"/>
        <w:spacing w:line="480" w:lineRule="exact"/>
        <w:ind w:firstLine="400"/>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lang w:val="zh-CN"/>
        </w:rPr>
        <w:t>3.1.2 乙方须严格执行国家颁布关于旅馆业、饮食服务业等相关法律法规，并遵守国家现行有效的食品安全相关要求、食品安全操作规范以及甲方公司的相关规章制度，确保餐食卫生和质量标准，为甲方旅客提供安全、高质、规范的住宿及餐饮服务；如乙方原因发生旅客食物中毒事故，乙方须及时查明事故原因，并采取有效的救治措施，并承担相关违约、赔偿责任。</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3.1.3 乙方应对老、弱、病、残、孕等特殊旅客给予特殊照顾，至少以中、英文介绍酒店提供的服务项目及注意事项。</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3.1.4 </w:t>
      </w:r>
      <w:r>
        <w:rPr>
          <w:rFonts w:hint="eastAsia" w:asciiTheme="minorEastAsia" w:hAnsiTheme="minorEastAsia" w:eastAsiaTheme="minorEastAsia" w:cstheme="minorEastAsia"/>
          <w:sz w:val="20"/>
          <w:szCs w:val="20"/>
          <w:highlight w:val="none"/>
          <w:lang w:val="zh-CN"/>
        </w:rPr>
        <w:t>乙方须严格执行国家各项法律法规和相关行业标准的基础上，遵守甲方颁布的与中转、航延住宿相关规章制度，其中包括但不仅限于</w:t>
      </w:r>
      <w:r>
        <w:rPr>
          <w:rFonts w:hint="eastAsia" w:asciiTheme="minorEastAsia" w:hAnsiTheme="minorEastAsia" w:eastAsiaTheme="minorEastAsia" w:cstheme="minorEastAsia"/>
          <w:sz w:val="20"/>
          <w:szCs w:val="20"/>
          <w:highlight w:val="none"/>
          <w:u w:val="single"/>
        </w:rPr>
        <w:t>附件5、附件6所列制度</w:t>
      </w:r>
      <w:r>
        <w:rPr>
          <w:rFonts w:hint="eastAsia" w:asciiTheme="minorEastAsia" w:hAnsiTheme="minorEastAsia" w:eastAsiaTheme="minorEastAsia" w:cstheme="minorEastAsia"/>
          <w:sz w:val="20"/>
          <w:szCs w:val="20"/>
          <w:highlight w:val="none"/>
          <w:lang w:val="zh-CN"/>
        </w:rPr>
        <w:t>等；如有违反的，甲方按照</w:t>
      </w:r>
      <w:r>
        <w:rPr>
          <w:rFonts w:hint="eastAsia" w:asciiTheme="minorEastAsia" w:hAnsiTheme="minorEastAsia" w:eastAsiaTheme="minorEastAsia" w:cstheme="minorEastAsia"/>
          <w:sz w:val="20"/>
          <w:szCs w:val="20"/>
          <w:highlight w:val="none"/>
        </w:rPr>
        <w:t xml:space="preserve">  </w:t>
      </w:r>
      <w:r>
        <w:rPr>
          <w:rFonts w:hint="eastAsia" w:asciiTheme="minorEastAsia" w:hAnsiTheme="minorEastAsia" w:eastAsiaTheme="minorEastAsia" w:cstheme="minorEastAsia"/>
          <w:sz w:val="20"/>
          <w:szCs w:val="20"/>
          <w:highlight w:val="none"/>
          <w:u w:val="single"/>
        </w:rPr>
        <w:t xml:space="preserve">附件4  </w:t>
      </w:r>
      <w:r>
        <w:rPr>
          <w:rFonts w:hint="eastAsia" w:asciiTheme="minorEastAsia" w:hAnsiTheme="minorEastAsia" w:eastAsiaTheme="minorEastAsia" w:cstheme="minorEastAsia"/>
          <w:sz w:val="20"/>
          <w:szCs w:val="20"/>
          <w:highlight w:val="none"/>
          <w:lang w:val="zh-CN"/>
        </w:rPr>
        <w:t>等规章制度对乙方进行处理。前述甲方的制度</w:t>
      </w:r>
      <w:r>
        <w:rPr>
          <w:rFonts w:hint="eastAsia" w:asciiTheme="minorEastAsia" w:hAnsiTheme="minorEastAsia" w:eastAsiaTheme="minorEastAsia" w:cstheme="minorEastAsia"/>
          <w:sz w:val="20"/>
          <w:szCs w:val="20"/>
          <w:highlight w:val="none"/>
        </w:rPr>
        <w:t>及</w:t>
      </w:r>
      <w:r>
        <w:rPr>
          <w:rFonts w:hint="eastAsia" w:asciiTheme="minorEastAsia" w:hAnsiTheme="minorEastAsia" w:eastAsiaTheme="minorEastAsia" w:cstheme="minorEastAsia"/>
          <w:sz w:val="20"/>
          <w:szCs w:val="20"/>
          <w:highlight w:val="none"/>
          <w:lang w:val="zh-CN"/>
        </w:rPr>
        <w:t>文件</w:t>
      </w:r>
      <w:r>
        <w:rPr>
          <w:rFonts w:hint="eastAsia" w:asciiTheme="minorEastAsia" w:hAnsiTheme="minorEastAsia" w:eastAsiaTheme="minorEastAsia" w:cstheme="minorEastAsia"/>
          <w:sz w:val="20"/>
          <w:szCs w:val="20"/>
          <w:highlight w:val="none"/>
        </w:rPr>
        <w:t>要求，</w:t>
      </w:r>
      <w:r>
        <w:rPr>
          <w:rFonts w:hint="eastAsia" w:asciiTheme="minorEastAsia" w:hAnsiTheme="minorEastAsia" w:eastAsiaTheme="minorEastAsia" w:cstheme="minorEastAsia"/>
          <w:sz w:val="20"/>
          <w:szCs w:val="20"/>
          <w:highlight w:val="none"/>
          <w:lang w:val="zh-CN"/>
        </w:rPr>
        <w:t>乙方已充分知悉并完全配合。</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3.1.5 </w:t>
      </w:r>
      <w:r>
        <w:rPr>
          <w:rFonts w:hint="eastAsia" w:asciiTheme="minorEastAsia" w:hAnsiTheme="minorEastAsia" w:eastAsiaTheme="minorEastAsia" w:cstheme="minorEastAsia"/>
          <w:color w:val="auto"/>
          <w:sz w:val="20"/>
          <w:szCs w:val="20"/>
          <w:highlight w:val="none"/>
          <w:lang w:val="zh-CN"/>
        </w:rPr>
        <w:t>甲方因业务需要，可对旅客分配原则及</w:t>
      </w:r>
      <w:r>
        <w:rPr>
          <w:rFonts w:hint="eastAsia" w:asciiTheme="minorEastAsia" w:hAnsiTheme="minorEastAsia" w:eastAsiaTheme="minorEastAsia" w:cstheme="minorEastAsia"/>
          <w:sz w:val="20"/>
          <w:szCs w:val="20"/>
          <w:highlight w:val="none"/>
          <w:lang w:val="zh-CN"/>
        </w:rPr>
        <w:t>中转、航延住宿相关规章制度</w:t>
      </w:r>
      <w:r>
        <w:rPr>
          <w:rFonts w:hint="eastAsia" w:asciiTheme="minorEastAsia" w:hAnsiTheme="minorEastAsia" w:eastAsiaTheme="minorEastAsia" w:cstheme="minorEastAsia"/>
          <w:color w:val="auto"/>
          <w:sz w:val="20"/>
          <w:szCs w:val="20"/>
          <w:highlight w:val="none"/>
          <w:lang w:val="zh-CN"/>
        </w:rPr>
        <w:t>进行完善或修改，具体的旅客分配规则等相关酒店管理规定，由甲方使用单位结合自身业务实际情况制定，并通过培训、通知等方式对乙方进行宣贯。乙方应无条件遵守甲方的相关管理规定。</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3.1.6 本协议已明确约定了房费价格，乙方在国家法定节假日（包括不限于春节、元旦、国庆、五一等）或特殊展会（包括不限于国际大型交易会）不得以任何形式要求提升房费价格。</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3.1.7 乙方须根据甲方业务需要，自行购买并安装</w:t>
      </w:r>
      <w:r>
        <w:rPr>
          <w:rFonts w:hint="eastAsia" w:asciiTheme="minorEastAsia" w:hAnsiTheme="minorEastAsia" w:eastAsiaTheme="minorEastAsia" w:cstheme="minorEastAsia"/>
          <w:sz w:val="20"/>
          <w:szCs w:val="20"/>
          <w:highlight w:val="none"/>
          <w:u w:val="single"/>
        </w:rPr>
        <w:t>与坤翔系统匹配的证件扫描仪</w:t>
      </w:r>
      <w:r>
        <w:rPr>
          <w:rFonts w:hint="eastAsia" w:asciiTheme="minorEastAsia" w:hAnsiTheme="minorEastAsia" w:eastAsiaTheme="minorEastAsia" w:cstheme="minorEastAsia"/>
          <w:sz w:val="20"/>
          <w:szCs w:val="20"/>
          <w:highlight w:val="none"/>
        </w:rPr>
        <w:t>，提高业务办理效率。</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3.2 乙方为旅客提供的餐饮服务标准如下：</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u w:val="single"/>
        </w:rPr>
      </w:pPr>
      <w:r>
        <w:rPr>
          <w:rFonts w:hint="eastAsia" w:asciiTheme="minorEastAsia" w:hAnsiTheme="minorEastAsia" w:eastAsiaTheme="minorEastAsia" w:cstheme="minorEastAsia"/>
          <w:sz w:val="20"/>
          <w:szCs w:val="20"/>
          <w:highlight w:val="none"/>
          <w:u w:val="single"/>
        </w:rPr>
        <w:t>3.2.1 自助早餐：提供热食、热饮，中式主食种类不少于6个品种，西式主食为面包、点心。饮料不少于2种，包括并不限于牛奶和咖啡等品种。</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u w:val="single"/>
        </w:rPr>
      </w:pPr>
      <w:r>
        <w:rPr>
          <w:rFonts w:hint="eastAsia" w:asciiTheme="minorEastAsia" w:hAnsiTheme="minorEastAsia" w:eastAsiaTheme="minorEastAsia" w:cstheme="minorEastAsia"/>
          <w:sz w:val="20"/>
          <w:szCs w:val="20"/>
          <w:highlight w:val="none"/>
          <w:u w:val="single"/>
        </w:rPr>
        <w:t>3.2.2 旅客早于乙方早餐供应时间离开酒店的，应提前为旅客准备好打包的早餐。</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u w:val="single"/>
          <w:lang w:val="zh-CN"/>
        </w:rPr>
      </w:pPr>
      <w:r>
        <w:rPr>
          <w:rFonts w:hint="eastAsia" w:asciiTheme="minorEastAsia" w:hAnsiTheme="minorEastAsia" w:eastAsiaTheme="minorEastAsia" w:cstheme="minorEastAsia"/>
          <w:sz w:val="20"/>
          <w:szCs w:val="20"/>
          <w:highlight w:val="none"/>
          <w:u w:val="single"/>
        </w:rPr>
        <w:t>3.2.3</w:t>
      </w:r>
      <w:r>
        <w:rPr>
          <w:rFonts w:hint="eastAsia" w:asciiTheme="minorEastAsia" w:hAnsiTheme="minorEastAsia" w:eastAsiaTheme="minorEastAsia" w:cstheme="minorEastAsia"/>
          <w:sz w:val="20"/>
          <w:szCs w:val="20"/>
          <w:highlight w:val="none"/>
          <w:u w:val="single"/>
          <w:lang w:val="zh-CN"/>
        </w:rPr>
        <w:t xml:space="preserve"> 午、晚餐：可采用自助餐、套餐和围餐等多种用餐形式提供。围餐以一桌8-10人计，菜式不少于8种，提供热汤；套餐菜式不少于4种，提供热汤。</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u w:val="single"/>
        </w:rPr>
      </w:pPr>
      <w:r>
        <w:rPr>
          <w:rFonts w:hint="eastAsia" w:asciiTheme="minorEastAsia" w:hAnsiTheme="minorEastAsia" w:eastAsiaTheme="minorEastAsia" w:cstheme="minorEastAsia"/>
          <w:sz w:val="20"/>
          <w:szCs w:val="20"/>
          <w:highlight w:val="none"/>
          <w:u w:val="single"/>
        </w:rPr>
        <w:t>3.2.4</w:t>
      </w:r>
      <w:r>
        <w:rPr>
          <w:rFonts w:hint="eastAsia" w:asciiTheme="minorEastAsia" w:hAnsiTheme="minorEastAsia" w:eastAsiaTheme="minorEastAsia" w:cstheme="minorEastAsia"/>
          <w:sz w:val="20"/>
          <w:szCs w:val="20"/>
          <w:highlight w:val="none"/>
          <w:u w:val="single"/>
          <w:lang w:val="zh-CN"/>
        </w:rPr>
        <w:t xml:space="preserve"> 宵夜：热食类可采用自助餐、套餐和围餐等多种用餐形式提供。围餐以一桌8-10人计，菜式不少于</w:t>
      </w:r>
      <w:r>
        <w:rPr>
          <w:rFonts w:hint="eastAsia" w:asciiTheme="minorEastAsia" w:hAnsiTheme="minorEastAsia" w:eastAsiaTheme="minorEastAsia" w:cstheme="minorEastAsia"/>
          <w:sz w:val="20"/>
          <w:szCs w:val="20"/>
          <w:highlight w:val="none"/>
          <w:u w:val="single"/>
        </w:rPr>
        <w:t>4</w:t>
      </w:r>
      <w:r>
        <w:rPr>
          <w:rFonts w:hint="eastAsia" w:asciiTheme="minorEastAsia" w:hAnsiTheme="minorEastAsia" w:eastAsiaTheme="minorEastAsia" w:cstheme="minorEastAsia"/>
          <w:sz w:val="20"/>
          <w:szCs w:val="20"/>
          <w:highlight w:val="none"/>
          <w:u w:val="single"/>
          <w:lang w:val="zh-CN"/>
        </w:rPr>
        <w:t>种，套餐菜式不少于</w:t>
      </w:r>
      <w:r>
        <w:rPr>
          <w:rFonts w:hint="eastAsia" w:asciiTheme="minorEastAsia" w:hAnsiTheme="minorEastAsia" w:eastAsiaTheme="minorEastAsia" w:cstheme="minorEastAsia"/>
          <w:sz w:val="20"/>
          <w:szCs w:val="20"/>
          <w:highlight w:val="none"/>
          <w:u w:val="single"/>
        </w:rPr>
        <w:t>2</w:t>
      </w:r>
      <w:r>
        <w:rPr>
          <w:rFonts w:hint="eastAsia" w:asciiTheme="minorEastAsia" w:hAnsiTheme="minorEastAsia" w:eastAsiaTheme="minorEastAsia" w:cstheme="minorEastAsia"/>
          <w:sz w:val="20"/>
          <w:szCs w:val="20"/>
          <w:highlight w:val="none"/>
          <w:u w:val="single"/>
          <w:lang w:val="zh-CN"/>
        </w:rPr>
        <w:t>种，包括不限于粥、炒粉面、糕点等；</w:t>
      </w:r>
      <w:r>
        <w:rPr>
          <w:rFonts w:hint="eastAsia" w:asciiTheme="minorEastAsia" w:hAnsiTheme="minorEastAsia" w:eastAsiaTheme="minorEastAsia" w:cstheme="minorEastAsia"/>
          <w:sz w:val="20"/>
          <w:szCs w:val="20"/>
          <w:highlight w:val="none"/>
          <w:u w:val="single"/>
        </w:rPr>
        <w:t>轻便餐类</w:t>
      </w:r>
      <w:r>
        <w:rPr>
          <w:rFonts w:hint="eastAsia" w:asciiTheme="minorEastAsia" w:hAnsiTheme="minorEastAsia" w:eastAsiaTheme="minorEastAsia" w:cstheme="minorEastAsia"/>
          <w:sz w:val="20"/>
          <w:szCs w:val="20"/>
          <w:highlight w:val="none"/>
          <w:u w:val="single"/>
          <w:lang w:val="zh-CN"/>
        </w:rPr>
        <w:t>采用现场或送至酒店房间等方式发放餐食，</w:t>
      </w:r>
      <w:r>
        <w:rPr>
          <w:rFonts w:hint="eastAsia" w:asciiTheme="minorEastAsia" w:hAnsiTheme="minorEastAsia" w:eastAsiaTheme="minorEastAsia" w:cstheme="minorEastAsia"/>
          <w:sz w:val="20"/>
          <w:szCs w:val="20"/>
          <w:highlight w:val="none"/>
          <w:u w:val="single"/>
        </w:rPr>
        <w:t>包括但不限于方便面、袋装饼干、八宝粥、饮料等预包装食品。</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3.2.5 宵夜发放时间可根据实际情况灵活安排。</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asciiTheme="minorEastAsia" w:hAnsiTheme="minorEastAsia" w:eastAsiaTheme="minorEastAsia" w:cstheme="minorEastAsia"/>
          <w:sz w:val="20"/>
          <w:szCs w:val="20"/>
          <w:highlight w:val="none"/>
        </w:rPr>
        <w:t>3.</w:t>
      </w:r>
      <w:r>
        <w:rPr>
          <w:rFonts w:hint="eastAsia" w:asciiTheme="minorEastAsia" w:hAnsiTheme="minorEastAsia" w:eastAsiaTheme="minorEastAsia" w:cstheme="minorEastAsia"/>
          <w:sz w:val="20"/>
          <w:szCs w:val="20"/>
          <w:highlight w:val="none"/>
        </w:rPr>
        <w:t>2</w:t>
      </w:r>
      <w:r>
        <w:rPr>
          <w:rFonts w:asciiTheme="minorEastAsia" w:hAnsiTheme="minorEastAsia" w:eastAsiaTheme="minorEastAsia" w:cstheme="minorEastAsia"/>
          <w:sz w:val="20"/>
          <w:szCs w:val="20"/>
          <w:highlight w:val="none"/>
        </w:rPr>
        <w:t>.6</w:t>
      </w:r>
      <w:r>
        <w:rPr>
          <w:rFonts w:hint="eastAsia" w:asciiTheme="minorEastAsia" w:hAnsiTheme="minorEastAsia" w:eastAsiaTheme="minorEastAsia" w:cstheme="minorEastAsia"/>
          <w:sz w:val="20"/>
          <w:szCs w:val="20"/>
          <w:highlight w:val="none"/>
        </w:rPr>
        <w:t xml:space="preserve"> 应兼顾外籍旅客、素食旅客和清真餐食旅客需求调整餐饮品种。</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u w:val="single"/>
        </w:rPr>
        <w:t xml:space="preserve">3.2.7 </w:t>
      </w:r>
      <w:r>
        <w:rPr>
          <w:rFonts w:hint="eastAsia" w:asciiTheme="minorEastAsia" w:hAnsiTheme="minorEastAsia" w:eastAsiaTheme="minorEastAsia" w:cstheme="minorEastAsia"/>
          <w:sz w:val="20"/>
          <w:szCs w:val="20"/>
          <w:highlight w:val="none"/>
          <w:u w:val="single"/>
          <w:lang w:val="zh-CN"/>
        </w:rPr>
        <w:t>乙方应按不同的航班或目的站详细登记到达</w:t>
      </w:r>
      <w:r>
        <w:rPr>
          <w:rFonts w:hint="eastAsia" w:asciiTheme="minorEastAsia" w:hAnsiTheme="minorEastAsia" w:eastAsiaTheme="minorEastAsia" w:cstheme="minorEastAsia"/>
          <w:sz w:val="20"/>
          <w:szCs w:val="20"/>
          <w:highlight w:val="none"/>
          <w:u w:val="single"/>
        </w:rPr>
        <w:t>酒店</w:t>
      </w:r>
      <w:r>
        <w:rPr>
          <w:rFonts w:hint="eastAsia" w:asciiTheme="minorEastAsia" w:hAnsiTheme="minorEastAsia" w:eastAsiaTheme="minorEastAsia" w:cstheme="minorEastAsia"/>
          <w:sz w:val="20"/>
          <w:szCs w:val="20"/>
          <w:highlight w:val="none"/>
          <w:u w:val="single"/>
          <w:lang w:val="zh-CN"/>
        </w:rPr>
        <w:t>的旅客人数、日期、延误或取消原因、航班变更后的起飞时间，</w:t>
      </w:r>
      <w:r>
        <w:rPr>
          <w:rFonts w:hint="eastAsia" w:asciiTheme="minorEastAsia" w:hAnsiTheme="minorEastAsia" w:eastAsiaTheme="minorEastAsia" w:cstheme="minorEastAsia"/>
          <w:sz w:val="20"/>
          <w:szCs w:val="20"/>
          <w:highlight w:val="none"/>
          <w:lang w:val="zh-CN"/>
        </w:rPr>
        <w:t>负责组织旅客用餐。</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3.3 乙方为旅客提供的车辆服务标准如下：</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3.3.1 旅客入住酒店后如要求外出，乙方应提醒旅客发车时间，并留下联系方式，防止造成误机。</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u w:val="single"/>
          <w:lang w:val="zh-CN"/>
        </w:rPr>
      </w:pPr>
      <w:r>
        <w:rPr>
          <w:rFonts w:hint="eastAsia" w:asciiTheme="minorEastAsia" w:hAnsiTheme="minorEastAsia" w:eastAsiaTheme="minorEastAsia" w:cstheme="minorEastAsia"/>
          <w:sz w:val="20"/>
          <w:szCs w:val="20"/>
          <w:highlight w:val="none"/>
        </w:rPr>
        <w:t>3.3.2</w:t>
      </w:r>
      <w:r>
        <w:rPr>
          <w:rFonts w:hint="eastAsia" w:asciiTheme="minorEastAsia" w:hAnsiTheme="minorEastAsia" w:eastAsiaTheme="minorEastAsia" w:cstheme="minorEastAsia"/>
          <w:sz w:val="20"/>
          <w:szCs w:val="20"/>
          <w:highlight w:val="none"/>
          <w:u w:val="single"/>
        </w:rPr>
        <w:t xml:space="preserve"> 乙方应</w:t>
      </w:r>
      <w:r>
        <w:rPr>
          <w:rFonts w:hint="eastAsia" w:asciiTheme="minorEastAsia" w:hAnsiTheme="minorEastAsia" w:eastAsiaTheme="minorEastAsia" w:cstheme="minorEastAsia"/>
          <w:sz w:val="20"/>
          <w:szCs w:val="20"/>
          <w:highlight w:val="none"/>
          <w:lang w:val="zh-CN"/>
        </w:rPr>
        <w:t>通知旅客从</w:t>
      </w:r>
      <w:r>
        <w:rPr>
          <w:rFonts w:hint="eastAsia" w:asciiTheme="minorEastAsia" w:hAnsiTheme="minorEastAsia" w:eastAsiaTheme="minorEastAsia" w:cstheme="minorEastAsia"/>
          <w:sz w:val="20"/>
          <w:szCs w:val="20"/>
          <w:highlight w:val="none"/>
        </w:rPr>
        <w:t>酒店</w:t>
      </w:r>
      <w:r>
        <w:rPr>
          <w:rFonts w:hint="eastAsia" w:asciiTheme="minorEastAsia" w:hAnsiTheme="minorEastAsia" w:eastAsiaTheme="minorEastAsia" w:cstheme="minorEastAsia"/>
          <w:sz w:val="20"/>
          <w:szCs w:val="20"/>
          <w:highlight w:val="none"/>
          <w:lang w:val="zh-CN"/>
        </w:rPr>
        <w:t>前往</w:t>
      </w:r>
      <w:r>
        <w:rPr>
          <w:rFonts w:hint="eastAsia" w:asciiTheme="minorEastAsia" w:hAnsiTheme="minorEastAsia" w:eastAsiaTheme="minorEastAsia" w:cstheme="minorEastAsia"/>
          <w:sz w:val="20"/>
          <w:szCs w:val="20"/>
          <w:highlight w:val="none"/>
        </w:rPr>
        <w:t>XXXXX</w:t>
      </w:r>
      <w:r>
        <w:rPr>
          <w:rFonts w:hint="eastAsia" w:asciiTheme="minorEastAsia" w:hAnsiTheme="minorEastAsia" w:eastAsiaTheme="minorEastAsia" w:cstheme="minorEastAsia"/>
          <w:sz w:val="20"/>
          <w:szCs w:val="20"/>
          <w:highlight w:val="none"/>
          <w:lang w:val="zh-CN"/>
        </w:rPr>
        <w:t>机场班车的发车时间，组织旅客上车。乙方组织航延旅客返回候机楼必须提前与甲方</w:t>
      </w:r>
      <w:r>
        <w:rPr>
          <w:rFonts w:hint="eastAsia" w:asciiTheme="minorEastAsia" w:hAnsiTheme="minorEastAsia" w:eastAsiaTheme="minorEastAsia" w:cstheme="minorEastAsia"/>
          <w:sz w:val="20"/>
          <w:szCs w:val="20"/>
          <w:highlight w:val="none"/>
        </w:rPr>
        <w:t>进行</w:t>
      </w:r>
      <w:r>
        <w:rPr>
          <w:rFonts w:hint="eastAsia" w:asciiTheme="minorEastAsia" w:hAnsiTheme="minorEastAsia" w:eastAsiaTheme="minorEastAsia" w:cstheme="minorEastAsia"/>
          <w:sz w:val="20"/>
          <w:szCs w:val="20"/>
          <w:highlight w:val="none"/>
          <w:lang w:val="zh-CN"/>
        </w:rPr>
        <w:t>确认，在没有</w:t>
      </w:r>
      <w:r>
        <w:rPr>
          <w:rFonts w:hint="eastAsia" w:asciiTheme="minorEastAsia" w:hAnsiTheme="minorEastAsia" w:eastAsiaTheme="minorEastAsia" w:cstheme="minorEastAsia"/>
          <w:sz w:val="20"/>
          <w:szCs w:val="20"/>
          <w:highlight w:val="none"/>
        </w:rPr>
        <w:t>获得</w:t>
      </w:r>
      <w:r>
        <w:rPr>
          <w:rFonts w:hint="eastAsia" w:asciiTheme="minorEastAsia" w:hAnsiTheme="minorEastAsia" w:eastAsiaTheme="minorEastAsia" w:cstheme="minorEastAsia"/>
          <w:sz w:val="20"/>
          <w:szCs w:val="20"/>
          <w:highlight w:val="none"/>
          <w:lang w:val="zh-CN"/>
        </w:rPr>
        <w:t>甲方同意</w:t>
      </w:r>
      <w:r>
        <w:rPr>
          <w:rFonts w:hint="eastAsia" w:asciiTheme="minorEastAsia" w:hAnsiTheme="minorEastAsia" w:eastAsiaTheme="minorEastAsia" w:cstheme="minorEastAsia"/>
          <w:sz w:val="20"/>
          <w:szCs w:val="20"/>
          <w:highlight w:val="none"/>
        </w:rPr>
        <w:t>前</w:t>
      </w:r>
      <w:r>
        <w:rPr>
          <w:rFonts w:hint="eastAsia" w:asciiTheme="minorEastAsia" w:hAnsiTheme="minorEastAsia" w:eastAsiaTheme="minorEastAsia" w:cstheme="minorEastAsia"/>
          <w:sz w:val="20"/>
          <w:szCs w:val="20"/>
          <w:highlight w:val="none"/>
          <w:lang w:val="zh-CN"/>
        </w:rPr>
        <w:t>，不得擅自将旅客送回机场。</w:t>
      </w:r>
      <w:r>
        <w:rPr>
          <w:rFonts w:hint="eastAsia" w:asciiTheme="minorEastAsia" w:hAnsiTheme="minorEastAsia" w:eastAsiaTheme="minorEastAsia" w:cstheme="minorEastAsia"/>
          <w:sz w:val="20"/>
          <w:szCs w:val="20"/>
          <w:highlight w:val="none"/>
          <w:u w:val="single"/>
          <w:lang w:val="zh-CN"/>
        </w:rPr>
        <w:t>乙方</w:t>
      </w:r>
      <w:r>
        <w:rPr>
          <w:rFonts w:hint="eastAsia" w:asciiTheme="minorEastAsia" w:hAnsiTheme="minorEastAsia" w:eastAsiaTheme="minorEastAsia" w:cstheme="minorEastAsia"/>
          <w:sz w:val="20"/>
          <w:szCs w:val="20"/>
          <w:highlight w:val="none"/>
          <w:u w:val="single"/>
        </w:rPr>
        <w:t>将航延旅客送离酒店时</w:t>
      </w:r>
      <w:r>
        <w:rPr>
          <w:rFonts w:hint="eastAsia" w:asciiTheme="minorEastAsia" w:hAnsiTheme="minorEastAsia" w:eastAsiaTheme="minorEastAsia" w:cstheme="minorEastAsia"/>
          <w:sz w:val="20"/>
          <w:szCs w:val="20"/>
          <w:highlight w:val="none"/>
          <w:u w:val="single"/>
          <w:lang w:val="zh-CN"/>
        </w:rPr>
        <w:t>需</w:t>
      </w:r>
      <w:r>
        <w:rPr>
          <w:rFonts w:hint="eastAsia" w:asciiTheme="minorEastAsia" w:hAnsiTheme="minorEastAsia" w:eastAsiaTheme="minorEastAsia" w:cstheme="minorEastAsia"/>
          <w:sz w:val="20"/>
          <w:szCs w:val="20"/>
          <w:highlight w:val="none"/>
          <w:u w:val="single"/>
        </w:rPr>
        <w:t>提前</w:t>
      </w:r>
      <w:r>
        <w:rPr>
          <w:rFonts w:hint="eastAsia" w:asciiTheme="minorEastAsia" w:hAnsiTheme="minorEastAsia" w:eastAsiaTheme="minorEastAsia" w:cstheme="minorEastAsia"/>
          <w:sz w:val="20"/>
          <w:szCs w:val="20"/>
          <w:highlight w:val="none"/>
          <w:u w:val="single"/>
          <w:lang w:val="zh-CN"/>
        </w:rPr>
        <w:t>将旅客登车的人数和班车从</w:t>
      </w:r>
      <w:r>
        <w:rPr>
          <w:rFonts w:hint="eastAsia" w:asciiTheme="minorEastAsia" w:hAnsiTheme="minorEastAsia" w:eastAsiaTheme="minorEastAsia" w:cstheme="minorEastAsia"/>
          <w:sz w:val="20"/>
          <w:szCs w:val="20"/>
          <w:highlight w:val="none"/>
          <w:u w:val="single"/>
        </w:rPr>
        <w:t>酒店</w:t>
      </w:r>
      <w:r>
        <w:rPr>
          <w:rFonts w:hint="eastAsia" w:asciiTheme="minorEastAsia" w:hAnsiTheme="minorEastAsia" w:eastAsiaTheme="minorEastAsia" w:cstheme="minorEastAsia"/>
          <w:sz w:val="20"/>
          <w:szCs w:val="20"/>
          <w:highlight w:val="none"/>
          <w:u w:val="single"/>
          <w:lang w:val="zh-CN"/>
        </w:rPr>
        <w:t>发出的时间</w:t>
      </w:r>
      <w:r>
        <w:rPr>
          <w:rFonts w:hint="eastAsia" w:asciiTheme="minorEastAsia" w:hAnsiTheme="minorEastAsia" w:eastAsiaTheme="minorEastAsia" w:cstheme="minorEastAsia"/>
          <w:sz w:val="20"/>
          <w:szCs w:val="20"/>
          <w:highlight w:val="none"/>
          <w:u w:val="single"/>
        </w:rPr>
        <w:t>以电话、微信等方式</w:t>
      </w:r>
      <w:r>
        <w:rPr>
          <w:rFonts w:hint="eastAsia" w:asciiTheme="minorEastAsia" w:hAnsiTheme="minorEastAsia" w:eastAsiaTheme="minorEastAsia" w:cstheme="minorEastAsia"/>
          <w:sz w:val="20"/>
          <w:szCs w:val="20"/>
          <w:highlight w:val="none"/>
          <w:u w:val="single"/>
          <w:lang w:val="zh-CN"/>
        </w:rPr>
        <w:t>通知甲方。</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3.3.3 乙方工作人员及其车辆须根据甲方中转、航延业务需要（住宿柜台全天24小时运行），保障旅客住宿需求，服从甲方业务部门工作人员的统一调配。</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rPr>
        <w:t>3.3.4 建议乙方接送旅客车辆安装卫星定位汽车行驶记录仪（即GPS）以及车内摄像头,以便甲方能够随时监控乙方车辆的行车状况。</w:t>
      </w:r>
    </w:p>
    <w:p>
      <w:pPr>
        <w:pStyle w:val="9"/>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rPr>
        <w:t>3.4 甲方将对乙方进行监督管理，乙方应予以配合，具体如下：</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3.4.1 </w:t>
      </w:r>
      <w:r>
        <w:rPr>
          <w:rFonts w:hint="eastAsia" w:asciiTheme="minorEastAsia" w:hAnsiTheme="minorEastAsia" w:eastAsiaTheme="minorEastAsia" w:cstheme="minorEastAsia"/>
          <w:sz w:val="20"/>
          <w:szCs w:val="20"/>
          <w:highlight w:val="none"/>
          <w:lang w:val="zh-CN"/>
        </w:rPr>
        <w:t>甲方将对乙方硬件条件、服务质量、</w:t>
      </w:r>
      <w:r>
        <w:rPr>
          <w:rFonts w:hint="eastAsia" w:asciiTheme="minorEastAsia" w:hAnsiTheme="minorEastAsia" w:eastAsiaTheme="minorEastAsia" w:cstheme="minorEastAsia"/>
          <w:sz w:val="20"/>
          <w:szCs w:val="20"/>
          <w:highlight w:val="none"/>
        </w:rPr>
        <w:t>安全</w:t>
      </w:r>
      <w:r>
        <w:rPr>
          <w:rFonts w:hint="eastAsia" w:asciiTheme="minorEastAsia" w:hAnsiTheme="minorEastAsia" w:eastAsiaTheme="minorEastAsia" w:cstheme="minorEastAsia"/>
          <w:sz w:val="20"/>
          <w:szCs w:val="20"/>
          <w:highlight w:val="none"/>
          <w:lang w:val="zh-CN"/>
        </w:rPr>
        <w:t>情况（</w:t>
      </w:r>
      <w:r>
        <w:rPr>
          <w:rFonts w:hint="eastAsia" w:asciiTheme="minorEastAsia" w:hAnsiTheme="minorEastAsia" w:eastAsiaTheme="minorEastAsia" w:cstheme="minorEastAsia"/>
          <w:sz w:val="20"/>
          <w:szCs w:val="20"/>
          <w:highlight w:val="none"/>
        </w:rPr>
        <w:t>消防安全、食品安全、车辆安全</w:t>
      </w:r>
      <w:r>
        <w:rPr>
          <w:rFonts w:hint="eastAsia" w:asciiTheme="minorEastAsia" w:hAnsiTheme="minorEastAsia" w:eastAsiaTheme="minorEastAsia" w:cstheme="minorEastAsia"/>
          <w:sz w:val="20"/>
          <w:szCs w:val="20"/>
          <w:highlight w:val="none"/>
          <w:lang w:val="zh-CN"/>
        </w:rPr>
        <w:t>）</w:t>
      </w:r>
      <w:r>
        <w:rPr>
          <w:rFonts w:hint="eastAsia" w:asciiTheme="minorEastAsia" w:hAnsiTheme="minorEastAsia" w:eastAsiaTheme="minorEastAsia" w:cstheme="minorEastAsia"/>
          <w:sz w:val="20"/>
          <w:szCs w:val="20"/>
          <w:highlight w:val="none"/>
        </w:rPr>
        <w:t>等进行</w:t>
      </w:r>
      <w:r>
        <w:rPr>
          <w:rFonts w:hint="eastAsia" w:asciiTheme="minorEastAsia" w:hAnsiTheme="minorEastAsia" w:eastAsiaTheme="minorEastAsia" w:cstheme="minorEastAsia"/>
          <w:sz w:val="20"/>
          <w:szCs w:val="20"/>
          <w:highlight w:val="none"/>
          <w:lang w:val="zh-CN"/>
        </w:rPr>
        <w:t>定期检查与考核。如乙方硬件条件、服务质量、</w:t>
      </w:r>
      <w:r>
        <w:rPr>
          <w:rFonts w:hint="eastAsia" w:asciiTheme="minorEastAsia" w:hAnsiTheme="minorEastAsia" w:eastAsiaTheme="minorEastAsia" w:cstheme="minorEastAsia"/>
          <w:sz w:val="20"/>
          <w:szCs w:val="20"/>
          <w:highlight w:val="none"/>
        </w:rPr>
        <w:t>安全</w:t>
      </w:r>
      <w:r>
        <w:rPr>
          <w:rFonts w:hint="eastAsia" w:asciiTheme="minorEastAsia" w:hAnsiTheme="minorEastAsia" w:eastAsiaTheme="minorEastAsia" w:cstheme="minorEastAsia"/>
          <w:sz w:val="20"/>
          <w:szCs w:val="20"/>
          <w:highlight w:val="none"/>
          <w:lang w:val="zh-CN"/>
        </w:rPr>
        <w:t>情况</w:t>
      </w:r>
      <w:r>
        <w:rPr>
          <w:rFonts w:hint="eastAsia" w:asciiTheme="minorEastAsia" w:hAnsiTheme="minorEastAsia" w:eastAsiaTheme="minorEastAsia" w:cstheme="minorEastAsia"/>
          <w:sz w:val="20"/>
          <w:szCs w:val="20"/>
          <w:highlight w:val="none"/>
        </w:rPr>
        <w:t>等</w:t>
      </w:r>
      <w:r>
        <w:rPr>
          <w:rFonts w:hint="eastAsia" w:asciiTheme="minorEastAsia" w:hAnsiTheme="minorEastAsia" w:eastAsiaTheme="minorEastAsia" w:cstheme="minorEastAsia"/>
          <w:sz w:val="20"/>
          <w:szCs w:val="20"/>
          <w:highlight w:val="none"/>
          <w:lang w:val="zh-CN"/>
        </w:rPr>
        <w:t>达不到双方约定之标准</w:t>
      </w:r>
      <w:r>
        <w:rPr>
          <w:rFonts w:hint="eastAsia" w:asciiTheme="minorEastAsia" w:hAnsiTheme="minorEastAsia" w:eastAsiaTheme="minorEastAsia" w:cstheme="minorEastAsia"/>
          <w:sz w:val="20"/>
          <w:szCs w:val="20"/>
          <w:highlight w:val="none"/>
        </w:rPr>
        <w:t>的</w:t>
      </w:r>
      <w:r>
        <w:rPr>
          <w:rFonts w:hint="eastAsia" w:asciiTheme="minorEastAsia" w:hAnsiTheme="minorEastAsia" w:eastAsiaTheme="minorEastAsia" w:cstheme="minorEastAsia"/>
          <w:sz w:val="20"/>
          <w:szCs w:val="20"/>
          <w:highlight w:val="none"/>
          <w:lang w:val="zh-CN"/>
        </w:rPr>
        <w:t>，甲方有权</w:t>
      </w:r>
      <w:r>
        <w:rPr>
          <w:rFonts w:hint="eastAsia" w:asciiTheme="minorEastAsia" w:hAnsiTheme="minorEastAsia" w:eastAsiaTheme="minorEastAsia" w:cstheme="minorEastAsia"/>
          <w:sz w:val="20"/>
          <w:szCs w:val="20"/>
          <w:highlight w:val="none"/>
        </w:rPr>
        <w:t xml:space="preserve">按照  </w:t>
      </w:r>
      <w:r>
        <w:rPr>
          <w:rFonts w:hint="eastAsia" w:asciiTheme="minorEastAsia" w:hAnsiTheme="minorEastAsia" w:eastAsiaTheme="minorEastAsia" w:cstheme="minorEastAsia"/>
          <w:sz w:val="20"/>
          <w:szCs w:val="20"/>
          <w:highlight w:val="none"/>
          <w:u w:val="single"/>
        </w:rPr>
        <w:t xml:space="preserve">附件4  </w:t>
      </w:r>
      <w:r>
        <w:rPr>
          <w:rFonts w:hint="eastAsia" w:asciiTheme="minorEastAsia" w:hAnsiTheme="minorEastAsia" w:eastAsiaTheme="minorEastAsia" w:cstheme="minorEastAsia"/>
          <w:sz w:val="20"/>
          <w:szCs w:val="20"/>
          <w:highlight w:val="none"/>
        </w:rPr>
        <w:t>等规章制度对乙方进行处理。</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rPr>
        <w:t xml:space="preserve">3.4.2  </w:t>
      </w:r>
      <w:r>
        <w:rPr>
          <w:rFonts w:hint="eastAsia" w:asciiTheme="minorEastAsia" w:hAnsiTheme="minorEastAsia" w:eastAsiaTheme="minorEastAsia" w:cstheme="minorEastAsia"/>
          <w:sz w:val="20"/>
          <w:szCs w:val="20"/>
          <w:highlight w:val="none"/>
          <w:lang w:val="zh-CN"/>
        </w:rPr>
        <w:t>甲方向乙方提出有关服务质量存在的问题，乙方应及时查明情况予以答复，并限期整改提升。因乙方酒店硬件设施、餐食、服务质量等原因造成旅客投诉的，甲方有权约谈乙方主要负责人，重申服务要求，并</w:t>
      </w:r>
      <w:r>
        <w:rPr>
          <w:rFonts w:hint="eastAsia" w:asciiTheme="minorEastAsia" w:hAnsiTheme="minorEastAsia" w:eastAsiaTheme="minorEastAsia" w:cstheme="minorEastAsia"/>
          <w:sz w:val="20"/>
          <w:szCs w:val="20"/>
          <w:highlight w:val="none"/>
        </w:rPr>
        <w:t xml:space="preserve">按照  </w:t>
      </w:r>
      <w:r>
        <w:rPr>
          <w:rFonts w:hint="eastAsia" w:asciiTheme="minorEastAsia" w:hAnsiTheme="minorEastAsia" w:eastAsiaTheme="minorEastAsia" w:cstheme="minorEastAsia"/>
          <w:sz w:val="20"/>
          <w:szCs w:val="20"/>
          <w:highlight w:val="none"/>
          <w:u w:val="single"/>
        </w:rPr>
        <w:t xml:space="preserve">附件4  </w:t>
      </w:r>
      <w:r>
        <w:rPr>
          <w:rFonts w:hint="eastAsia" w:asciiTheme="minorEastAsia" w:hAnsiTheme="minorEastAsia" w:eastAsiaTheme="minorEastAsia" w:cstheme="minorEastAsia"/>
          <w:sz w:val="20"/>
          <w:szCs w:val="20"/>
          <w:highlight w:val="none"/>
        </w:rPr>
        <w:t>对乙方进行整改处理</w:t>
      </w:r>
      <w:r>
        <w:rPr>
          <w:rFonts w:hint="eastAsia" w:asciiTheme="minorEastAsia" w:hAnsiTheme="minorEastAsia" w:eastAsiaTheme="minorEastAsia" w:cstheme="minorEastAsia"/>
          <w:sz w:val="20"/>
          <w:szCs w:val="20"/>
          <w:highlight w:val="none"/>
          <w:lang w:val="zh-CN"/>
        </w:rPr>
        <w:t>。如乙方</w:t>
      </w:r>
      <w:r>
        <w:rPr>
          <w:rFonts w:hint="eastAsia" w:asciiTheme="minorEastAsia" w:hAnsiTheme="minorEastAsia" w:eastAsiaTheme="minorEastAsia" w:cstheme="minorEastAsia"/>
          <w:sz w:val="20"/>
          <w:szCs w:val="20"/>
          <w:highlight w:val="none"/>
        </w:rPr>
        <w:t>整改不到位的，甲方有权延长整改期限；乙方</w:t>
      </w:r>
      <w:r>
        <w:rPr>
          <w:rFonts w:hint="eastAsia" w:asciiTheme="minorEastAsia" w:hAnsiTheme="minorEastAsia" w:eastAsiaTheme="minorEastAsia" w:cstheme="minorEastAsia"/>
          <w:sz w:val="20"/>
          <w:szCs w:val="20"/>
          <w:highlight w:val="none"/>
          <w:lang w:val="zh-CN"/>
        </w:rPr>
        <w:t>逾期未整改的</w:t>
      </w:r>
      <w:r>
        <w:rPr>
          <w:rFonts w:hint="eastAsia" w:asciiTheme="minorEastAsia" w:hAnsiTheme="minorEastAsia" w:eastAsiaTheme="minorEastAsia" w:cstheme="minorEastAsia"/>
          <w:b/>
          <w:sz w:val="20"/>
          <w:szCs w:val="20"/>
          <w:highlight w:val="none"/>
          <w:lang w:val="zh-CN"/>
        </w:rPr>
        <w:t>，</w:t>
      </w:r>
      <w:r>
        <w:rPr>
          <w:rFonts w:hint="eastAsia" w:asciiTheme="minorEastAsia" w:hAnsiTheme="minorEastAsia" w:eastAsiaTheme="minorEastAsia" w:cstheme="minorEastAsia"/>
          <w:sz w:val="20"/>
          <w:szCs w:val="20"/>
          <w:highlight w:val="none"/>
          <w:lang w:val="zh-CN"/>
        </w:rPr>
        <w:t>甲方有权单方面终止</w:t>
      </w:r>
      <w:r>
        <w:rPr>
          <w:rFonts w:hint="eastAsia" w:asciiTheme="minorEastAsia" w:hAnsiTheme="minorEastAsia" w:eastAsiaTheme="minorEastAsia" w:cstheme="minorEastAsia"/>
          <w:sz w:val="20"/>
          <w:szCs w:val="20"/>
          <w:highlight w:val="none"/>
        </w:rPr>
        <w:t>本</w:t>
      </w:r>
      <w:r>
        <w:rPr>
          <w:rFonts w:hint="eastAsia" w:asciiTheme="minorEastAsia" w:hAnsiTheme="minorEastAsia" w:eastAsiaTheme="minorEastAsia" w:cstheme="minorEastAsia"/>
          <w:sz w:val="20"/>
          <w:szCs w:val="20"/>
          <w:highlight w:val="none"/>
          <w:lang w:val="zh-CN"/>
        </w:rPr>
        <w:t>协议。</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3.4.3 因甲方责任造成旅客的投诉，乙方无需承担相应责任，但仍需要协助配合甲方对旅客投诉的问题进行调查取证工作。</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3.5 乙方为甲方住宿人员提供以下增值服务：</w:t>
      </w:r>
    </w:p>
    <w:p>
      <w:pPr>
        <w:widowControl/>
        <w:autoSpaceDE w:val="0"/>
        <w:autoSpaceDN w:val="0"/>
        <w:adjustRightInd w:val="0"/>
        <w:snapToGrid w:val="0"/>
        <w:spacing w:line="440" w:lineRule="exact"/>
        <w:ind w:firstLine="400" w:firstLineChars="200"/>
        <w:rPr>
          <w:rFonts w:hint="eastAsia" w:asciiTheme="minorEastAsia" w:hAnsiTheme="minorEastAsia" w:eastAsiaTheme="minorEastAsia" w:cstheme="minorEastAsia"/>
          <w:b/>
          <w:bCs/>
          <w:sz w:val="18"/>
          <w:szCs w:val="18"/>
          <w:highlight w:val="none"/>
        </w:rPr>
      </w:pPr>
      <w:r>
        <w:rPr>
          <w:rFonts w:hint="eastAsia" w:asciiTheme="minorEastAsia" w:hAnsiTheme="minorEastAsia" w:eastAsiaTheme="minorEastAsia" w:cstheme="minorEastAsia"/>
          <w:sz w:val="20"/>
          <w:szCs w:val="20"/>
          <w:highlight w:val="none"/>
        </w:rPr>
        <w:t xml:space="preserve">根据供应商响应/承诺内容签订在合同中。  </w:t>
      </w:r>
    </w:p>
    <w:p>
      <w:pPr>
        <w:widowControl/>
        <w:rPr>
          <w:highlight w:val="none"/>
        </w:rPr>
      </w:pPr>
    </w:p>
    <w:p>
      <w:pPr>
        <w:widowControl/>
        <w:ind w:firstLine="402" w:firstLineChars="200"/>
        <w:rPr>
          <w:rFonts w:hint="eastAsia" w:asciiTheme="minorEastAsia" w:hAnsiTheme="minorEastAsia" w:eastAsiaTheme="minorEastAsia" w:cstheme="minorEastAsia"/>
          <w:b/>
          <w:bCs/>
          <w:sz w:val="20"/>
          <w:szCs w:val="20"/>
          <w:highlight w:val="none"/>
        </w:rPr>
      </w:pPr>
      <w:r>
        <w:rPr>
          <w:rFonts w:hint="eastAsia" w:asciiTheme="minorEastAsia" w:hAnsiTheme="minorEastAsia" w:eastAsiaTheme="minorEastAsia" w:cstheme="minorEastAsia"/>
          <w:b/>
          <w:bCs/>
          <w:sz w:val="20"/>
          <w:szCs w:val="20"/>
          <w:highlight w:val="none"/>
        </w:rPr>
        <w:t>第四条  财务结算</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u w:val="single"/>
          <w:lang w:val="zh-CN"/>
        </w:rPr>
      </w:pPr>
      <w:r>
        <w:rPr>
          <w:rFonts w:hint="eastAsia" w:asciiTheme="minorEastAsia" w:hAnsiTheme="minorEastAsia" w:eastAsiaTheme="minorEastAsia" w:cstheme="minorEastAsia"/>
          <w:sz w:val="20"/>
          <w:szCs w:val="20"/>
          <w:highlight w:val="none"/>
          <w:u w:val="single"/>
          <w:lang w:val="zh-CN"/>
        </w:rPr>
        <w:t xml:space="preserve">4.1 </w:t>
      </w:r>
      <w:r>
        <w:rPr>
          <w:rFonts w:hint="eastAsia" w:asciiTheme="minorEastAsia" w:hAnsiTheme="minorEastAsia" w:eastAsiaTheme="minorEastAsia" w:cstheme="minorEastAsia"/>
          <w:sz w:val="20"/>
          <w:szCs w:val="20"/>
          <w:highlight w:val="none"/>
          <w:u w:val="single"/>
        </w:rPr>
        <w:t>双方</w:t>
      </w:r>
      <w:r>
        <w:rPr>
          <w:rFonts w:hint="eastAsia" w:asciiTheme="minorEastAsia" w:hAnsiTheme="minorEastAsia" w:eastAsiaTheme="minorEastAsia" w:cstheme="minorEastAsia"/>
          <w:sz w:val="20"/>
          <w:szCs w:val="20"/>
          <w:highlight w:val="none"/>
          <w:u w:val="single"/>
          <w:lang w:val="zh-CN"/>
        </w:rPr>
        <w:t>以“坤翔系统酒店管理板块有效旅客入住记录”（电子或手工账单）或双方协定的其他结算所需补充资料作为结算凭证</w:t>
      </w:r>
      <w:r>
        <w:rPr>
          <w:rFonts w:hint="eastAsia" w:asciiTheme="minorEastAsia" w:hAnsiTheme="minorEastAsia" w:eastAsiaTheme="minorEastAsia" w:cstheme="minorEastAsia"/>
          <w:b/>
          <w:sz w:val="20"/>
          <w:szCs w:val="20"/>
          <w:highlight w:val="none"/>
          <w:u w:val="single"/>
          <w:lang w:val="zh-CN"/>
        </w:rPr>
        <w:t>（具体</w:t>
      </w:r>
      <w:r>
        <w:rPr>
          <w:rFonts w:hint="eastAsia" w:asciiTheme="minorEastAsia" w:hAnsiTheme="minorEastAsia" w:eastAsiaTheme="minorEastAsia" w:cstheme="minorEastAsia"/>
          <w:b/>
          <w:sz w:val="20"/>
          <w:szCs w:val="20"/>
          <w:highlight w:val="none"/>
          <w:u w:val="single"/>
        </w:rPr>
        <w:t>详</w:t>
      </w:r>
      <w:r>
        <w:rPr>
          <w:rFonts w:hint="eastAsia" w:asciiTheme="minorEastAsia" w:hAnsiTheme="minorEastAsia" w:eastAsiaTheme="minorEastAsia" w:cstheme="minorEastAsia"/>
          <w:b/>
          <w:sz w:val="20"/>
          <w:szCs w:val="20"/>
          <w:highlight w:val="none"/>
          <w:u w:val="single"/>
          <w:lang w:val="zh-CN"/>
        </w:rPr>
        <w:t>见附件</w:t>
      </w:r>
      <w:r>
        <w:rPr>
          <w:rFonts w:hint="eastAsia" w:asciiTheme="minorEastAsia" w:hAnsiTheme="minorEastAsia" w:eastAsiaTheme="minorEastAsia" w:cstheme="minorEastAsia"/>
          <w:b/>
          <w:sz w:val="20"/>
          <w:szCs w:val="20"/>
          <w:highlight w:val="none"/>
          <w:u w:val="single"/>
        </w:rPr>
        <w:t>1</w:t>
      </w:r>
      <w:r>
        <w:rPr>
          <w:rFonts w:hint="eastAsia" w:asciiTheme="minorEastAsia" w:hAnsiTheme="minorEastAsia" w:eastAsiaTheme="minorEastAsia" w:cstheme="minorEastAsia"/>
          <w:b/>
          <w:sz w:val="20"/>
          <w:szCs w:val="20"/>
          <w:highlight w:val="none"/>
          <w:u w:val="single"/>
          <w:lang w:val="zh-CN"/>
        </w:rPr>
        <w:t>）。</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u w:val="single"/>
          <w:lang w:val="zh-CN"/>
        </w:rPr>
        <w:t>4.2 乙方须于次月8日前向甲方提交</w:t>
      </w:r>
      <w:r>
        <w:rPr>
          <w:rFonts w:hint="eastAsia" w:asciiTheme="minorEastAsia" w:hAnsiTheme="minorEastAsia" w:eastAsiaTheme="minorEastAsia" w:cstheme="minorEastAsia"/>
          <w:sz w:val="20"/>
          <w:szCs w:val="20"/>
          <w:highlight w:val="none"/>
          <w:u w:val="single"/>
        </w:rPr>
        <w:t>上月</w:t>
      </w:r>
      <w:r>
        <w:rPr>
          <w:rFonts w:hint="eastAsia" w:asciiTheme="minorEastAsia" w:hAnsiTheme="minorEastAsia" w:eastAsiaTheme="minorEastAsia" w:cstheme="minorEastAsia"/>
          <w:sz w:val="20"/>
          <w:szCs w:val="20"/>
          <w:highlight w:val="none"/>
          <w:u w:val="single"/>
          <w:lang w:val="zh-CN"/>
        </w:rPr>
        <w:t>结算单据</w:t>
      </w:r>
      <w:r>
        <w:rPr>
          <w:rFonts w:hint="eastAsia" w:asciiTheme="minorEastAsia" w:hAnsiTheme="minorEastAsia" w:eastAsiaTheme="minorEastAsia" w:cstheme="minorEastAsia"/>
          <w:sz w:val="20"/>
          <w:szCs w:val="20"/>
          <w:highlight w:val="none"/>
          <w:u w:val="single"/>
          <w:lang w:val="zh-CN" w:bidi="ar"/>
        </w:rPr>
        <w:t>（含各项结算附件、结算单、发票等必要结算单据）</w:t>
      </w:r>
      <w:r>
        <w:rPr>
          <w:rFonts w:hint="eastAsia" w:asciiTheme="minorEastAsia" w:hAnsiTheme="minorEastAsia" w:eastAsiaTheme="minorEastAsia" w:cstheme="minorEastAsia"/>
          <w:sz w:val="20"/>
          <w:szCs w:val="20"/>
          <w:highlight w:val="none"/>
          <w:u w:val="single"/>
          <w:lang w:val="zh-CN"/>
        </w:rPr>
        <w:t>，</w:t>
      </w:r>
      <w:r>
        <w:rPr>
          <w:rFonts w:hint="eastAsia" w:asciiTheme="minorEastAsia" w:hAnsiTheme="minorEastAsia" w:eastAsiaTheme="minorEastAsia" w:cstheme="minorEastAsia"/>
          <w:sz w:val="20"/>
          <w:szCs w:val="20"/>
          <w:highlight w:val="none"/>
          <w:u w:val="single"/>
          <w:lang w:val="zh-CN" w:bidi="ar"/>
        </w:rPr>
        <w:t>甲方收到</w:t>
      </w:r>
      <w:r>
        <w:rPr>
          <w:rFonts w:hint="eastAsia" w:asciiTheme="minorEastAsia" w:hAnsiTheme="minorEastAsia" w:eastAsiaTheme="minorEastAsia" w:cstheme="minorEastAsia"/>
          <w:sz w:val="20"/>
          <w:szCs w:val="20"/>
          <w:highlight w:val="none"/>
          <w:u w:val="single"/>
          <w:lang w:bidi="ar"/>
        </w:rPr>
        <w:t>并</w:t>
      </w:r>
      <w:r>
        <w:rPr>
          <w:rFonts w:hint="eastAsia" w:asciiTheme="minorEastAsia" w:hAnsiTheme="minorEastAsia" w:eastAsiaTheme="minorEastAsia" w:cstheme="minorEastAsia"/>
          <w:sz w:val="20"/>
          <w:szCs w:val="20"/>
          <w:highlight w:val="none"/>
          <w:u w:val="single"/>
          <w:lang w:val="zh-CN" w:bidi="ar"/>
        </w:rPr>
        <w:t>经审核无误后，于收到</w:t>
      </w:r>
      <w:r>
        <w:rPr>
          <w:rFonts w:hint="eastAsia" w:asciiTheme="minorEastAsia" w:hAnsiTheme="minorEastAsia" w:eastAsiaTheme="minorEastAsia" w:cstheme="minorEastAsia"/>
          <w:sz w:val="20"/>
          <w:szCs w:val="20"/>
          <w:highlight w:val="none"/>
          <w:u w:val="single"/>
          <w:lang w:bidi="ar"/>
        </w:rPr>
        <w:t>前述结算单据后</w:t>
      </w:r>
      <w:r>
        <w:rPr>
          <w:rFonts w:hint="eastAsia" w:asciiTheme="minorEastAsia" w:hAnsiTheme="minorEastAsia" w:eastAsiaTheme="minorEastAsia" w:cstheme="minorEastAsia"/>
          <w:sz w:val="20"/>
          <w:szCs w:val="20"/>
          <w:highlight w:val="none"/>
          <w:u w:val="single"/>
          <w:lang w:val="zh-CN" w:bidi="ar"/>
        </w:rPr>
        <w:t>60日内支付服务费。乙方如符合国家税务总局或地方税务局免税相关政策的，乙方应扣减其税务局核准的税率税费后提供增值税普通发票。</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lang w:val="zh-CN"/>
        </w:rPr>
        <w:t>4.</w:t>
      </w:r>
      <w:r>
        <w:rPr>
          <w:rFonts w:hint="eastAsia" w:asciiTheme="minorEastAsia" w:hAnsiTheme="minorEastAsia" w:eastAsiaTheme="minorEastAsia" w:cstheme="minorEastAsia"/>
          <w:sz w:val="20"/>
          <w:szCs w:val="20"/>
          <w:highlight w:val="none"/>
        </w:rPr>
        <w:t>3</w:t>
      </w:r>
      <w:r>
        <w:rPr>
          <w:rFonts w:hint="eastAsia" w:asciiTheme="minorEastAsia" w:hAnsiTheme="minorEastAsia" w:eastAsiaTheme="minorEastAsia" w:cstheme="minorEastAsia"/>
          <w:sz w:val="20"/>
          <w:szCs w:val="20"/>
          <w:highlight w:val="none"/>
          <w:lang w:val="zh-CN"/>
        </w:rPr>
        <w:t xml:space="preserve"> 前述结算过程中，乙方须严格按照甲方要求提供相关结算账单及发票；</w:t>
      </w:r>
      <w:r>
        <w:rPr>
          <w:rFonts w:hint="eastAsia" w:asciiTheme="minorEastAsia" w:hAnsiTheme="minorEastAsia" w:eastAsiaTheme="minorEastAsia" w:cstheme="minorEastAsia"/>
          <w:sz w:val="20"/>
          <w:szCs w:val="20"/>
          <w:highlight w:val="none"/>
        </w:rPr>
        <w:t>任意一项不符合要求，甲方将退回</w:t>
      </w:r>
      <w:r>
        <w:rPr>
          <w:rFonts w:hint="eastAsia" w:asciiTheme="minorEastAsia" w:hAnsiTheme="minorEastAsia" w:eastAsiaTheme="minorEastAsia" w:cstheme="minorEastAsia"/>
          <w:sz w:val="20"/>
          <w:szCs w:val="20"/>
          <w:highlight w:val="none"/>
          <w:lang w:val="zh-CN"/>
        </w:rPr>
        <w:t>，乙方须补齐后提交甲方重新审核，甲方不承担因此造成延迟付款的责任。</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u w:val="single"/>
        </w:rPr>
      </w:pPr>
      <w:r>
        <w:rPr>
          <w:rFonts w:hint="eastAsia" w:asciiTheme="minorEastAsia" w:hAnsiTheme="minorEastAsia" w:eastAsiaTheme="minorEastAsia" w:cstheme="minorEastAsia"/>
          <w:sz w:val="20"/>
          <w:szCs w:val="20"/>
          <w:highlight w:val="none"/>
          <w:u w:val="single"/>
          <w:lang w:val="zh-CN"/>
        </w:rPr>
        <w:t>4.</w:t>
      </w:r>
      <w:r>
        <w:rPr>
          <w:rFonts w:hint="eastAsia" w:asciiTheme="minorEastAsia" w:hAnsiTheme="minorEastAsia" w:eastAsiaTheme="minorEastAsia" w:cstheme="minorEastAsia"/>
          <w:sz w:val="20"/>
          <w:szCs w:val="20"/>
          <w:highlight w:val="none"/>
          <w:u w:val="single"/>
        </w:rPr>
        <w:t>4</w:t>
      </w:r>
      <w:r>
        <w:rPr>
          <w:rFonts w:hint="eastAsia" w:asciiTheme="minorEastAsia" w:hAnsiTheme="minorEastAsia" w:eastAsiaTheme="minorEastAsia" w:cstheme="minorEastAsia"/>
          <w:sz w:val="20"/>
          <w:szCs w:val="20"/>
          <w:highlight w:val="none"/>
          <w:u w:val="single"/>
          <w:lang w:val="zh-CN"/>
        </w:rPr>
        <w:t xml:space="preserve"> </w:t>
      </w:r>
      <w:r>
        <w:rPr>
          <w:rFonts w:hint="eastAsia" w:asciiTheme="minorEastAsia" w:hAnsiTheme="minorEastAsia" w:eastAsiaTheme="minorEastAsia" w:cstheme="minorEastAsia"/>
          <w:sz w:val="20"/>
          <w:szCs w:val="20"/>
          <w:highlight w:val="none"/>
          <w:u w:val="single"/>
        </w:rPr>
        <w:t>如乙方有违约情况，双</w:t>
      </w:r>
      <w:r>
        <w:rPr>
          <w:rFonts w:hint="eastAsia" w:asciiTheme="minorEastAsia" w:hAnsiTheme="minorEastAsia" w:eastAsiaTheme="minorEastAsia" w:cstheme="minorEastAsia"/>
          <w:sz w:val="20"/>
          <w:szCs w:val="20"/>
          <w:highlight w:val="none"/>
          <w:u w:val="single"/>
          <w:lang w:val="zh-CN"/>
        </w:rPr>
        <w:t>方对违约</w:t>
      </w:r>
      <w:r>
        <w:rPr>
          <w:rFonts w:hint="eastAsia" w:asciiTheme="minorEastAsia" w:hAnsiTheme="minorEastAsia" w:eastAsiaTheme="minorEastAsia" w:cstheme="minorEastAsia"/>
          <w:sz w:val="20"/>
          <w:szCs w:val="20"/>
          <w:highlight w:val="none"/>
          <w:u w:val="single"/>
        </w:rPr>
        <w:t>情况</w:t>
      </w:r>
      <w:r>
        <w:rPr>
          <w:rFonts w:hint="eastAsia" w:asciiTheme="minorEastAsia" w:hAnsiTheme="minorEastAsia" w:eastAsiaTheme="minorEastAsia" w:cstheme="minorEastAsia"/>
          <w:sz w:val="20"/>
          <w:szCs w:val="20"/>
          <w:highlight w:val="none"/>
          <w:u w:val="single"/>
          <w:lang w:val="zh-CN"/>
        </w:rPr>
        <w:t>签字确认</w:t>
      </w:r>
      <w:r>
        <w:rPr>
          <w:rFonts w:hint="eastAsia" w:asciiTheme="minorEastAsia" w:hAnsiTheme="minorEastAsia" w:eastAsiaTheme="minorEastAsia" w:cstheme="minorEastAsia"/>
          <w:sz w:val="20"/>
          <w:szCs w:val="20"/>
          <w:highlight w:val="none"/>
          <w:u w:val="single"/>
        </w:rPr>
        <w:t>后</w:t>
      </w:r>
      <w:r>
        <w:rPr>
          <w:rFonts w:hint="eastAsia" w:asciiTheme="minorEastAsia" w:hAnsiTheme="minorEastAsia" w:eastAsiaTheme="minorEastAsia" w:cstheme="minorEastAsia"/>
          <w:sz w:val="20"/>
          <w:szCs w:val="20"/>
          <w:highlight w:val="none"/>
          <w:u w:val="single"/>
          <w:lang w:val="zh-CN"/>
        </w:rPr>
        <w:t>，</w:t>
      </w:r>
      <w:r>
        <w:rPr>
          <w:rFonts w:hint="eastAsia" w:asciiTheme="minorEastAsia" w:hAnsiTheme="minorEastAsia" w:eastAsiaTheme="minorEastAsia" w:cstheme="minorEastAsia"/>
          <w:sz w:val="20"/>
          <w:szCs w:val="20"/>
          <w:highlight w:val="none"/>
          <w:u w:val="single"/>
        </w:rPr>
        <w:t>甲方有权按本协议约定的违约责任在当期应付款项中直接扣除违约金或者赔偿金（</w:t>
      </w:r>
      <w:r>
        <w:rPr>
          <w:rFonts w:hint="eastAsia" w:asciiTheme="minorEastAsia" w:hAnsiTheme="minorEastAsia" w:eastAsiaTheme="minorEastAsia" w:cstheme="minorEastAsia"/>
          <w:sz w:val="20"/>
          <w:szCs w:val="20"/>
          <w:highlight w:val="none"/>
          <w:u w:val="single"/>
          <w:lang w:val="zh-CN"/>
        </w:rPr>
        <w:t>因</w:t>
      </w:r>
      <w:r>
        <w:rPr>
          <w:rFonts w:hint="eastAsia" w:asciiTheme="minorEastAsia" w:hAnsiTheme="minorEastAsia" w:eastAsiaTheme="minorEastAsia" w:cstheme="minorEastAsia"/>
          <w:sz w:val="20"/>
          <w:szCs w:val="20"/>
          <w:highlight w:val="none"/>
          <w:u w:val="single"/>
        </w:rPr>
        <w:t>承担</w:t>
      </w:r>
      <w:r>
        <w:rPr>
          <w:rFonts w:hint="eastAsia" w:asciiTheme="minorEastAsia" w:hAnsiTheme="minorEastAsia" w:eastAsiaTheme="minorEastAsia" w:cstheme="minorEastAsia"/>
          <w:sz w:val="20"/>
          <w:szCs w:val="20"/>
          <w:highlight w:val="none"/>
          <w:u w:val="single"/>
          <w:lang w:val="zh-CN"/>
        </w:rPr>
        <w:t>违约、赔偿责任扣减的费用及违约金应在财务账单上列明）。</w:t>
      </w:r>
      <w:r>
        <w:rPr>
          <w:rFonts w:hint="eastAsia" w:asciiTheme="minorEastAsia" w:hAnsiTheme="minorEastAsia" w:eastAsiaTheme="minorEastAsia" w:cstheme="minorEastAsia"/>
          <w:sz w:val="20"/>
          <w:szCs w:val="20"/>
          <w:highlight w:val="none"/>
          <w:u w:val="single"/>
        </w:rPr>
        <w:t>如乙方拒不签名确认违约情形，但其行为符合本协议约定的违约情形的，甲方仍可在应付款项中直接扣除违约金或赔偿金。</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lang w:val="zh-CN"/>
        </w:rPr>
        <w:t>4.5 双方财务信息</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lang w:val="zh-CN"/>
        </w:rPr>
        <w:t>4.5.1 甲方开票账户信息</w:t>
      </w:r>
    </w:p>
    <w:p>
      <w:pPr>
        <w:autoSpaceDE w:val="0"/>
        <w:autoSpaceDN w:val="0"/>
        <w:adjustRightInd w:val="0"/>
        <w:snapToGrid w:val="0"/>
        <w:spacing w:line="440" w:lineRule="exact"/>
        <w:ind w:firstLine="430" w:firstLineChars="215"/>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名称： </w:t>
      </w:r>
    </w:p>
    <w:p>
      <w:pPr>
        <w:autoSpaceDE w:val="0"/>
        <w:autoSpaceDN w:val="0"/>
        <w:adjustRightInd w:val="0"/>
        <w:snapToGrid w:val="0"/>
        <w:spacing w:line="440" w:lineRule="exact"/>
        <w:ind w:firstLine="430" w:firstLineChars="215"/>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纳税人识别号：  </w:t>
      </w:r>
    </w:p>
    <w:p>
      <w:pPr>
        <w:autoSpaceDE w:val="0"/>
        <w:autoSpaceDN w:val="0"/>
        <w:adjustRightInd w:val="0"/>
        <w:snapToGrid w:val="0"/>
        <w:spacing w:line="440" w:lineRule="exact"/>
        <w:ind w:firstLine="430" w:firstLineChars="215"/>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地址：</w:t>
      </w:r>
    </w:p>
    <w:p>
      <w:pPr>
        <w:autoSpaceDE w:val="0"/>
        <w:autoSpaceDN w:val="0"/>
        <w:adjustRightInd w:val="0"/>
        <w:snapToGrid w:val="0"/>
        <w:spacing w:line="440" w:lineRule="exact"/>
        <w:ind w:firstLine="430" w:firstLineChars="215"/>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电话：</w:t>
      </w:r>
    </w:p>
    <w:p>
      <w:pPr>
        <w:autoSpaceDE w:val="0"/>
        <w:autoSpaceDN w:val="0"/>
        <w:adjustRightInd w:val="0"/>
        <w:snapToGrid w:val="0"/>
        <w:spacing w:line="440" w:lineRule="exact"/>
        <w:ind w:firstLine="430" w:firstLineChars="215"/>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开户银行：</w:t>
      </w:r>
    </w:p>
    <w:p>
      <w:pPr>
        <w:autoSpaceDE w:val="0"/>
        <w:autoSpaceDN w:val="0"/>
        <w:adjustRightInd w:val="0"/>
        <w:snapToGrid w:val="0"/>
        <w:spacing w:line="440" w:lineRule="exact"/>
        <w:ind w:firstLine="430" w:firstLineChars="215"/>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账号：</w:t>
      </w:r>
    </w:p>
    <w:p>
      <w:pPr>
        <w:autoSpaceDE w:val="0"/>
        <w:autoSpaceDN w:val="0"/>
        <w:adjustRightInd w:val="0"/>
        <w:snapToGrid w:val="0"/>
        <w:spacing w:line="440" w:lineRule="exact"/>
        <w:ind w:firstLine="430" w:firstLineChars="215"/>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rPr>
        <w:t xml:space="preserve">4.5.2 </w:t>
      </w:r>
      <w:r>
        <w:rPr>
          <w:rFonts w:hint="eastAsia" w:asciiTheme="minorEastAsia" w:hAnsiTheme="minorEastAsia" w:eastAsiaTheme="minorEastAsia" w:cstheme="minorEastAsia"/>
          <w:sz w:val="20"/>
          <w:szCs w:val="20"/>
          <w:highlight w:val="none"/>
          <w:lang w:val="zh-CN"/>
        </w:rPr>
        <w:t>乙方</w:t>
      </w:r>
      <w:r>
        <w:rPr>
          <w:rFonts w:hint="eastAsia" w:asciiTheme="minorEastAsia" w:hAnsiTheme="minorEastAsia" w:eastAsiaTheme="minorEastAsia" w:cstheme="minorEastAsia"/>
          <w:sz w:val="20"/>
          <w:szCs w:val="20"/>
          <w:highlight w:val="none"/>
        </w:rPr>
        <w:t>收款</w:t>
      </w:r>
      <w:r>
        <w:rPr>
          <w:rFonts w:hint="eastAsia" w:asciiTheme="minorEastAsia" w:hAnsiTheme="minorEastAsia" w:eastAsiaTheme="minorEastAsia" w:cstheme="minorEastAsia"/>
          <w:sz w:val="20"/>
          <w:szCs w:val="20"/>
          <w:highlight w:val="none"/>
          <w:lang w:val="zh-CN"/>
        </w:rPr>
        <w:t>账户信息</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lang w:val="zh-CN"/>
        </w:rPr>
        <w:t>收款人名称：</w:t>
      </w:r>
      <w:r>
        <w:rPr>
          <w:rFonts w:hint="eastAsia" w:asciiTheme="minorEastAsia" w:hAnsiTheme="minorEastAsia" w:eastAsiaTheme="minorEastAsia" w:cstheme="minorEastAsia"/>
          <w:sz w:val="20"/>
          <w:szCs w:val="20"/>
          <w:highlight w:val="none"/>
        </w:rPr>
        <w:t xml:space="preserve">  </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统一社会信用代码：  </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lang w:val="zh-CN"/>
        </w:rPr>
        <w:t>收款银行名称：</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lang w:val="zh-CN"/>
        </w:rPr>
        <w:t>收款银行账号：</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lang w:val="zh-CN"/>
        </w:rPr>
        <w:t>收款银行联行号：</w:t>
      </w:r>
      <w:r>
        <w:rPr>
          <w:rFonts w:hint="eastAsia" w:asciiTheme="minorEastAsia" w:hAnsiTheme="minorEastAsia" w:eastAsiaTheme="minorEastAsia" w:cstheme="minorEastAsia"/>
          <w:sz w:val="20"/>
          <w:szCs w:val="20"/>
          <w:highlight w:val="none"/>
        </w:rPr>
        <w:t xml:space="preserve"> </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lang w:val="zh-CN"/>
        </w:rPr>
        <w:t>收款银行地址：</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4.6 如双方收款账户信息发生变更，务必于  10个工作日</w:t>
      </w:r>
      <w:r>
        <w:rPr>
          <w:rFonts w:hint="eastAsia" w:asciiTheme="minorEastAsia" w:hAnsiTheme="minorEastAsia" w:eastAsiaTheme="minorEastAsia" w:cstheme="minorEastAsia"/>
          <w:sz w:val="20"/>
          <w:szCs w:val="20"/>
          <w:highlight w:val="none"/>
          <w:u w:val="single"/>
        </w:rPr>
        <w:t xml:space="preserve">  </w:t>
      </w:r>
      <w:r>
        <w:rPr>
          <w:rFonts w:hint="eastAsia" w:asciiTheme="minorEastAsia" w:hAnsiTheme="minorEastAsia" w:eastAsiaTheme="minorEastAsia" w:cstheme="minorEastAsia"/>
          <w:sz w:val="20"/>
          <w:szCs w:val="20"/>
          <w:highlight w:val="none"/>
        </w:rPr>
        <w:t>内以正式函件通知对方。</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rPr>
        <w:t xml:space="preserve">4.6.1 </w:t>
      </w:r>
      <w:r>
        <w:rPr>
          <w:rFonts w:hint="eastAsia" w:asciiTheme="minorEastAsia" w:hAnsiTheme="minorEastAsia" w:eastAsiaTheme="minorEastAsia" w:cstheme="minorEastAsia"/>
          <w:sz w:val="20"/>
          <w:szCs w:val="20"/>
          <w:highlight w:val="none"/>
          <w:lang w:val="zh-CN"/>
        </w:rPr>
        <w:t>甲方财务联系人：</w:t>
      </w:r>
      <w:r>
        <w:rPr>
          <w:rFonts w:hint="eastAsia" w:asciiTheme="minorEastAsia" w:hAnsiTheme="minorEastAsia" w:eastAsiaTheme="minorEastAsia" w:cstheme="minorEastAsia"/>
          <w:sz w:val="20"/>
          <w:szCs w:val="20"/>
          <w:highlight w:val="none"/>
          <w:u w:val="single"/>
        </w:rPr>
        <w:t xml:space="preserve">     </w:t>
      </w:r>
      <w:r>
        <w:rPr>
          <w:rFonts w:hint="eastAsia" w:asciiTheme="minorEastAsia" w:hAnsiTheme="minorEastAsia" w:eastAsiaTheme="minorEastAsia" w:cstheme="minorEastAsia"/>
          <w:sz w:val="20"/>
          <w:szCs w:val="20"/>
          <w:highlight w:val="none"/>
          <w:u w:val="single"/>
          <w:lang w:val="zh-CN"/>
        </w:rPr>
        <w:t xml:space="preserve"> </w:t>
      </w:r>
      <w:r>
        <w:rPr>
          <w:rFonts w:hint="eastAsia" w:asciiTheme="minorEastAsia" w:hAnsiTheme="minorEastAsia" w:eastAsiaTheme="minorEastAsia" w:cstheme="minorEastAsia"/>
          <w:sz w:val="20"/>
          <w:szCs w:val="20"/>
          <w:highlight w:val="none"/>
          <w:u w:val="single"/>
        </w:rPr>
        <w:t xml:space="preserve"> </w:t>
      </w:r>
      <w:r>
        <w:rPr>
          <w:rFonts w:hint="eastAsia" w:asciiTheme="minorEastAsia" w:hAnsiTheme="minorEastAsia" w:eastAsiaTheme="minorEastAsia" w:cstheme="minorEastAsia"/>
          <w:sz w:val="20"/>
          <w:szCs w:val="20"/>
          <w:highlight w:val="none"/>
        </w:rPr>
        <w:t xml:space="preserve"> </w:t>
      </w:r>
      <w:r>
        <w:rPr>
          <w:rFonts w:hint="eastAsia" w:asciiTheme="minorEastAsia" w:hAnsiTheme="minorEastAsia" w:eastAsiaTheme="minorEastAsia" w:cstheme="minorEastAsia"/>
          <w:sz w:val="20"/>
          <w:szCs w:val="20"/>
          <w:highlight w:val="none"/>
          <w:lang w:val="zh-CN"/>
        </w:rPr>
        <w:t xml:space="preserve"> </w:t>
      </w:r>
    </w:p>
    <w:p>
      <w:pPr>
        <w:autoSpaceDE w:val="0"/>
        <w:autoSpaceDN w:val="0"/>
        <w:adjustRightInd w:val="0"/>
        <w:snapToGrid w:val="0"/>
        <w:spacing w:line="440" w:lineRule="exact"/>
        <w:ind w:firstLine="1000" w:firstLineChars="500"/>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lang w:val="zh-CN"/>
        </w:rPr>
        <w:t>联 系 电 话：</w:t>
      </w:r>
      <w:r>
        <w:rPr>
          <w:rFonts w:hint="eastAsia" w:asciiTheme="minorEastAsia" w:hAnsiTheme="minorEastAsia" w:eastAsiaTheme="minorEastAsia" w:cstheme="minorEastAsia"/>
          <w:sz w:val="20"/>
          <w:szCs w:val="20"/>
          <w:highlight w:val="none"/>
          <w:u w:val="single"/>
        </w:rPr>
        <w:t xml:space="preserve">     </w:t>
      </w:r>
      <w:r>
        <w:rPr>
          <w:rFonts w:hint="eastAsia" w:asciiTheme="minorEastAsia" w:hAnsiTheme="minorEastAsia" w:eastAsiaTheme="minorEastAsia" w:cstheme="minorEastAsia"/>
          <w:sz w:val="20"/>
          <w:szCs w:val="20"/>
          <w:highlight w:val="none"/>
          <w:u w:val="single"/>
          <w:lang w:val="zh-CN"/>
        </w:rPr>
        <w:t xml:space="preserve">  </w:t>
      </w:r>
    </w:p>
    <w:p>
      <w:pPr>
        <w:autoSpaceDE w:val="0"/>
        <w:autoSpaceDN w:val="0"/>
        <w:adjustRightInd w:val="0"/>
        <w:snapToGrid w:val="0"/>
        <w:spacing w:line="440" w:lineRule="exact"/>
        <w:ind w:firstLine="1000" w:firstLineChars="500"/>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lang w:val="zh-CN"/>
        </w:rPr>
        <w:t>邮</w:t>
      </w:r>
      <w:r>
        <w:rPr>
          <w:rFonts w:hint="eastAsia" w:asciiTheme="minorEastAsia" w:hAnsiTheme="minorEastAsia" w:eastAsiaTheme="minorEastAsia" w:cstheme="minorEastAsia"/>
          <w:sz w:val="20"/>
          <w:szCs w:val="20"/>
          <w:highlight w:val="none"/>
        </w:rPr>
        <w:t xml:space="preserve">       </w:t>
      </w:r>
      <w:r>
        <w:rPr>
          <w:rFonts w:hint="eastAsia" w:asciiTheme="minorEastAsia" w:hAnsiTheme="minorEastAsia" w:eastAsiaTheme="minorEastAsia" w:cstheme="minorEastAsia"/>
          <w:sz w:val="20"/>
          <w:szCs w:val="20"/>
          <w:highlight w:val="none"/>
          <w:lang w:val="zh-CN"/>
        </w:rPr>
        <w:t>箱：</w:t>
      </w:r>
      <w:r>
        <w:rPr>
          <w:rFonts w:hint="eastAsia" w:asciiTheme="minorEastAsia" w:hAnsiTheme="minorEastAsia" w:eastAsiaTheme="minorEastAsia" w:cstheme="minorEastAsia"/>
          <w:sz w:val="20"/>
          <w:szCs w:val="20"/>
          <w:highlight w:val="none"/>
          <w:u w:val="single"/>
        </w:rPr>
        <w:t xml:space="preserve">       </w:t>
      </w:r>
      <w:r>
        <w:rPr>
          <w:rFonts w:hint="eastAsia" w:asciiTheme="minorEastAsia" w:hAnsiTheme="minorEastAsia" w:eastAsiaTheme="minorEastAsia" w:cstheme="minorEastAsia"/>
          <w:sz w:val="20"/>
          <w:szCs w:val="20"/>
          <w:highlight w:val="none"/>
          <w:lang w:val="zh-CN"/>
        </w:rPr>
        <w:t xml:space="preserve"> </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4.6.2 </w:t>
      </w:r>
      <w:r>
        <w:rPr>
          <w:rFonts w:hint="eastAsia" w:asciiTheme="minorEastAsia" w:hAnsiTheme="minorEastAsia" w:eastAsiaTheme="minorEastAsia" w:cstheme="minorEastAsia"/>
          <w:sz w:val="20"/>
          <w:szCs w:val="20"/>
          <w:highlight w:val="none"/>
          <w:lang w:val="zh-CN"/>
        </w:rPr>
        <w:t>乙方财务联系人：</w:t>
      </w:r>
      <w:r>
        <w:rPr>
          <w:rFonts w:hint="eastAsia" w:asciiTheme="minorEastAsia" w:hAnsiTheme="minorEastAsia" w:eastAsiaTheme="minorEastAsia" w:cstheme="minorEastAsia"/>
          <w:sz w:val="20"/>
          <w:szCs w:val="20"/>
          <w:highlight w:val="none"/>
          <w:u w:val="single"/>
        </w:rPr>
        <w:t xml:space="preserve">       </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lang w:val="zh-CN"/>
        </w:rPr>
        <w:t xml:space="preserve">  </w:t>
      </w:r>
      <w:r>
        <w:rPr>
          <w:rFonts w:hint="eastAsia" w:asciiTheme="minorEastAsia" w:hAnsiTheme="minorEastAsia" w:eastAsiaTheme="minorEastAsia" w:cstheme="minorEastAsia"/>
          <w:sz w:val="20"/>
          <w:szCs w:val="20"/>
          <w:highlight w:val="none"/>
        </w:rPr>
        <w:t xml:space="preserve">    </w:t>
      </w:r>
      <w:r>
        <w:rPr>
          <w:rFonts w:hint="eastAsia" w:asciiTheme="minorEastAsia" w:hAnsiTheme="minorEastAsia" w:eastAsiaTheme="minorEastAsia" w:cstheme="minorEastAsia"/>
          <w:sz w:val="20"/>
          <w:szCs w:val="20"/>
          <w:highlight w:val="none"/>
          <w:lang w:val="zh-CN"/>
        </w:rPr>
        <w:t>联 系 电 话：</w:t>
      </w:r>
      <w:r>
        <w:rPr>
          <w:rFonts w:hint="eastAsia" w:asciiTheme="minorEastAsia" w:hAnsiTheme="minorEastAsia" w:eastAsiaTheme="minorEastAsia" w:cstheme="minorEastAsia"/>
          <w:sz w:val="20"/>
          <w:szCs w:val="20"/>
          <w:highlight w:val="none"/>
          <w:u w:val="single"/>
        </w:rPr>
        <w:t xml:space="preserve">        </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lang w:val="zh-CN"/>
        </w:rPr>
        <w:t xml:space="preserve"> </w:t>
      </w:r>
      <w:r>
        <w:rPr>
          <w:rFonts w:hint="eastAsia" w:asciiTheme="minorEastAsia" w:hAnsiTheme="minorEastAsia" w:eastAsiaTheme="minorEastAsia" w:cstheme="minorEastAsia"/>
          <w:sz w:val="20"/>
          <w:szCs w:val="20"/>
          <w:highlight w:val="none"/>
        </w:rPr>
        <w:t xml:space="preserve">     </w:t>
      </w:r>
      <w:r>
        <w:rPr>
          <w:rFonts w:hint="eastAsia" w:asciiTheme="minorEastAsia" w:hAnsiTheme="minorEastAsia" w:eastAsiaTheme="minorEastAsia" w:cstheme="minorEastAsia"/>
          <w:sz w:val="20"/>
          <w:szCs w:val="20"/>
          <w:highlight w:val="none"/>
          <w:lang w:val="zh-CN"/>
        </w:rPr>
        <w:t xml:space="preserve">邮  </w:t>
      </w:r>
      <w:r>
        <w:rPr>
          <w:rFonts w:hint="eastAsia" w:asciiTheme="minorEastAsia" w:hAnsiTheme="minorEastAsia" w:eastAsiaTheme="minorEastAsia" w:cstheme="minorEastAsia"/>
          <w:sz w:val="20"/>
          <w:szCs w:val="20"/>
          <w:highlight w:val="none"/>
        </w:rPr>
        <w:t xml:space="preserve">    </w:t>
      </w:r>
      <w:r>
        <w:rPr>
          <w:rFonts w:hint="eastAsia" w:asciiTheme="minorEastAsia" w:hAnsiTheme="minorEastAsia" w:eastAsiaTheme="minorEastAsia" w:cstheme="minorEastAsia"/>
          <w:sz w:val="20"/>
          <w:szCs w:val="20"/>
          <w:highlight w:val="none"/>
          <w:lang w:val="zh-CN"/>
        </w:rPr>
        <w:t xml:space="preserve"> 箱：</w:t>
      </w:r>
      <w:r>
        <w:rPr>
          <w:rFonts w:hint="eastAsia" w:asciiTheme="minorEastAsia" w:hAnsiTheme="minorEastAsia" w:eastAsiaTheme="minorEastAsia" w:cstheme="minorEastAsia"/>
          <w:sz w:val="20"/>
          <w:szCs w:val="20"/>
          <w:highlight w:val="none"/>
          <w:u w:val="single"/>
        </w:rPr>
        <w:t xml:space="preserve"> </w:t>
      </w:r>
      <w:r>
        <w:rPr>
          <w:rFonts w:hint="eastAsia" w:asciiTheme="minorEastAsia" w:hAnsiTheme="minorEastAsia" w:eastAsiaTheme="minorEastAsia" w:cstheme="minorEastAsia"/>
          <w:sz w:val="20"/>
          <w:szCs w:val="20"/>
          <w:highlight w:val="none"/>
          <w:u w:val="single"/>
          <w:lang w:val="zh-CN"/>
        </w:rPr>
        <w:t xml:space="preserve">       </w:t>
      </w:r>
      <w:r>
        <w:rPr>
          <w:rFonts w:hint="eastAsia" w:asciiTheme="minorEastAsia" w:hAnsiTheme="minorEastAsia" w:eastAsiaTheme="minorEastAsia" w:cstheme="minorEastAsia"/>
          <w:sz w:val="20"/>
          <w:szCs w:val="20"/>
          <w:highlight w:val="none"/>
          <w:lang w:val="zh-CN"/>
        </w:rPr>
        <w:t xml:space="preserve"> </w:t>
      </w:r>
    </w:p>
    <w:p>
      <w:pPr>
        <w:tabs>
          <w:tab w:val="left" w:pos="7350"/>
        </w:tabs>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lang w:val="zh-CN"/>
        </w:rPr>
        <w:t>4.</w:t>
      </w:r>
      <w:r>
        <w:rPr>
          <w:rFonts w:hint="eastAsia" w:asciiTheme="minorEastAsia" w:hAnsiTheme="minorEastAsia" w:eastAsiaTheme="minorEastAsia" w:cstheme="minorEastAsia"/>
          <w:sz w:val="20"/>
          <w:szCs w:val="20"/>
          <w:highlight w:val="none"/>
        </w:rPr>
        <w:t>7</w:t>
      </w:r>
      <w:r>
        <w:rPr>
          <w:rFonts w:hint="eastAsia" w:asciiTheme="minorEastAsia" w:hAnsiTheme="minorEastAsia" w:eastAsiaTheme="minorEastAsia" w:cstheme="minorEastAsia"/>
          <w:sz w:val="20"/>
          <w:szCs w:val="20"/>
          <w:highlight w:val="none"/>
          <w:lang w:val="zh-CN"/>
        </w:rPr>
        <w:t xml:space="preserve"> 为便于旅客膳宿数据统计，提升服务工作和财务结算效率，</w:t>
      </w:r>
      <w:r>
        <w:rPr>
          <w:rFonts w:hint="eastAsia" w:asciiTheme="minorEastAsia" w:hAnsiTheme="minorEastAsia" w:eastAsiaTheme="minorEastAsia" w:cstheme="minorEastAsia"/>
          <w:sz w:val="20"/>
          <w:szCs w:val="20"/>
          <w:highlight w:val="none"/>
          <w:u w:val="single"/>
          <w:lang w:val="zh-CN"/>
        </w:rPr>
        <w:t>乙方应使用甲方坤翔系统，</w:t>
      </w:r>
      <w:r>
        <w:rPr>
          <w:rFonts w:hint="eastAsia" w:asciiTheme="minorEastAsia" w:hAnsiTheme="minorEastAsia" w:eastAsiaTheme="minorEastAsia" w:cstheme="minorEastAsia"/>
          <w:sz w:val="20"/>
          <w:szCs w:val="20"/>
          <w:highlight w:val="none"/>
          <w:lang w:val="zh-CN"/>
        </w:rPr>
        <w:t>按甲方要求实施数据录入等工作，</w:t>
      </w:r>
      <w:r>
        <w:rPr>
          <w:rFonts w:hint="eastAsia" w:asciiTheme="minorEastAsia" w:hAnsiTheme="minorEastAsia" w:eastAsiaTheme="minorEastAsia" w:cstheme="minorEastAsia"/>
          <w:sz w:val="20"/>
          <w:szCs w:val="20"/>
          <w:highlight w:val="none"/>
        </w:rPr>
        <w:t>否则甲方有权不进行服务费结算。</w:t>
      </w:r>
      <w:r>
        <w:rPr>
          <w:rFonts w:hint="eastAsia" w:asciiTheme="minorEastAsia" w:hAnsiTheme="minorEastAsia" w:eastAsiaTheme="minorEastAsia" w:cstheme="minorEastAsia"/>
          <w:sz w:val="20"/>
          <w:szCs w:val="20"/>
          <w:highlight w:val="none"/>
          <w:lang w:val="zh-CN"/>
        </w:rPr>
        <w:t xml:space="preserve">系统账号及使用培训由甲方提供。  </w:t>
      </w:r>
    </w:p>
    <w:p>
      <w:pPr>
        <w:autoSpaceDE w:val="0"/>
        <w:autoSpaceDN w:val="0"/>
        <w:adjustRightInd w:val="0"/>
        <w:snapToGrid w:val="0"/>
        <w:spacing w:line="440" w:lineRule="exact"/>
        <w:ind w:firstLine="402" w:firstLineChars="200"/>
        <w:rPr>
          <w:rFonts w:hint="eastAsia" w:asciiTheme="minorEastAsia" w:hAnsiTheme="minorEastAsia" w:eastAsiaTheme="minorEastAsia" w:cstheme="minorEastAsia"/>
          <w:sz w:val="20"/>
          <w:szCs w:val="20"/>
          <w:highlight w:val="none"/>
          <w:u w:val="single"/>
        </w:rPr>
      </w:pPr>
      <w:r>
        <w:rPr>
          <w:rFonts w:hint="eastAsia" w:asciiTheme="minorEastAsia" w:hAnsiTheme="minorEastAsia" w:eastAsiaTheme="minorEastAsia" w:cstheme="minorEastAsia"/>
          <w:b/>
          <w:bCs/>
          <w:sz w:val="20"/>
          <w:szCs w:val="20"/>
          <w:highlight w:val="none"/>
        </w:rPr>
        <w:t>4.8 旅客入住乙方酒店结算时间标准见下表：</w:t>
      </w:r>
      <w:r>
        <w:rPr>
          <w:rFonts w:hint="eastAsia" w:asciiTheme="minorEastAsia" w:hAnsiTheme="minorEastAsia" w:eastAsiaTheme="minorEastAsia" w:cstheme="minorEastAsia"/>
          <w:sz w:val="20"/>
          <w:szCs w:val="20"/>
          <w:highlight w:val="none"/>
          <w:u w:val="single"/>
        </w:rPr>
        <w:t xml:space="preserve"> </w:t>
      </w:r>
    </w:p>
    <w:tbl>
      <w:tblPr>
        <w:tblStyle w:val="25"/>
        <w:tblW w:w="0" w:type="auto"/>
        <w:jc w:val="center"/>
        <w:tblLayout w:type="fixed"/>
        <w:tblCellMar>
          <w:top w:w="0" w:type="dxa"/>
          <w:left w:w="108" w:type="dxa"/>
          <w:bottom w:w="0" w:type="dxa"/>
          <w:right w:w="108" w:type="dxa"/>
        </w:tblCellMar>
      </w:tblPr>
      <w:tblGrid>
        <w:gridCol w:w="2064"/>
        <w:gridCol w:w="5177"/>
        <w:gridCol w:w="1598"/>
      </w:tblGrid>
      <w:tr>
        <w:tblPrEx>
          <w:tblCellMar>
            <w:top w:w="0" w:type="dxa"/>
            <w:left w:w="108" w:type="dxa"/>
            <w:bottom w:w="0" w:type="dxa"/>
            <w:right w:w="108" w:type="dxa"/>
          </w:tblCellMar>
        </w:tblPrEx>
        <w:trPr>
          <w:trHeight w:val="322" w:hRule="atLeast"/>
          <w:jc w:val="center"/>
        </w:trPr>
        <w:tc>
          <w:tcPr>
            <w:tcW w:w="2064" w:type="dxa"/>
            <w:tcBorders>
              <w:top w:val="single" w:color="auto" w:sz="4" w:space="0"/>
              <w:left w:val="single" w:color="auto" w:sz="4" w:space="0"/>
              <w:bottom w:val="nil"/>
              <w:right w:val="single" w:color="auto" w:sz="4" w:space="0"/>
            </w:tcBorders>
            <w:vAlign w:val="center"/>
          </w:tcPr>
          <w:p>
            <w:pPr>
              <w:widowControl/>
              <w:adjustRightInd w:val="0"/>
              <w:snapToGrid w:val="0"/>
              <w:jc w:val="center"/>
              <w:rPr>
                <w:rFonts w:hint="eastAsia" w:ascii="宋体" w:hAnsi="宋体" w:cs="宋体"/>
                <w:b/>
                <w:bCs/>
                <w:kern w:val="0"/>
                <w:szCs w:val="21"/>
                <w:highlight w:val="none"/>
                <w:u w:val="single"/>
              </w:rPr>
            </w:pPr>
            <w:r>
              <w:rPr>
                <w:rFonts w:hint="eastAsia" w:ascii="宋体" w:hAnsi="宋体" w:cs="宋体"/>
                <w:b/>
                <w:bCs/>
                <w:kern w:val="0"/>
                <w:szCs w:val="21"/>
                <w:highlight w:val="none"/>
                <w:u w:val="single"/>
              </w:rPr>
              <w:t>旅客入住时间</w:t>
            </w:r>
          </w:p>
        </w:tc>
        <w:tc>
          <w:tcPr>
            <w:tcW w:w="5177" w:type="dxa"/>
            <w:tcBorders>
              <w:top w:val="single" w:color="auto" w:sz="4" w:space="0"/>
              <w:left w:val="nil"/>
              <w:bottom w:val="nil"/>
              <w:right w:val="single" w:color="auto" w:sz="4" w:space="0"/>
            </w:tcBorders>
            <w:vAlign w:val="center"/>
          </w:tcPr>
          <w:p>
            <w:pPr>
              <w:widowControl/>
              <w:adjustRightInd w:val="0"/>
              <w:snapToGrid w:val="0"/>
              <w:jc w:val="center"/>
              <w:rPr>
                <w:rFonts w:hint="eastAsia" w:ascii="宋体" w:hAnsi="宋体" w:cs="宋体"/>
                <w:b/>
                <w:bCs/>
                <w:kern w:val="0"/>
                <w:szCs w:val="21"/>
                <w:highlight w:val="none"/>
                <w:u w:val="single"/>
              </w:rPr>
            </w:pPr>
            <w:r>
              <w:rPr>
                <w:rFonts w:hint="eastAsia" w:ascii="宋体" w:hAnsi="宋体" w:cs="宋体"/>
                <w:b/>
                <w:bCs/>
                <w:kern w:val="0"/>
                <w:szCs w:val="21"/>
                <w:highlight w:val="none"/>
                <w:u w:val="single"/>
              </w:rPr>
              <w:t>旅客入住时长</w:t>
            </w:r>
          </w:p>
        </w:tc>
        <w:tc>
          <w:tcPr>
            <w:tcW w:w="1598" w:type="dxa"/>
            <w:tcBorders>
              <w:top w:val="single" w:color="auto" w:sz="4" w:space="0"/>
              <w:left w:val="nil"/>
              <w:bottom w:val="nil"/>
              <w:right w:val="single" w:color="auto" w:sz="4" w:space="0"/>
            </w:tcBorders>
            <w:vAlign w:val="center"/>
          </w:tcPr>
          <w:p>
            <w:pPr>
              <w:widowControl/>
              <w:adjustRightInd w:val="0"/>
              <w:snapToGrid w:val="0"/>
              <w:jc w:val="center"/>
              <w:rPr>
                <w:rFonts w:hint="eastAsia" w:ascii="宋体" w:hAnsi="宋体" w:cs="宋体"/>
                <w:b/>
                <w:bCs/>
                <w:kern w:val="0"/>
                <w:szCs w:val="21"/>
                <w:highlight w:val="none"/>
                <w:u w:val="single"/>
              </w:rPr>
            </w:pPr>
            <w:r>
              <w:rPr>
                <w:rFonts w:hint="eastAsia" w:ascii="宋体" w:hAnsi="宋体" w:cs="宋体"/>
                <w:b/>
                <w:bCs/>
                <w:kern w:val="0"/>
                <w:szCs w:val="21"/>
                <w:highlight w:val="none"/>
                <w:u w:val="single"/>
              </w:rPr>
              <w:t>财务结算天数</w:t>
            </w:r>
          </w:p>
        </w:tc>
      </w:tr>
      <w:tr>
        <w:tblPrEx>
          <w:tblCellMar>
            <w:top w:w="0" w:type="dxa"/>
            <w:left w:w="108" w:type="dxa"/>
            <w:bottom w:w="0" w:type="dxa"/>
            <w:right w:w="108" w:type="dxa"/>
          </w:tblCellMar>
        </w:tblPrEx>
        <w:trPr>
          <w:trHeight w:val="322" w:hRule="atLeast"/>
          <w:jc w:val="center"/>
        </w:trPr>
        <w:tc>
          <w:tcPr>
            <w:tcW w:w="2064" w:type="dxa"/>
            <w:vMerge w:val="restart"/>
            <w:tcBorders>
              <w:top w:val="single" w:color="auto" w:sz="4" w:space="0"/>
              <w:left w:val="single" w:color="auto" w:sz="4" w:space="0"/>
              <w:right w:val="single" w:color="auto" w:sz="4" w:space="0"/>
            </w:tcBorders>
            <w:vAlign w:val="center"/>
          </w:tcPr>
          <w:p>
            <w:pPr>
              <w:adjustRightInd w:val="0"/>
              <w:snapToGrid w:val="0"/>
              <w:jc w:val="left"/>
              <w:rPr>
                <w:rFonts w:hint="eastAsia" w:ascii="宋体" w:hAnsi="宋体" w:cs="宋体"/>
                <w:b/>
                <w:bCs/>
                <w:kern w:val="0"/>
                <w:szCs w:val="21"/>
                <w:highlight w:val="none"/>
                <w:u w:val="single"/>
              </w:rPr>
            </w:pPr>
            <w:r>
              <w:rPr>
                <w:rFonts w:hint="eastAsia" w:ascii="宋体" w:hAnsi="宋体" w:cs="宋体"/>
                <w:b/>
                <w:bCs/>
                <w:kern w:val="0"/>
                <w:szCs w:val="21"/>
                <w:highlight w:val="none"/>
                <w:u w:val="single"/>
              </w:rPr>
              <w:t>旅客12:00前入住</w:t>
            </w:r>
          </w:p>
        </w:tc>
        <w:tc>
          <w:tcPr>
            <w:tcW w:w="5177" w:type="dxa"/>
            <w:tcBorders>
              <w:top w:val="single" w:color="auto" w:sz="4" w:space="0"/>
              <w:left w:val="nil"/>
              <w:bottom w:val="single" w:color="auto" w:sz="4" w:space="0"/>
              <w:right w:val="single" w:color="auto" w:sz="4" w:space="0"/>
            </w:tcBorders>
            <w:vAlign w:val="center"/>
          </w:tcPr>
          <w:p>
            <w:pPr>
              <w:widowControl/>
              <w:autoSpaceDE w:val="0"/>
              <w:adjustRightInd w:val="0"/>
              <w:snapToGrid w:val="0"/>
              <w:spacing w:line="360" w:lineRule="auto"/>
              <w:jc w:val="left"/>
              <w:rPr>
                <w:rFonts w:hint="eastAsia" w:ascii="宋体" w:hAnsi="宋体" w:cs="宋体"/>
                <w:kern w:val="0"/>
                <w:szCs w:val="21"/>
                <w:highlight w:val="none"/>
                <w:u w:val="single"/>
              </w:rPr>
            </w:pPr>
            <w:r>
              <w:rPr>
                <w:rFonts w:hint="eastAsia" w:ascii="宋体" w:hAnsi="宋体" w:cs="宋体"/>
                <w:kern w:val="0"/>
                <w:szCs w:val="21"/>
                <w:highlight w:val="none"/>
                <w:u w:val="single"/>
                <w:lang w:bidi="ar"/>
              </w:rPr>
              <w:t>入住时间不足6小时</w:t>
            </w:r>
          </w:p>
        </w:tc>
        <w:tc>
          <w:tcPr>
            <w:tcW w:w="1598" w:type="dxa"/>
            <w:tcBorders>
              <w:top w:val="single" w:color="auto" w:sz="4" w:space="0"/>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Cs w:val="21"/>
                <w:highlight w:val="none"/>
                <w:u w:val="single"/>
              </w:rPr>
            </w:pPr>
            <w:r>
              <w:rPr>
                <w:rFonts w:hint="eastAsia" w:ascii="宋体" w:hAnsi="宋体" w:cs="宋体"/>
                <w:kern w:val="0"/>
                <w:szCs w:val="21"/>
                <w:highlight w:val="none"/>
                <w:u w:val="single"/>
              </w:rPr>
              <w:t>0.5天</w:t>
            </w:r>
          </w:p>
        </w:tc>
      </w:tr>
      <w:tr>
        <w:tblPrEx>
          <w:tblCellMar>
            <w:top w:w="0" w:type="dxa"/>
            <w:left w:w="108" w:type="dxa"/>
            <w:bottom w:w="0" w:type="dxa"/>
            <w:right w:w="108" w:type="dxa"/>
          </w:tblCellMar>
        </w:tblPrEx>
        <w:trPr>
          <w:trHeight w:val="322" w:hRule="atLeast"/>
          <w:jc w:val="center"/>
        </w:trPr>
        <w:tc>
          <w:tcPr>
            <w:tcW w:w="2064" w:type="dxa"/>
            <w:vMerge w:val="continue"/>
            <w:tcBorders>
              <w:top w:val="single" w:color="auto" w:sz="4" w:space="0"/>
              <w:left w:val="single" w:color="auto" w:sz="4" w:space="0"/>
              <w:right w:val="single" w:color="auto" w:sz="4" w:space="0"/>
            </w:tcBorders>
            <w:vAlign w:val="center"/>
          </w:tcPr>
          <w:p>
            <w:pPr>
              <w:adjustRightInd w:val="0"/>
              <w:snapToGrid w:val="0"/>
              <w:jc w:val="left"/>
              <w:rPr>
                <w:rFonts w:hint="eastAsia" w:ascii="宋体" w:hAnsi="宋体" w:cs="宋体"/>
                <w:b/>
                <w:bCs/>
                <w:kern w:val="0"/>
                <w:szCs w:val="21"/>
                <w:highlight w:val="none"/>
                <w:u w:val="single"/>
              </w:rPr>
            </w:pPr>
          </w:p>
        </w:tc>
        <w:tc>
          <w:tcPr>
            <w:tcW w:w="5177" w:type="dxa"/>
            <w:tcBorders>
              <w:top w:val="single" w:color="auto" w:sz="4" w:space="0"/>
              <w:left w:val="nil"/>
              <w:bottom w:val="single" w:color="auto" w:sz="4" w:space="0"/>
              <w:right w:val="single" w:color="auto" w:sz="4" w:space="0"/>
            </w:tcBorders>
            <w:vAlign w:val="center"/>
          </w:tcPr>
          <w:p>
            <w:pPr>
              <w:widowControl/>
              <w:autoSpaceDE w:val="0"/>
              <w:adjustRightInd w:val="0"/>
              <w:snapToGrid w:val="0"/>
              <w:spacing w:line="360" w:lineRule="auto"/>
              <w:jc w:val="left"/>
              <w:rPr>
                <w:rFonts w:hint="eastAsia" w:ascii="宋体" w:hAnsi="宋体" w:cs="宋体"/>
                <w:kern w:val="0"/>
                <w:szCs w:val="21"/>
                <w:highlight w:val="none"/>
                <w:u w:val="single"/>
              </w:rPr>
            </w:pPr>
            <w:r>
              <w:rPr>
                <w:rFonts w:hint="eastAsia" w:ascii="宋体" w:hAnsi="宋体" w:cs="宋体"/>
                <w:kern w:val="0"/>
                <w:szCs w:val="21"/>
                <w:highlight w:val="none"/>
                <w:u w:val="single"/>
                <w:lang w:bidi="ar"/>
              </w:rPr>
              <w:t>旅客入住时间超过6小时（含）（当天入住当天退房）</w:t>
            </w:r>
          </w:p>
        </w:tc>
        <w:tc>
          <w:tcPr>
            <w:tcW w:w="1598" w:type="dxa"/>
            <w:tcBorders>
              <w:top w:val="single" w:color="auto" w:sz="4" w:space="0"/>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Cs w:val="21"/>
                <w:highlight w:val="none"/>
                <w:u w:val="single"/>
              </w:rPr>
            </w:pPr>
            <w:r>
              <w:rPr>
                <w:rFonts w:hint="eastAsia" w:ascii="宋体" w:hAnsi="宋体" w:cs="宋体"/>
                <w:kern w:val="0"/>
                <w:szCs w:val="21"/>
                <w:highlight w:val="none"/>
                <w:u w:val="single"/>
              </w:rPr>
              <w:t>1天</w:t>
            </w:r>
          </w:p>
        </w:tc>
      </w:tr>
      <w:tr>
        <w:tblPrEx>
          <w:tblCellMar>
            <w:top w:w="0" w:type="dxa"/>
            <w:left w:w="108" w:type="dxa"/>
            <w:bottom w:w="0" w:type="dxa"/>
            <w:right w:w="108" w:type="dxa"/>
          </w:tblCellMar>
        </w:tblPrEx>
        <w:trPr>
          <w:trHeight w:val="322" w:hRule="atLeast"/>
          <w:jc w:val="center"/>
        </w:trPr>
        <w:tc>
          <w:tcPr>
            <w:tcW w:w="2064" w:type="dxa"/>
            <w:vMerge w:val="continue"/>
            <w:tcBorders>
              <w:left w:val="single" w:color="auto" w:sz="4" w:space="0"/>
              <w:right w:val="single" w:color="auto" w:sz="4" w:space="0"/>
            </w:tcBorders>
            <w:vAlign w:val="center"/>
          </w:tcPr>
          <w:p>
            <w:pPr>
              <w:widowControl/>
              <w:adjustRightInd w:val="0"/>
              <w:snapToGrid w:val="0"/>
              <w:jc w:val="left"/>
              <w:rPr>
                <w:rFonts w:hint="eastAsia" w:ascii="宋体" w:hAnsi="宋体" w:cs="宋体"/>
                <w:b/>
                <w:bCs/>
                <w:kern w:val="0"/>
                <w:szCs w:val="21"/>
                <w:highlight w:val="none"/>
                <w:u w:val="single"/>
              </w:rPr>
            </w:pPr>
          </w:p>
        </w:tc>
        <w:tc>
          <w:tcPr>
            <w:tcW w:w="5177" w:type="dxa"/>
            <w:tcBorders>
              <w:top w:val="nil"/>
              <w:left w:val="nil"/>
              <w:bottom w:val="single" w:color="auto" w:sz="4" w:space="0"/>
              <w:right w:val="single" w:color="auto" w:sz="4" w:space="0"/>
            </w:tcBorders>
            <w:vAlign w:val="center"/>
          </w:tcPr>
          <w:p>
            <w:pPr>
              <w:widowControl/>
              <w:autoSpaceDE w:val="0"/>
              <w:adjustRightInd w:val="0"/>
              <w:snapToGrid w:val="0"/>
              <w:spacing w:line="360" w:lineRule="auto"/>
              <w:jc w:val="left"/>
              <w:rPr>
                <w:rFonts w:hint="eastAsia" w:ascii="宋体" w:hAnsi="宋体" w:cs="宋体"/>
                <w:kern w:val="0"/>
                <w:szCs w:val="21"/>
                <w:highlight w:val="none"/>
                <w:u w:val="single"/>
              </w:rPr>
            </w:pPr>
            <w:r>
              <w:rPr>
                <w:rFonts w:hint="eastAsia" w:ascii="宋体" w:hAnsi="宋体" w:cs="宋体"/>
                <w:kern w:val="0"/>
                <w:szCs w:val="21"/>
                <w:highlight w:val="none"/>
                <w:u w:val="single"/>
                <w:lang w:bidi="ar"/>
              </w:rPr>
              <w:t>次日12:00（含）前退房</w:t>
            </w:r>
          </w:p>
        </w:tc>
        <w:tc>
          <w:tcPr>
            <w:tcW w:w="1598"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Cs w:val="21"/>
                <w:highlight w:val="none"/>
                <w:u w:val="single"/>
              </w:rPr>
            </w:pPr>
            <w:r>
              <w:rPr>
                <w:rFonts w:hint="eastAsia" w:ascii="宋体" w:hAnsi="宋体" w:cs="宋体"/>
                <w:kern w:val="0"/>
                <w:szCs w:val="21"/>
                <w:highlight w:val="none"/>
                <w:u w:val="single"/>
              </w:rPr>
              <w:t>1天</w:t>
            </w:r>
          </w:p>
        </w:tc>
      </w:tr>
      <w:tr>
        <w:tblPrEx>
          <w:tblCellMar>
            <w:top w:w="0" w:type="dxa"/>
            <w:left w:w="108" w:type="dxa"/>
            <w:bottom w:w="0" w:type="dxa"/>
            <w:right w:w="108" w:type="dxa"/>
          </w:tblCellMar>
        </w:tblPrEx>
        <w:trPr>
          <w:trHeight w:val="322" w:hRule="atLeast"/>
          <w:jc w:val="center"/>
        </w:trPr>
        <w:tc>
          <w:tcPr>
            <w:tcW w:w="2064" w:type="dxa"/>
            <w:vMerge w:val="continue"/>
            <w:tcBorders>
              <w:left w:val="single" w:color="auto" w:sz="4" w:space="0"/>
              <w:right w:val="single" w:color="auto" w:sz="4" w:space="0"/>
            </w:tcBorders>
            <w:vAlign w:val="center"/>
          </w:tcPr>
          <w:p>
            <w:pPr>
              <w:widowControl/>
              <w:adjustRightInd w:val="0"/>
              <w:snapToGrid w:val="0"/>
              <w:jc w:val="left"/>
              <w:rPr>
                <w:rFonts w:hint="eastAsia" w:ascii="宋体" w:hAnsi="宋体" w:cs="宋体"/>
                <w:b/>
                <w:bCs/>
                <w:kern w:val="0"/>
                <w:szCs w:val="21"/>
                <w:highlight w:val="none"/>
                <w:u w:val="single"/>
              </w:rPr>
            </w:pPr>
          </w:p>
        </w:tc>
        <w:tc>
          <w:tcPr>
            <w:tcW w:w="5177" w:type="dxa"/>
            <w:tcBorders>
              <w:top w:val="nil"/>
              <w:left w:val="nil"/>
              <w:bottom w:val="single" w:color="auto" w:sz="4" w:space="0"/>
              <w:right w:val="single" w:color="auto" w:sz="4" w:space="0"/>
            </w:tcBorders>
            <w:vAlign w:val="center"/>
          </w:tcPr>
          <w:p>
            <w:pPr>
              <w:widowControl/>
              <w:autoSpaceDE w:val="0"/>
              <w:adjustRightInd w:val="0"/>
              <w:snapToGrid w:val="0"/>
              <w:spacing w:line="360" w:lineRule="auto"/>
              <w:jc w:val="left"/>
              <w:rPr>
                <w:rFonts w:hint="eastAsia" w:ascii="宋体" w:hAnsi="宋体" w:cs="宋体"/>
                <w:kern w:val="0"/>
                <w:szCs w:val="21"/>
                <w:highlight w:val="none"/>
                <w:u w:val="single"/>
              </w:rPr>
            </w:pPr>
            <w:r>
              <w:rPr>
                <w:rFonts w:hint="eastAsia" w:ascii="宋体" w:hAnsi="宋体" w:cs="宋体"/>
                <w:kern w:val="0"/>
                <w:szCs w:val="21"/>
                <w:highlight w:val="none"/>
                <w:u w:val="single"/>
                <w:lang w:bidi="ar"/>
              </w:rPr>
              <w:t>次日18:00（含）前退房</w:t>
            </w:r>
          </w:p>
        </w:tc>
        <w:tc>
          <w:tcPr>
            <w:tcW w:w="1598"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Cs w:val="21"/>
                <w:highlight w:val="none"/>
                <w:u w:val="single"/>
              </w:rPr>
            </w:pPr>
            <w:r>
              <w:rPr>
                <w:rFonts w:hint="eastAsia" w:ascii="宋体" w:hAnsi="宋体" w:cs="宋体"/>
                <w:kern w:val="0"/>
                <w:szCs w:val="21"/>
                <w:highlight w:val="none"/>
                <w:u w:val="single"/>
              </w:rPr>
              <w:t>1.5天</w:t>
            </w:r>
          </w:p>
        </w:tc>
      </w:tr>
      <w:tr>
        <w:tblPrEx>
          <w:tblCellMar>
            <w:top w:w="0" w:type="dxa"/>
            <w:left w:w="108" w:type="dxa"/>
            <w:bottom w:w="0" w:type="dxa"/>
            <w:right w:w="108" w:type="dxa"/>
          </w:tblCellMar>
        </w:tblPrEx>
        <w:trPr>
          <w:trHeight w:val="322" w:hRule="atLeast"/>
          <w:jc w:val="center"/>
        </w:trPr>
        <w:tc>
          <w:tcPr>
            <w:tcW w:w="2064" w:type="dxa"/>
            <w:vMerge w:val="continue"/>
            <w:tcBorders>
              <w:left w:val="single" w:color="auto" w:sz="4" w:space="0"/>
              <w:right w:val="single" w:color="auto" w:sz="4" w:space="0"/>
            </w:tcBorders>
            <w:vAlign w:val="center"/>
          </w:tcPr>
          <w:p>
            <w:pPr>
              <w:widowControl/>
              <w:adjustRightInd w:val="0"/>
              <w:snapToGrid w:val="0"/>
              <w:jc w:val="left"/>
              <w:rPr>
                <w:rFonts w:hint="eastAsia" w:ascii="宋体" w:hAnsi="宋体" w:cs="宋体"/>
                <w:b/>
                <w:bCs/>
                <w:kern w:val="0"/>
                <w:szCs w:val="21"/>
                <w:highlight w:val="none"/>
                <w:u w:val="single"/>
              </w:rPr>
            </w:pPr>
          </w:p>
        </w:tc>
        <w:tc>
          <w:tcPr>
            <w:tcW w:w="5177" w:type="dxa"/>
            <w:tcBorders>
              <w:top w:val="nil"/>
              <w:left w:val="nil"/>
              <w:bottom w:val="single" w:color="auto" w:sz="4" w:space="0"/>
              <w:right w:val="single" w:color="auto" w:sz="4" w:space="0"/>
            </w:tcBorders>
            <w:vAlign w:val="center"/>
          </w:tcPr>
          <w:p>
            <w:pPr>
              <w:widowControl/>
              <w:autoSpaceDE w:val="0"/>
              <w:adjustRightInd w:val="0"/>
              <w:snapToGrid w:val="0"/>
              <w:spacing w:line="360" w:lineRule="auto"/>
              <w:jc w:val="left"/>
              <w:rPr>
                <w:rFonts w:hint="eastAsia" w:ascii="宋体" w:hAnsi="宋体" w:cs="宋体"/>
                <w:kern w:val="0"/>
                <w:szCs w:val="21"/>
                <w:highlight w:val="none"/>
                <w:u w:val="single"/>
              </w:rPr>
            </w:pPr>
            <w:r>
              <w:rPr>
                <w:rFonts w:hint="eastAsia" w:ascii="宋体" w:hAnsi="宋体" w:cs="宋体"/>
                <w:kern w:val="0"/>
                <w:szCs w:val="21"/>
                <w:highlight w:val="none"/>
                <w:u w:val="single"/>
                <w:lang w:bidi="ar"/>
              </w:rPr>
              <w:t>次日18:00至第三日12:00（含）前退房</w:t>
            </w:r>
          </w:p>
        </w:tc>
        <w:tc>
          <w:tcPr>
            <w:tcW w:w="1598"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Cs w:val="21"/>
                <w:highlight w:val="none"/>
                <w:u w:val="single"/>
              </w:rPr>
            </w:pPr>
            <w:r>
              <w:rPr>
                <w:rFonts w:hint="eastAsia" w:ascii="宋体" w:hAnsi="宋体" w:cs="宋体"/>
                <w:kern w:val="0"/>
                <w:szCs w:val="21"/>
                <w:highlight w:val="none"/>
                <w:u w:val="single"/>
              </w:rPr>
              <w:t>2 天</w:t>
            </w:r>
          </w:p>
        </w:tc>
      </w:tr>
      <w:tr>
        <w:tblPrEx>
          <w:tblCellMar>
            <w:top w:w="0" w:type="dxa"/>
            <w:left w:w="108" w:type="dxa"/>
            <w:bottom w:w="0" w:type="dxa"/>
            <w:right w:w="108" w:type="dxa"/>
          </w:tblCellMar>
        </w:tblPrEx>
        <w:trPr>
          <w:trHeight w:val="322" w:hRule="atLeast"/>
          <w:jc w:val="center"/>
        </w:trPr>
        <w:tc>
          <w:tcPr>
            <w:tcW w:w="2064" w:type="dxa"/>
            <w:vMerge w:val="continue"/>
            <w:tcBorders>
              <w:left w:val="single" w:color="auto" w:sz="4" w:space="0"/>
              <w:right w:val="single" w:color="auto" w:sz="4" w:space="0"/>
            </w:tcBorders>
            <w:vAlign w:val="center"/>
          </w:tcPr>
          <w:p>
            <w:pPr>
              <w:widowControl/>
              <w:adjustRightInd w:val="0"/>
              <w:snapToGrid w:val="0"/>
              <w:jc w:val="left"/>
              <w:rPr>
                <w:rFonts w:hint="eastAsia" w:ascii="宋体" w:hAnsi="宋体" w:cs="宋体"/>
                <w:b/>
                <w:bCs/>
                <w:kern w:val="0"/>
                <w:szCs w:val="21"/>
                <w:highlight w:val="none"/>
                <w:u w:val="single"/>
              </w:rPr>
            </w:pPr>
          </w:p>
        </w:tc>
        <w:tc>
          <w:tcPr>
            <w:tcW w:w="5177" w:type="dxa"/>
            <w:tcBorders>
              <w:top w:val="nil"/>
              <w:left w:val="nil"/>
              <w:bottom w:val="single" w:color="auto" w:sz="4" w:space="0"/>
              <w:right w:val="single" w:color="auto" w:sz="4" w:space="0"/>
            </w:tcBorders>
            <w:vAlign w:val="center"/>
          </w:tcPr>
          <w:p>
            <w:pPr>
              <w:widowControl/>
              <w:autoSpaceDE w:val="0"/>
              <w:adjustRightInd w:val="0"/>
              <w:snapToGrid w:val="0"/>
              <w:spacing w:line="360" w:lineRule="auto"/>
              <w:jc w:val="left"/>
              <w:rPr>
                <w:rFonts w:hint="eastAsia" w:ascii="宋体" w:hAnsi="宋体" w:cs="宋体"/>
                <w:kern w:val="0"/>
                <w:szCs w:val="21"/>
                <w:highlight w:val="none"/>
                <w:u w:val="single"/>
              </w:rPr>
            </w:pPr>
            <w:r>
              <w:rPr>
                <w:rFonts w:hint="eastAsia" w:ascii="宋体" w:hAnsi="宋体" w:cs="宋体"/>
                <w:kern w:val="0"/>
                <w:szCs w:val="21"/>
                <w:highlight w:val="none"/>
                <w:u w:val="single"/>
                <w:lang w:bidi="ar"/>
              </w:rPr>
              <w:t>第三日12:00后至21:00（含）前退房</w:t>
            </w:r>
          </w:p>
        </w:tc>
        <w:tc>
          <w:tcPr>
            <w:tcW w:w="1598"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Cs w:val="21"/>
                <w:highlight w:val="none"/>
                <w:u w:val="single"/>
              </w:rPr>
            </w:pPr>
            <w:r>
              <w:rPr>
                <w:rFonts w:hint="eastAsia" w:ascii="宋体" w:hAnsi="宋体" w:cs="宋体"/>
                <w:kern w:val="0"/>
                <w:szCs w:val="21"/>
                <w:highlight w:val="none"/>
                <w:u w:val="single"/>
              </w:rPr>
              <w:t>2.5天</w:t>
            </w:r>
          </w:p>
        </w:tc>
      </w:tr>
      <w:tr>
        <w:tblPrEx>
          <w:tblCellMar>
            <w:top w:w="0" w:type="dxa"/>
            <w:left w:w="108" w:type="dxa"/>
            <w:bottom w:w="0" w:type="dxa"/>
            <w:right w:w="108" w:type="dxa"/>
          </w:tblCellMar>
        </w:tblPrEx>
        <w:trPr>
          <w:trHeight w:val="322" w:hRule="atLeast"/>
          <w:jc w:val="center"/>
        </w:trPr>
        <w:tc>
          <w:tcPr>
            <w:tcW w:w="2064" w:type="dxa"/>
            <w:vMerge w:val="continue"/>
            <w:tcBorders>
              <w:left w:val="single" w:color="auto" w:sz="4" w:space="0"/>
              <w:bottom w:val="single" w:color="000000" w:sz="4" w:space="0"/>
              <w:right w:val="single" w:color="auto" w:sz="4" w:space="0"/>
            </w:tcBorders>
            <w:vAlign w:val="center"/>
          </w:tcPr>
          <w:p>
            <w:pPr>
              <w:widowControl/>
              <w:adjustRightInd w:val="0"/>
              <w:snapToGrid w:val="0"/>
              <w:jc w:val="left"/>
              <w:rPr>
                <w:rFonts w:hint="eastAsia" w:ascii="宋体" w:hAnsi="宋体" w:cs="宋体"/>
                <w:b/>
                <w:bCs/>
                <w:kern w:val="0"/>
                <w:szCs w:val="21"/>
                <w:highlight w:val="none"/>
                <w:u w:val="single"/>
              </w:rPr>
            </w:pPr>
          </w:p>
        </w:tc>
        <w:tc>
          <w:tcPr>
            <w:tcW w:w="5177" w:type="dxa"/>
            <w:tcBorders>
              <w:top w:val="nil"/>
              <w:left w:val="nil"/>
              <w:bottom w:val="single" w:color="auto" w:sz="4" w:space="0"/>
              <w:right w:val="single" w:color="auto" w:sz="4" w:space="0"/>
            </w:tcBorders>
            <w:vAlign w:val="center"/>
          </w:tcPr>
          <w:p>
            <w:pPr>
              <w:widowControl/>
              <w:autoSpaceDE w:val="0"/>
              <w:adjustRightInd w:val="0"/>
              <w:snapToGrid w:val="0"/>
              <w:spacing w:line="360" w:lineRule="auto"/>
              <w:jc w:val="left"/>
              <w:rPr>
                <w:rFonts w:hint="eastAsia" w:ascii="宋体" w:hAnsi="宋体" w:cs="宋体"/>
                <w:kern w:val="0"/>
                <w:szCs w:val="21"/>
                <w:highlight w:val="none"/>
                <w:u w:val="single"/>
              </w:rPr>
            </w:pPr>
            <w:r>
              <w:rPr>
                <w:rFonts w:hint="eastAsia" w:ascii="宋体" w:hAnsi="宋体" w:cs="宋体"/>
                <w:kern w:val="0"/>
                <w:szCs w:val="21"/>
                <w:highlight w:val="none"/>
                <w:u w:val="single"/>
                <w:lang w:bidi="ar"/>
              </w:rPr>
              <w:t>以此类推</w:t>
            </w:r>
          </w:p>
        </w:tc>
        <w:tc>
          <w:tcPr>
            <w:tcW w:w="1598"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Cs w:val="21"/>
                <w:highlight w:val="none"/>
                <w:u w:val="single"/>
              </w:rPr>
            </w:pPr>
          </w:p>
        </w:tc>
      </w:tr>
      <w:tr>
        <w:tblPrEx>
          <w:tblCellMar>
            <w:top w:w="0" w:type="dxa"/>
            <w:left w:w="108" w:type="dxa"/>
            <w:bottom w:w="0" w:type="dxa"/>
            <w:right w:w="108" w:type="dxa"/>
          </w:tblCellMar>
        </w:tblPrEx>
        <w:trPr>
          <w:trHeight w:val="322" w:hRule="atLeast"/>
          <w:jc w:val="center"/>
        </w:trPr>
        <w:tc>
          <w:tcPr>
            <w:tcW w:w="2064" w:type="dxa"/>
            <w:vMerge w:val="restart"/>
            <w:tcBorders>
              <w:top w:val="single" w:color="auto" w:sz="4" w:space="0"/>
              <w:left w:val="single" w:color="auto" w:sz="4" w:space="0"/>
              <w:right w:val="single" w:color="auto" w:sz="4" w:space="0"/>
            </w:tcBorders>
            <w:vAlign w:val="center"/>
          </w:tcPr>
          <w:p>
            <w:pPr>
              <w:widowControl/>
              <w:adjustRightInd w:val="0"/>
              <w:snapToGrid w:val="0"/>
              <w:jc w:val="center"/>
              <w:rPr>
                <w:rFonts w:hint="eastAsia" w:ascii="宋体" w:hAnsi="宋体" w:cs="宋体"/>
                <w:b/>
                <w:bCs/>
                <w:kern w:val="0"/>
                <w:szCs w:val="21"/>
                <w:highlight w:val="none"/>
                <w:u w:val="single"/>
              </w:rPr>
            </w:pPr>
            <w:r>
              <w:rPr>
                <w:rFonts w:hint="eastAsia" w:ascii="宋体" w:hAnsi="宋体" w:cs="宋体"/>
                <w:b/>
                <w:bCs/>
                <w:kern w:val="0"/>
                <w:szCs w:val="21"/>
                <w:highlight w:val="none"/>
                <w:u w:val="single"/>
              </w:rPr>
              <w:t>旅客12:00后入住</w:t>
            </w:r>
          </w:p>
        </w:tc>
        <w:tc>
          <w:tcPr>
            <w:tcW w:w="5177" w:type="dxa"/>
            <w:tcBorders>
              <w:top w:val="single" w:color="auto" w:sz="4" w:space="0"/>
              <w:left w:val="nil"/>
              <w:bottom w:val="single" w:color="auto" w:sz="4" w:space="0"/>
              <w:right w:val="single" w:color="auto" w:sz="4" w:space="0"/>
            </w:tcBorders>
            <w:vAlign w:val="center"/>
          </w:tcPr>
          <w:p>
            <w:pPr>
              <w:widowControl/>
              <w:autoSpaceDE w:val="0"/>
              <w:adjustRightInd w:val="0"/>
              <w:snapToGrid w:val="0"/>
              <w:spacing w:line="360" w:lineRule="auto"/>
              <w:jc w:val="left"/>
              <w:rPr>
                <w:rFonts w:hint="eastAsia" w:ascii="宋体" w:hAnsi="宋体" w:cs="宋体"/>
                <w:kern w:val="0"/>
                <w:szCs w:val="21"/>
                <w:highlight w:val="none"/>
                <w:u w:val="single"/>
              </w:rPr>
            </w:pPr>
            <w:r>
              <w:rPr>
                <w:rFonts w:hint="eastAsia" w:ascii="宋体" w:hAnsi="宋体" w:cs="宋体"/>
                <w:kern w:val="0"/>
                <w:szCs w:val="21"/>
                <w:highlight w:val="none"/>
                <w:u w:val="single"/>
                <w:lang w:bidi="ar"/>
              </w:rPr>
              <w:t>入住时间不足6小时</w:t>
            </w:r>
          </w:p>
        </w:tc>
        <w:tc>
          <w:tcPr>
            <w:tcW w:w="1598" w:type="dxa"/>
            <w:tcBorders>
              <w:top w:val="single" w:color="auto" w:sz="4" w:space="0"/>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Cs w:val="21"/>
                <w:highlight w:val="none"/>
                <w:u w:val="single"/>
              </w:rPr>
            </w:pPr>
            <w:r>
              <w:rPr>
                <w:rFonts w:hint="eastAsia" w:ascii="宋体" w:hAnsi="宋体" w:cs="宋体"/>
                <w:kern w:val="0"/>
                <w:szCs w:val="21"/>
                <w:highlight w:val="none"/>
                <w:u w:val="single"/>
              </w:rPr>
              <w:t>0.5天</w:t>
            </w:r>
          </w:p>
        </w:tc>
      </w:tr>
      <w:tr>
        <w:tblPrEx>
          <w:tblCellMar>
            <w:top w:w="0" w:type="dxa"/>
            <w:left w:w="108" w:type="dxa"/>
            <w:bottom w:w="0" w:type="dxa"/>
            <w:right w:w="108" w:type="dxa"/>
          </w:tblCellMar>
        </w:tblPrEx>
        <w:trPr>
          <w:trHeight w:val="322" w:hRule="atLeast"/>
          <w:jc w:val="center"/>
        </w:trPr>
        <w:tc>
          <w:tcPr>
            <w:tcW w:w="2064" w:type="dxa"/>
            <w:vMerge w:val="continue"/>
            <w:tcBorders>
              <w:top w:val="single" w:color="auto" w:sz="4" w:space="0"/>
              <w:left w:val="single" w:color="auto" w:sz="4" w:space="0"/>
              <w:right w:val="single" w:color="auto" w:sz="4" w:space="0"/>
            </w:tcBorders>
            <w:vAlign w:val="center"/>
          </w:tcPr>
          <w:p>
            <w:pPr>
              <w:widowControl/>
              <w:adjustRightInd w:val="0"/>
              <w:snapToGrid w:val="0"/>
              <w:jc w:val="center"/>
              <w:rPr>
                <w:rFonts w:hint="eastAsia" w:ascii="宋体" w:hAnsi="宋体" w:cs="宋体"/>
                <w:b/>
                <w:bCs/>
                <w:kern w:val="0"/>
                <w:szCs w:val="21"/>
                <w:highlight w:val="none"/>
                <w:u w:val="single"/>
              </w:rPr>
            </w:pPr>
          </w:p>
        </w:tc>
        <w:tc>
          <w:tcPr>
            <w:tcW w:w="5177" w:type="dxa"/>
            <w:tcBorders>
              <w:top w:val="single" w:color="auto" w:sz="4" w:space="0"/>
              <w:left w:val="nil"/>
              <w:bottom w:val="single" w:color="auto" w:sz="4" w:space="0"/>
              <w:right w:val="single" w:color="auto" w:sz="4" w:space="0"/>
            </w:tcBorders>
            <w:vAlign w:val="center"/>
          </w:tcPr>
          <w:p>
            <w:pPr>
              <w:widowControl/>
              <w:autoSpaceDE w:val="0"/>
              <w:adjustRightInd w:val="0"/>
              <w:snapToGrid w:val="0"/>
              <w:spacing w:line="360" w:lineRule="auto"/>
              <w:jc w:val="left"/>
              <w:rPr>
                <w:rFonts w:hint="eastAsia" w:ascii="宋体" w:hAnsi="宋体" w:cs="宋体"/>
                <w:kern w:val="0"/>
                <w:szCs w:val="21"/>
                <w:highlight w:val="none"/>
                <w:u w:val="single"/>
              </w:rPr>
            </w:pPr>
            <w:r>
              <w:rPr>
                <w:rFonts w:hint="eastAsia" w:ascii="宋体" w:hAnsi="宋体" w:cs="宋体"/>
                <w:kern w:val="0"/>
                <w:szCs w:val="21"/>
                <w:highlight w:val="none"/>
                <w:u w:val="single"/>
                <w:lang w:bidi="ar"/>
              </w:rPr>
              <w:t>旅客入住时间超过6小时（含）（当天入住当天退房）</w:t>
            </w:r>
          </w:p>
        </w:tc>
        <w:tc>
          <w:tcPr>
            <w:tcW w:w="1598" w:type="dxa"/>
            <w:tcBorders>
              <w:top w:val="single" w:color="auto" w:sz="4" w:space="0"/>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Cs w:val="21"/>
                <w:highlight w:val="none"/>
                <w:u w:val="single"/>
              </w:rPr>
            </w:pPr>
            <w:r>
              <w:rPr>
                <w:rFonts w:hint="eastAsia" w:ascii="宋体" w:hAnsi="宋体" w:cs="宋体"/>
                <w:kern w:val="0"/>
                <w:szCs w:val="21"/>
                <w:highlight w:val="none"/>
                <w:u w:val="single"/>
              </w:rPr>
              <w:t>1天</w:t>
            </w:r>
          </w:p>
        </w:tc>
      </w:tr>
      <w:tr>
        <w:tblPrEx>
          <w:tblCellMar>
            <w:top w:w="0" w:type="dxa"/>
            <w:left w:w="108" w:type="dxa"/>
            <w:bottom w:w="0" w:type="dxa"/>
            <w:right w:w="108" w:type="dxa"/>
          </w:tblCellMar>
        </w:tblPrEx>
        <w:trPr>
          <w:trHeight w:val="322" w:hRule="atLeast"/>
          <w:jc w:val="center"/>
        </w:trPr>
        <w:tc>
          <w:tcPr>
            <w:tcW w:w="2064" w:type="dxa"/>
            <w:vMerge w:val="continue"/>
            <w:tcBorders>
              <w:top w:val="single" w:color="auto" w:sz="4" w:space="0"/>
              <w:left w:val="single" w:color="auto" w:sz="4" w:space="0"/>
              <w:right w:val="single" w:color="auto" w:sz="4" w:space="0"/>
            </w:tcBorders>
            <w:vAlign w:val="center"/>
          </w:tcPr>
          <w:p>
            <w:pPr>
              <w:widowControl/>
              <w:adjustRightInd w:val="0"/>
              <w:snapToGrid w:val="0"/>
              <w:jc w:val="center"/>
              <w:rPr>
                <w:rFonts w:hint="eastAsia" w:ascii="宋体" w:hAnsi="宋体" w:cs="宋体"/>
                <w:b/>
                <w:bCs/>
                <w:kern w:val="0"/>
                <w:szCs w:val="21"/>
                <w:highlight w:val="none"/>
                <w:u w:val="single"/>
              </w:rPr>
            </w:pPr>
          </w:p>
        </w:tc>
        <w:tc>
          <w:tcPr>
            <w:tcW w:w="5177" w:type="dxa"/>
            <w:tcBorders>
              <w:top w:val="single" w:color="auto" w:sz="4" w:space="0"/>
              <w:left w:val="nil"/>
              <w:bottom w:val="single" w:color="auto" w:sz="4" w:space="0"/>
              <w:right w:val="single" w:color="auto" w:sz="4" w:space="0"/>
            </w:tcBorders>
            <w:vAlign w:val="center"/>
          </w:tcPr>
          <w:p>
            <w:pPr>
              <w:widowControl/>
              <w:autoSpaceDE w:val="0"/>
              <w:adjustRightInd w:val="0"/>
              <w:snapToGrid w:val="0"/>
              <w:spacing w:line="360" w:lineRule="auto"/>
              <w:jc w:val="left"/>
              <w:rPr>
                <w:rFonts w:hint="eastAsia" w:ascii="宋体" w:hAnsi="宋体" w:cs="宋体"/>
                <w:kern w:val="0"/>
                <w:szCs w:val="21"/>
                <w:highlight w:val="none"/>
                <w:u w:val="single"/>
              </w:rPr>
            </w:pPr>
            <w:r>
              <w:rPr>
                <w:rFonts w:hint="eastAsia" w:ascii="宋体" w:hAnsi="宋体" w:cs="宋体"/>
                <w:kern w:val="0"/>
                <w:szCs w:val="21"/>
                <w:highlight w:val="none"/>
                <w:u w:val="single"/>
                <w:lang w:bidi="ar"/>
              </w:rPr>
              <w:t>次日16:00（含）前退房</w:t>
            </w:r>
          </w:p>
        </w:tc>
        <w:tc>
          <w:tcPr>
            <w:tcW w:w="1598" w:type="dxa"/>
            <w:tcBorders>
              <w:top w:val="single" w:color="auto" w:sz="4" w:space="0"/>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Cs w:val="21"/>
                <w:highlight w:val="none"/>
                <w:u w:val="single"/>
              </w:rPr>
            </w:pPr>
            <w:r>
              <w:rPr>
                <w:rFonts w:hint="eastAsia" w:ascii="宋体" w:hAnsi="宋体" w:cs="宋体"/>
                <w:kern w:val="0"/>
                <w:szCs w:val="21"/>
                <w:highlight w:val="none"/>
                <w:u w:val="single"/>
              </w:rPr>
              <w:t>1天</w:t>
            </w:r>
          </w:p>
        </w:tc>
      </w:tr>
      <w:tr>
        <w:tblPrEx>
          <w:tblCellMar>
            <w:top w:w="0" w:type="dxa"/>
            <w:left w:w="108" w:type="dxa"/>
            <w:bottom w:w="0" w:type="dxa"/>
            <w:right w:w="108" w:type="dxa"/>
          </w:tblCellMar>
        </w:tblPrEx>
        <w:trPr>
          <w:trHeight w:val="322" w:hRule="atLeast"/>
          <w:jc w:val="center"/>
        </w:trPr>
        <w:tc>
          <w:tcPr>
            <w:tcW w:w="2064" w:type="dxa"/>
            <w:vMerge w:val="continue"/>
            <w:tcBorders>
              <w:left w:val="single" w:color="auto" w:sz="4" w:space="0"/>
              <w:right w:val="single" w:color="auto" w:sz="4" w:space="0"/>
            </w:tcBorders>
            <w:vAlign w:val="center"/>
          </w:tcPr>
          <w:p>
            <w:pPr>
              <w:widowControl/>
              <w:adjustRightInd w:val="0"/>
              <w:snapToGrid w:val="0"/>
              <w:jc w:val="left"/>
              <w:rPr>
                <w:rFonts w:hint="eastAsia" w:ascii="宋体" w:hAnsi="宋体" w:cs="宋体"/>
                <w:b/>
                <w:bCs/>
                <w:kern w:val="0"/>
                <w:szCs w:val="21"/>
                <w:highlight w:val="none"/>
                <w:u w:val="single"/>
              </w:rPr>
            </w:pPr>
          </w:p>
        </w:tc>
        <w:tc>
          <w:tcPr>
            <w:tcW w:w="5177" w:type="dxa"/>
            <w:tcBorders>
              <w:top w:val="nil"/>
              <w:left w:val="nil"/>
              <w:bottom w:val="single" w:color="auto" w:sz="4" w:space="0"/>
              <w:right w:val="single" w:color="auto" w:sz="4" w:space="0"/>
            </w:tcBorders>
            <w:vAlign w:val="center"/>
          </w:tcPr>
          <w:p>
            <w:pPr>
              <w:widowControl/>
              <w:autoSpaceDE w:val="0"/>
              <w:adjustRightInd w:val="0"/>
              <w:snapToGrid w:val="0"/>
              <w:spacing w:line="360" w:lineRule="auto"/>
              <w:jc w:val="left"/>
              <w:rPr>
                <w:rFonts w:hint="eastAsia" w:ascii="宋体" w:hAnsi="宋体" w:cs="宋体"/>
                <w:kern w:val="0"/>
                <w:szCs w:val="21"/>
                <w:highlight w:val="none"/>
                <w:u w:val="single"/>
              </w:rPr>
            </w:pPr>
            <w:r>
              <w:rPr>
                <w:rFonts w:hint="eastAsia" w:ascii="宋体" w:hAnsi="宋体" w:cs="宋体"/>
                <w:kern w:val="0"/>
                <w:szCs w:val="21"/>
                <w:highlight w:val="none"/>
                <w:u w:val="single"/>
                <w:lang w:bidi="ar"/>
              </w:rPr>
              <w:t>次日16:00 后至18:00（含）前退房</w:t>
            </w:r>
          </w:p>
        </w:tc>
        <w:tc>
          <w:tcPr>
            <w:tcW w:w="1598"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Cs w:val="21"/>
                <w:highlight w:val="none"/>
                <w:u w:val="single"/>
              </w:rPr>
            </w:pPr>
            <w:r>
              <w:rPr>
                <w:rFonts w:hint="eastAsia" w:ascii="宋体" w:hAnsi="宋体" w:cs="宋体"/>
                <w:kern w:val="0"/>
                <w:szCs w:val="21"/>
                <w:highlight w:val="none"/>
                <w:u w:val="single"/>
              </w:rPr>
              <w:t>1.5天</w:t>
            </w:r>
          </w:p>
        </w:tc>
      </w:tr>
      <w:tr>
        <w:tblPrEx>
          <w:tblCellMar>
            <w:top w:w="0" w:type="dxa"/>
            <w:left w:w="108" w:type="dxa"/>
            <w:bottom w:w="0" w:type="dxa"/>
            <w:right w:w="108" w:type="dxa"/>
          </w:tblCellMar>
        </w:tblPrEx>
        <w:trPr>
          <w:trHeight w:val="322" w:hRule="atLeast"/>
          <w:jc w:val="center"/>
        </w:trPr>
        <w:tc>
          <w:tcPr>
            <w:tcW w:w="2064" w:type="dxa"/>
            <w:vMerge w:val="continue"/>
            <w:tcBorders>
              <w:left w:val="single" w:color="auto" w:sz="4" w:space="0"/>
              <w:right w:val="single" w:color="auto" w:sz="4" w:space="0"/>
            </w:tcBorders>
            <w:vAlign w:val="center"/>
          </w:tcPr>
          <w:p>
            <w:pPr>
              <w:widowControl/>
              <w:adjustRightInd w:val="0"/>
              <w:snapToGrid w:val="0"/>
              <w:jc w:val="left"/>
              <w:rPr>
                <w:rFonts w:hint="eastAsia" w:ascii="宋体" w:hAnsi="宋体" w:cs="宋体"/>
                <w:b/>
                <w:bCs/>
                <w:kern w:val="0"/>
                <w:szCs w:val="21"/>
                <w:highlight w:val="none"/>
                <w:u w:val="single"/>
              </w:rPr>
            </w:pPr>
          </w:p>
        </w:tc>
        <w:tc>
          <w:tcPr>
            <w:tcW w:w="5177" w:type="dxa"/>
            <w:tcBorders>
              <w:top w:val="nil"/>
              <w:left w:val="nil"/>
              <w:bottom w:val="single" w:color="auto" w:sz="4" w:space="0"/>
              <w:right w:val="single" w:color="auto" w:sz="4" w:space="0"/>
            </w:tcBorders>
            <w:vAlign w:val="center"/>
          </w:tcPr>
          <w:p>
            <w:pPr>
              <w:widowControl/>
              <w:autoSpaceDE w:val="0"/>
              <w:adjustRightInd w:val="0"/>
              <w:snapToGrid w:val="0"/>
              <w:spacing w:line="360" w:lineRule="auto"/>
              <w:jc w:val="left"/>
              <w:rPr>
                <w:rFonts w:hint="eastAsia" w:ascii="宋体" w:hAnsi="宋体" w:cs="宋体"/>
                <w:kern w:val="0"/>
                <w:szCs w:val="21"/>
                <w:highlight w:val="none"/>
                <w:u w:val="single"/>
              </w:rPr>
            </w:pPr>
            <w:r>
              <w:rPr>
                <w:rFonts w:hint="eastAsia" w:ascii="宋体" w:hAnsi="宋体" w:cs="宋体"/>
                <w:kern w:val="0"/>
                <w:szCs w:val="21"/>
                <w:highlight w:val="none"/>
                <w:u w:val="single"/>
                <w:lang w:bidi="ar"/>
              </w:rPr>
              <w:t>次日18:00后至第三日12:00（含）退房</w:t>
            </w:r>
          </w:p>
        </w:tc>
        <w:tc>
          <w:tcPr>
            <w:tcW w:w="1598"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Cs w:val="21"/>
                <w:highlight w:val="none"/>
                <w:u w:val="single"/>
              </w:rPr>
            </w:pPr>
            <w:r>
              <w:rPr>
                <w:rFonts w:hint="eastAsia" w:ascii="宋体" w:hAnsi="宋体" w:cs="宋体"/>
                <w:kern w:val="0"/>
                <w:szCs w:val="21"/>
                <w:highlight w:val="none"/>
                <w:u w:val="single"/>
              </w:rPr>
              <w:t>2天</w:t>
            </w:r>
          </w:p>
        </w:tc>
      </w:tr>
      <w:tr>
        <w:tblPrEx>
          <w:tblCellMar>
            <w:top w:w="0" w:type="dxa"/>
            <w:left w:w="108" w:type="dxa"/>
            <w:bottom w:w="0" w:type="dxa"/>
            <w:right w:w="108" w:type="dxa"/>
          </w:tblCellMar>
        </w:tblPrEx>
        <w:trPr>
          <w:trHeight w:val="322" w:hRule="atLeast"/>
          <w:jc w:val="center"/>
        </w:trPr>
        <w:tc>
          <w:tcPr>
            <w:tcW w:w="2064" w:type="dxa"/>
            <w:vMerge w:val="continue"/>
            <w:tcBorders>
              <w:left w:val="single" w:color="auto" w:sz="4" w:space="0"/>
              <w:right w:val="single" w:color="auto" w:sz="4" w:space="0"/>
            </w:tcBorders>
            <w:vAlign w:val="center"/>
          </w:tcPr>
          <w:p>
            <w:pPr>
              <w:widowControl/>
              <w:adjustRightInd w:val="0"/>
              <w:snapToGrid w:val="0"/>
              <w:jc w:val="left"/>
              <w:rPr>
                <w:rFonts w:hint="eastAsia" w:ascii="宋体" w:hAnsi="宋体" w:cs="宋体"/>
                <w:b/>
                <w:bCs/>
                <w:kern w:val="0"/>
                <w:szCs w:val="21"/>
                <w:highlight w:val="none"/>
                <w:u w:val="single"/>
              </w:rPr>
            </w:pPr>
          </w:p>
        </w:tc>
        <w:tc>
          <w:tcPr>
            <w:tcW w:w="5177" w:type="dxa"/>
            <w:tcBorders>
              <w:top w:val="nil"/>
              <w:left w:val="nil"/>
              <w:bottom w:val="single" w:color="auto" w:sz="4" w:space="0"/>
              <w:right w:val="single" w:color="auto" w:sz="4" w:space="0"/>
            </w:tcBorders>
            <w:vAlign w:val="center"/>
          </w:tcPr>
          <w:p>
            <w:pPr>
              <w:widowControl/>
              <w:autoSpaceDE w:val="0"/>
              <w:adjustRightInd w:val="0"/>
              <w:snapToGrid w:val="0"/>
              <w:spacing w:line="360" w:lineRule="auto"/>
              <w:jc w:val="left"/>
              <w:rPr>
                <w:rFonts w:hint="eastAsia" w:ascii="宋体" w:hAnsi="宋体" w:cs="宋体"/>
                <w:kern w:val="0"/>
                <w:szCs w:val="21"/>
                <w:highlight w:val="none"/>
                <w:u w:val="single"/>
              </w:rPr>
            </w:pPr>
            <w:r>
              <w:rPr>
                <w:rFonts w:hint="eastAsia" w:ascii="宋体" w:hAnsi="宋体" w:cs="宋体"/>
                <w:kern w:val="0"/>
                <w:szCs w:val="21"/>
                <w:highlight w:val="none"/>
                <w:u w:val="single"/>
                <w:lang w:bidi="ar"/>
              </w:rPr>
              <w:t>第三日12:00后至21:00（含）前退房</w:t>
            </w:r>
          </w:p>
        </w:tc>
        <w:tc>
          <w:tcPr>
            <w:tcW w:w="1598"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Cs w:val="21"/>
                <w:highlight w:val="none"/>
                <w:u w:val="single"/>
              </w:rPr>
            </w:pPr>
            <w:r>
              <w:rPr>
                <w:rFonts w:hint="eastAsia" w:ascii="宋体" w:hAnsi="宋体" w:cs="宋体"/>
                <w:kern w:val="0"/>
                <w:szCs w:val="21"/>
                <w:highlight w:val="none"/>
                <w:u w:val="single"/>
              </w:rPr>
              <w:t>2.5天</w:t>
            </w:r>
          </w:p>
        </w:tc>
      </w:tr>
      <w:tr>
        <w:tblPrEx>
          <w:tblCellMar>
            <w:top w:w="0" w:type="dxa"/>
            <w:left w:w="108" w:type="dxa"/>
            <w:bottom w:w="0" w:type="dxa"/>
            <w:right w:w="108" w:type="dxa"/>
          </w:tblCellMar>
        </w:tblPrEx>
        <w:trPr>
          <w:trHeight w:val="341" w:hRule="atLeast"/>
          <w:jc w:val="center"/>
        </w:trPr>
        <w:tc>
          <w:tcPr>
            <w:tcW w:w="2064" w:type="dxa"/>
            <w:vMerge w:val="continue"/>
            <w:tcBorders>
              <w:left w:val="single" w:color="auto" w:sz="4" w:space="0"/>
              <w:bottom w:val="single" w:color="000000" w:sz="4" w:space="0"/>
              <w:right w:val="single" w:color="auto" w:sz="4" w:space="0"/>
            </w:tcBorders>
            <w:vAlign w:val="center"/>
          </w:tcPr>
          <w:p>
            <w:pPr>
              <w:widowControl/>
              <w:adjustRightInd w:val="0"/>
              <w:snapToGrid w:val="0"/>
              <w:jc w:val="left"/>
              <w:rPr>
                <w:rFonts w:hint="eastAsia" w:ascii="宋体" w:hAnsi="宋体" w:cs="宋体"/>
                <w:b/>
                <w:bCs/>
                <w:kern w:val="0"/>
                <w:szCs w:val="21"/>
                <w:highlight w:val="none"/>
                <w:u w:val="single"/>
              </w:rPr>
            </w:pPr>
          </w:p>
        </w:tc>
        <w:tc>
          <w:tcPr>
            <w:tcW w:w="5177" w:type="dxa"/>
            <w:tcBorders>
              <w:top w:val="single" w:color="auto" w:sz="4" w:space="0"/>
              <w:left w:val="nil"/>
              <w:bottom w:val="single" w:color="auto" w:sz="4" w:space="0"/>
              <w:right w:val="single" w:color="auto" w:sz="4" w:space="0"/>
            </w:tcBorders>
            <w:vAlign w:val="center"/>
          </w:tcPr>
          <w:p>
            <w:pPr>
              <w:widowControl/>
              <w:autoSpaceDE w:val="0"/>
              <w:adjustRightInd w:val="0"/>
              <w:snapToGrid w:val="0"/>
              <w:spacing w:line="360" w:lineRule="auto"/>
              <w:jc w:val="left"/>
              <w:rPr>
                <w:rFonts w:hint="eastAsia" w:ascii="宋体" w:hAnsi="宋体" w:cs="宋体"/>
                <w:kern w:val="0"/>
                <w:szCs w:val="21"/>
                <w:highlight w:val="none"/>
                <w:u w:val="single"/>
              </w:rPr>
            </w:pPr>
            <w:r>
              <w:rPr>
                <w:rFonts w:hint="eastAsia" w:ascii="宋体" w:hAnsi="宋体" w:cs="宋体"/>
                <w:kern w:val="0"/>
                <w:szCs w:val="21"/>
                <w:highlight w:val="none"/>
                <w:u w:val="single"/>
                <w:lang w:bidi="ar"/>
              </w:rPr>
              <w:t>以此类推</w:t>
            </w:r>
          </w:p>
        </w:tc>
        <w:tc>
          <w:tcPr>
            <w:tcW w:w="1598" w:type="dxa"/>
            <w:tcBorders>
              <w:top w:val="single" w:color="auto" w:sz="4" w:space="0"/>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Cs w:val="21"/>
                <w:highlight w:val="none"/>
                <w:u w:val="single"/>
              </w:rPr>
            </w:pPr>
          </w:p>
        </w:tc>
      </w:tr>
    </w:tbl>
    <w:p>
      <w:pPr>
        <w:widowControl/>
        <w:autoSpaceDE w:val="0"/>
        <w:autoSpaceDN w:val="0"/>
        <w:adjustRightInd w:val="0"/>
        <w:snapToGrid w:val="0"/>
        <w:spacing w:line="440" w:lineRule="exact"/>
        <w:ind w:firstLine="800" w:firstLineChars="4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  </w:t>
      </w:r>
    </w:p>
    <w:p>
      <w:pPr>
        <w:ind w:firstLine="402" w:firstLineChars="200"/>
        <w:rPr>
          <w:rFonts w:hint="eastAsia" w:asciiTheme="minorEastAsia" w:hAnsiTheme="minorEastAsia" w:eastAsiaTheme="minorEastAsia" w:cstheme="minorEastAsia"/>
          <w:b/>
          <w:sz w:val="20"/>
          <w:szCs w:val="20"/>
          <w:highlight w:val="none"/>
          <w:lang w:val="zh-CN"/>
        </w:rPr>
      </w:pPr>
      <w:r>
        <w:rPr>
          <w:rFonts w:hint="eastAsia" w:asciiTheme="minorEastAsia" w:hAnsiTheme="minorEastAsia" w:eastAsiaTheme="minorEastAsia" w:cstheme="minorEastAsia"/>
          <w:b/>
          <w:sz w:val="20"/>
          <w:szCs w:val="20"/>
          <w:highlight w:val="none"/>
          <w:lang w:val="zh-CN"/>
        </w:rPr>
        <w:t>第</w:t>
      </w:r>
      <w:r>
        <w:rPr>
          <w:rFonts w:hint="eastAsia" w:asciiTheme="minorEastAsia" w:hAnsiTheme="minorEastAsia" w:eastAsiaTheme="minorEastAsia" w:cstheme="minorEastAsia"/>
          <w:b/>
          <w:sz w:val="20"/>
          <w:szCs w:val="20"/>
          <w:highlight w:val="none"/>
        </w:rPr>
        <w:t>五</w:t>
      </w:r>
      <w:r>
        <w:rPr>
          <w:rFonts w:hint="eastAsia" w:asciiTheme="minorEastAsia" w:hAnsiTheme="minorEastAsia" w:eastAsiaTheme="minorEastAsia" w:cstheme="minorEastAsia"/>
          <w:b/>
          <w:sz w:val="20"/>
          <w:szCs w:val="20"/>
          <w:highlight w:val="none"/>
          <w:lang w:val="zh-CN"/>
        </w:rPr>
        <w:t xml:space="preserve">条 </w:t>
      </w:r>
      <w:r>
        <w:rPr>
          <w:rFonts w:hint="eastAsia" w:asciiTheme="minorEastAsia" w:hAnsiTheme="minorEastAsia" w:eastAsiaTheme="minorEastAsia" w:cstheme="minorEastAsia"/>
          <w:b/>
          <w:sz w:val="20"/>
          <w:szCs w:val="20"/>
          <w:highlight w:val="none"/>
        </w:rPr>
        <w:t xml:space="preserve"> </w:t>
      </w:r>
      <w:r>
        <w:rPr>
          <w:rFonts w:hint="eastAsia" w:asciiTheme="minorEastAsia" w:hAnsiTheme="minorEastAsia" w:eastAsiaTheme="minorEastAsia" w:cstheme="minorEastAsia"/>
          <w:b/>
          <w:sz w:val="20"/>
          <w:szCs w:val="20"/>
          <w:highlight w:val="none"/>
          <w:lang w:val="zh-CN"/>
        </w:rPr>
        <w:t>违约责任</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5</w:t>
      </w:r>
      <w:r>
        <w:rPr>
          <w:rFonts w:hint="eastAsia" w:asciiTheme="minorEastAsia" w:hAnsiTheme="minorEastAsia" w:eastAsiaTheme="minorEastAsia" w:cstheme="minorEastAsia"/>
          <w:sz w:val="20"/>
          <w:szCs w:val="20"/>
          <w:highlight w:val="none"/>
          <w:lang w:val="zh-CN"/>
        </w:rPr>
        <w:t>.</w:t>
      </w:r>
      <w:r>
        <w:rPr>
          <w:rFonts w:hint="eastAsia" w:asciiTheme="minorEastAsia" w:hAnsiTheme="minorEastAsia" w:eastAsiaTheme="minorEastAsia" w:cstheme="minorEastAsia"/>
          <w:sz w:val="20"/>
          <w:szCs w:val="20"/>
          <w:highlight w:val="none"/>
        </w:rPr>
        <w:t>1</w:t>
      </w:r>
      <w:r>
        <w:rPr>
          <w:rFonts w:hint="eastAsia" w:asciiTheme="minorEastAsia" w:hAnsiTheme="minorEastAsia" w:eastAsiaTheme="minorEastAsia" w:cstheme="minorEastAsia"/>
          <w:sz w:val="20"/>
          <w:szCs w:val="20"/>
          <w:highlight w:val="none"/>
          <w:lang w:val="zh-CN"/>
        </w:rPr>
        <w:t xml:space="preserve"> </w:t>
      </w:r>
      <w:r>
        <w:rPr>
          <w:rFonts w:hint="eastAsia" w:asciiTheme="minorEastAsia" w:hAnsiTheme="minorEastAsia" w:eastAsiaTheme="minorEastAsia" w:cstheme="minorEastAsia"/>
          <w:sz w:val="20"/>
          <w:szCs w:val="20"/>
          <w:highlight w:val="none"/>
        </w:rPr>
        <w:t>乙方因违反下列条款约定而发生</w:t>
      </w:r>
      <w:r>
        <w:rPr>
          <w:rFonts w:hint="eastAsia" w:ascii="宋体" w:hAnsi="宋体" w:cs="宋体"/>
          <w:sz w:val="20"/>
          <w:szCs w:val="20"/>
          <w:highlight w:val="none"/>
        </w:rPr>
        <w:t>应支付的违约金、赔偿款或应承担的费用，甲方有权按本协议</w:t>
      </w:r>
      <w:r>
        <w:rPr>
          <w:rFonts w:hint="eastAsia" w:asciiTheme="minorEastAsia" w:hAnsiTheme="minorEastAsia" w:eastAsiaTheme="minorEastAsia" w:cstheme="minorEastAsia"/>
          <w:sz w:val="20"/>
          <w:szCs w:val="20"/>
          <w:highlight w:val="none"/>
        </w:rPr>
        <w:t>第</w:t>
      </w:r>
      <w:r>
        <w:rPr>
          <w:rFonts w:hint="eastAsia" w:asciiTheme="minorEastAsia" w:hAnsiTheme="minorEastAsia" w:eastAsiaTheme="minorEastAsia" w:cstheme="minorEastAsia"/>
          <w:sz w:val="20"/>
          <w:szCs w:val="20"/>
          <w:highlight w:val="none"/>
          <w:u w:val="single"/>
        </w:rPr>
        <w:t xml:space="preserve">  4.4  </w:t>
      </w:r>
      <w:r>
        <w:rPr>
          <w:rFonts w:hint="eastAsia" w:asciiTheme="minorEastAsia" w:hAnsiTheme="minorEastAsia" w:eastAsiaTheme="minorEastAsia" w:cstheme="minorEastAsia"/>
          <w:sz w:val="20"/>
          <w:szCs w:val="20"/>
          <w:highlight w:val="none"/>
        </w:rPr>
        <w:t>条款</w:t>
      </w:r>
      <w:r>
        <w:rPr>
          <w:rFonts w:hint="eastAsia" w:ascii="宋体" w:hAnsi="宋体" w:cs="宋体"/>
          <w:sz w:val="20"/>
          <w:szCs w:val="20"/>
          <w:highlight w:val="none"/>
        </w:rPr>
        <w:t>约定在任意一期应付款中直接扣除，不足部分乙方应当补足，甲方因此不承担任何责任。如违约行为给甲方造成损失的，乙方应另行赔偿甲方</w:t>
      </w:r>
      <w:r>
        <w:rPr>
          <w:rFonts w:hint="eastAsia" w:asciiTheme="minorEastAsia" w:hAnsiTheme="minorEastAsia" w:eastAsiaTheme="minorEastAsia" w:cstheme="minorEastAsia"/>
          <w:sz w:val="20"/>
          <w:szCs w:val="20"/>
          <w:highlight w:val="none"/>
        </w:rPr>
        <w:t>全部的直接、间接经济损失以及承担相应的法律责任</w:t>
      </w:r>
      <w:r>
        <w:rPr>
          <w:rFonts w:hint="eastAsia" w:ascii="宋体" w:hAnsi="宋体" w:cs="宋体"/>
          <w:sz w:val="20"/>
          <w:szCs w:val="20"/>
          <w:highlight w:val="none"/>
        </w:rPr>
        <w:t>，</w:t>
      </w:r>
      <w:r>
        <w:rPr>
          <w:rFonts w:hint="eastAsia" w:asciiTheme="minorEastAsia" w:hAnsiTheme="minorEastAsia" w:eastAsiaTheme="minorEastAsia" w:cstheme="minorEastAsia"/>
          <w:sz w:val="20"/>
          <w:szCs w:val="20"/>
          <w:highlight w:val="none"/>
        </w:rPr>
        <w:t xml:space="preserve">甲方可按照  </w:t>
      </w:r>
      <w:r>
        <w:rPr>
          <w:rFonts w:hint="eastAsia" w:asciiTheme="minorEastAsia" w:hAnsiTheme="minorEastAsia" w:eastAsiaTheme="minorEastAsia" w:cstheme="minorEastAsia"/>
          <w:sz w:val="20"/>
          <w:szCs w:val="20"/>
          <w:highlight w:val="none"/>
          <w:u w:val="single"/>
        </w:rPr>
        <w:t xml:space="preserve">附件4  </w:t>
      </w:r>
      <w:r>
        <w:rPr>
          <w:rFonts w:hint="eastAsia" w:asciiTheme="minorEastAsia" w:hAnsiTheme="minorEastAsia" w:eastAsiaTheme="minorEastAsia" w:cstheme="minorEastAsia"/>
          <w:sz w:val="20"/>
          <w:szCs w:val="20"/>
          <w:highlight w:val="none"/>
        </w:rPr>
        <w:t>文件规定追究乙方的相关责任：</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rPr>
        <w:t>5.1.1 甲方旅客通过官网（含南航APP、微信等方式）及现场柜台预订酒店，其预订客房至少保留3小时（以旅客航班实际落地时间为准），</w:t>
      </w:r>
      <w:r>
        <w:rPr>
          <w:rFonts w:hint="eastAsia" w:asciiTheme="minorEastAsia" w:hAnsiTheme="minorEastAsia" w:eastAsiaTheme="minorEastAsia" w:cstheme="minorEastAsia"/>
          <w:sz w:val="20"/>
          <w:szCs w:val="20"/>
          <w:highlight w:val="none"/>
          <w:lang w:val="zh-CN"/>
        </w:rPr>
        <w:t>一经确认，乙方不得以任何理由拒绝旅客入住，否则由此产生的一切责任，由乙方承担；</w:t>
      </w:r>
      <w:r>
        <w:rPr>
          <w:rFonts w:hint="eastAsia" w:asciiTheme="minorEastAsia" w:hAnsiTheme="minorEastAsia" w:eastAsiaTheme="minorEastAsia" w:cstheme="minorEastAsia"/>
          <w:sz w:val="20"/>
          <w:szCs w:val="20"/>
          <w:highlight w:val="none"/>
        </w:rPr>
        <w:t>乙方每拒绝1名旅客，甲方有权在应付的前期服务费中</w:t>
      </w:r>
      <w:r>
        <w:rPr>
          <w:rFonts w:hint="eastAsia" w:asciiTheme="minorEastAsia" w:hAnsiTheme="minorEastAsia" w:eastAsiaTheme="minorEastAsia" w:cstheme="minorEastAsia"/>
          <w:sz w:val="20"/>
          <w:szCs w:val="20"/>
          <w:highlight w:val="none"/>
          <w:u w:val="single"/>
        </w:rPr>
        <w:t>扣除200元违约金</w:t>
      </w:r>
      <w:r>
        <w:rPr>
          <w:rFonts w:hint="eastAsia" w:asciiTheme="minorEastAsia" w:hAnsiTheme="minorEastAsia" w:eastAsiaTheme="minorEastAsia" w:cstheme="minorEastAsia"/>
          <w:sz w:val="20"/>
          <w:szCs w:val="20"/>
          <w:highlight w:val="none"/>
        </w:rPr>
        <w:t xml:space="preserve">，并按照  </w:t>
      </w:r>
      <w:r>
        <w:rPr>
          <w:rFonts w:hint="eastAsia" w:asciiTheme="minorEastAsia" w:hAnsiTheme="minorEastAsia" w:eastAsiaTheme="minorEastAsia" w:cstheme="minorEastAsia"/>
          <w:sz w:val="20"/>
          <w:szCs w:val="20"/>
          <w:highlight w:val="none"/>
          <w:u w:val="single"/>
        </w:rPr>
        <w:t xml:space="preserve">附件4  </w:t>
      </w:r>
      <w:r>
        <w:rPr>
          <w:rFonts w:hint="eastAsia" w:asciiTheme="minorEastAsia" w:hAnsiTheme="minorEastAsia" w:eastAsiaTheme="minorEastAsia" w:cstheme="minorEastAsia"/>
          <w:sz w:val="20"/>
          <w:szCs w:val="20"/>
          <w:highlight w:val="none"/>
        </w:rPr>
        <w:t>相关规定对乙方进行处理</w:t>
      </w:r>
      <w:r>
        <w:rPr>
          <w:rFonts w:hint="eastAsia" w:asciiTheme="minorEastAsia" w:hAnsiTheme="minorEastAsia" w:eastAsiaTheme="minorEastAsia" w:cstheme="minorEastAsia"/>
          <w:sz w:val="20"/>
          <w:szCs w:val="20"/>
          <w:highlight w:val="none"/>
          <w:lang w:val="zh-CN"/>
        </w:rPr>
        <w:t>。</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rPr>
        <w:t>5.1.2 乙方确认航延旅客的住宿安排后，</w:t>
      </w:r>
      <w:r>
        <w:rPr>
          <w:rFonts w:hint="eastAsia" w:asciiTheme="minorEastAsia" w:hAnsiTheme="minorEastAsia" w:eastAsiaTheme="minorEastAsia" w:cstheme="minorEastAsia"/>
          <w:sz w:val="20"/>
          <w:szCs w:val="20"/>
          <w:highlight w:val="none"/>
          <w:lang w:val="zh-CN"/>
        </w:rPr>
        <w:t>不得以任何理由拒绝旅客入住，否则</w:t>
      </w:r>
      <w:r>
        <w:rPr>
          <w:rFonts w:hint="eastAsia" w:asciiTheme="minorEastAsia" w:hAnsiTheme="minorEastAsia" w:eastAsiaTheme="minorEastAsia" w:cstheme="minorEastAsia"/>
          <w:sz w:val="20"/>
          <w:szCs w:val="20"/>
          <w:highlight w:val="none"/>
        </w:rPr>
        <w:t>每拒绝1名旅客，甲方有权在应付的前期服务费中</w:t>
      </w:r>
      <w:r>
        <w:rPr>
          <w:rFonts w:hint="eastAsia" w:asciiTheme="minorEastAsia" w:hAnsiTheme="minorEastAsia" w:eastAsiaTheme="minorEastAsia" w:cstheme="minorEastAsia"/>
          <w:sz w:val="20"/>
          <w:szCs w:val="20"/>
          <w:highlight w:val="none"/>
          <w:u w:val="single"/>
        </w:rPr>
        <w:t>扣除50元违约金</w:t>
      </w:r>
      <w:r>
        <w:rPr>
          <w:rFonts w:hint="eastAsia" w:asciiTheme="minorEastAsia" w:hAnsiTheme="minorEastAsia" w:eastAsiaTheme="minorEastAsia" w:cstheme="minorEastAsia"/>
          <w:sz w:val="20"/>
          <w:szCs w:val="20"/>
          <w:highlight w:val="none"/>
          <w:lang w:val="zh-CN"/>
        </w:rPr>
        <w:t>。</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rPr>
        <w:t>5.1.3</w:t>
      </w:r>
      <w:r>
        <w:rPr>
          <w:rFonts w:hint="eastAsia" w:asciiTheme="minorEastAsia" w:hAnsiTheme="minorEastAsia" w:eastAsiaTheme="minorEastAsia" w:cstheme="minorEastAsia"/>
          <w:sz w:val="20"/>
          <w:szCs w:val="20"/>
          <w:highlight w:val="none"/>
          <w:lang w:val="zh-CN"/>
        </w:rPr>
        <w:t xml:space="preserve"> 未经甲方同意，乙方私自将甲方的旅客转送其他</w:t>
      </w:r>
      <w:r>
        <w:rPr>
          <w:rFonts w:hint="eastAsia" w:asciiTheme="minorEastAsia" w:hAnsiTheme="minorEastAsia" w:eastAsiaTheme="minorEastAsia" w:cstheme="minorEastAsia"/>
          <w:sz w:val="20"/>
          <w:szCs w:val="20"/>
          <w:highlight w:val="none"/>
        </w:rPr>
        <w:t>酒店</w:t>
      </w:r>
      <w:r>
        <w:rPr>
          <w:rFonts w:hint="eastAsia" w:asciiTheme="minorEastAsia" w:hAnsiTheme="minorEastAsia" w:eastAsiaTheme="minorEastAsia" w:cstheme="minorEastAsia"/>
          <w:sz w:val="20"/>
          <w:szCs w:val="20"/>
          <w:highlight w:val="none"/>
          <w:lang w:val="zh-CN"/>
        </w:rPr>
        <w:t>住宿，甲方有权</w:t>
      </w:r>
      <w:r>
        <w:rPr>
          <w:rFonts w:hint="eastAsia" w:asciiTheme="minorEastAsia" w:hAnsiTheme="minorEastAsia" w:eastAsiaTheme="minorEastAsia" w:cstheme="minorEastAsia"/>
          <w:sz w:val="20"/>
          <w:szCs w:val="20"/>
          <w:highlight w:val="none"/>
        </w:rPr>
        <w:t>在应付的前期服务费中</w:t>
      </w:r>
      <w:r>
        <w:rPr>
          <w:rFonts w:hint="eastAsia" w:asciiTheme="minorEastAsia" w:hAnsiTheme="minorEastAsia" w:eastAsiaTheme="minorEastAsia" w:cstheme="minorEastAsia"/>
          <w:sz w:val="20"/>
          <w:szCs w:val="20"/>
          <w:highlight w:val="none"/>
          <w:u w:val="single"/>
          <w:lang w:val="zh-CN"/>
        </w:rPr>
        <w:t>扣除</w:t>
      </w:r>
      <w:r>
        <w:rPr>
          <w:rFonts w:hint="eastAsia" w:asciiTheme="minorEastAsia" w:hAnsiTheme="minorEastAsia" w:eastAsiaTheme="minorEastAsia" w:cstheme="minorEastAsia"/>
          <w:sz w:val="20"/>
          <w:szCs w:val="20"/>
          <w:highlight w:val="none"/>
          <w:u w:val="single"/>
        </w:rPr>
        <w:t>5000元违约金</w:t>
      </w:r>
      <w:r>
        <w:rPr>
          <w:rFonts w:hint="eastAsia" w:asciiTheme="minorEastAsia" w:hAnsiTheme="minorEastAsia" w:eastAsiaTheme="minorEastAsia" w:cstheme="minorEastAsia"/>
          <w:sz w:val="20"/>
          <w:szCs w:val="20"/>
          <w:highlight w:val="none"/>
        </w:rPr>
        <w:t>，由此造成的旅客索赔、经济损失等一切后果由乙方负责承担。</w:t>
      </w:r>
    </w:p>
    <w:p>
      <w:pPr>
        <w:autoSpaceDE w:val="0"/>
        <w:autoSpaceDN w:val="0"/>
        <w:adjustRightInd w:val="0"/>
        <w:snapToGrid w:val="0"/>
        <w:spacing w:line="440" w:lineRule="exact"/>
        <w:ind w:firstLine="42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5</w:t>
      </w:r>
      <w:r>
        <w:rPr>
          <w:rFonts w:hint="eastAsia" w:asciiTheme="minorEastAsia" w:hAnsiTheme="minorEastAsia" w:eastAsiaTheme="minorEastAsia" w:cstheme="minorEastAsia"/>
          <w:sz w:val="20"/>
          <w:szCs w:val="20"/>
          <w:highlight w:val="none"/>
          <w:lang w:val="zh-CN"/>
        </w:rPr>
        <w:t>.</w:t>
      </w:r>
      <w:r>
        <w:rPr>
          <w:rFonts w:hint="eastAsia" w:asciiTheme="minorEastAsia" w:hAnsiTheme="minorEastAsia" w:eastAsiaTheme="minorEastAsia" w:cstheme="minorEastAsia"/>
          <w:sz w:val="20"/>
          <w:szCs w:val="20"/>
          <w:highlight w:val="none"/>
        </w:rPr>
        <w:t>1.4</w:t>
      </w:r>
      <w:r>
        <w:rPr>
          <w:rFonts w:hint="eastAsia" w:asciiTheme="minorEastAsia" w:hAnsiTheme="minorEastAsia" w:eastAsiaTheme="minorEastAsia" w:cstheme="minorEastAsia"/>
          <w:sz w:val="20"/>
          <w:szCs w:val="20"/>
          <w:highlight w:val="none"/>
          <w:lang w:val="zh-CN"/>
        </w:rPr>
        <w:t xml:space="preserve"> 因乙方服务不</w:t>
      </w:r>
      <w:r>
        <w:rPr>
          <w:rFonts w:hint="eastAsia" w:asciiTheme="minorEastAsia" w:hAnsiTheme="minorEastAsia" w:eastAsiaTheme="minorEastAsia" w:cstheme="minorEastAsia"/>
          <w:sz w:val="20"/>
          <w:szCs w:val="20"/>
          <w:highlight w:val="none"/>
        </w:rPr>
        <w:t>符合双方约定</w:t>
      </w:r>
      <w:r>
        <w:rPr>
          <w:rFonts w:hint="eastAsia" w:asciiTheme="minorEastAsia" w:hAnsiTheme="minorEastAsia" w:eastAsiaTheme="minorEastAsia" w:cstheme="minorEastAsia"/>
          <w:sz w:val="20"/>
          <w:szCs w:val="20"/>
          <w:highlight w:val="none"/>
          <w:lang w:val="zh-CN"/>
        </w:rPr>
        <w:t>（</w:t>
      </w:r>
      <w:r>
        <w:rPr>
          <w:rFonts w:hint="eastAsia" w:asciiTheme="minorEastAsia" w:hAnsiTheme="minorEastAsia" w:eastAsiaTheme="minorEastAsia" w:cstheme="minorEastAsia"/>
          <w:sz w:val="20"/>
          <w:szCs w:val="20"/>
          <w:highlight w:val="none"/>
        </w:rPr>
        <w:t>包括但不仅限于乙方工作人员服务流程、酒店硬件设施、餐食、接送车辆状况等</w:t>
      </w:r>
      <w:r>
        <w:rPr>
          <w:rFonts w:hint="eastAsia" w:asciiTheme="minorEastAsia" w:hAnsiTheme="minorEastAsia" w:eastAsiaTheme="minorEastAsia" w:cstheme="minorEastAsia"/>
          <w:sz w:val="20"/>
          <w:szCs w:val="20"/>
          <w:highlight w:val="none"/>
          <w:lang w:val="zh-CN"/>
        </w:rPr>
        <w:t>）导致旅客投诉</w:t>
      </w:r>
      <w:r>
        <w:rPr>
          <w:rFonts w:hint="eastAsia" w:asciiTheme="minorEastAsia" w:hAnsiTheme="minorEastAsia" w:eastAsiaTheme="minorEastAsia" w:cstheme="minorEastAsia"/>
          <w:sz w:val="20"/>
          <w:szCs w:val="20"/>
          <w:highlight w:val="none"/>
        </w:rPr>
        <w:t>的</w:t>
      </w:r>
      <w:r>
        <w:rPr>
          <w:rFonts w:hint="eastAsia" w:asciiTheme="minorEastAsia" w:hAnsiTheme="minorEastAsia" w:eastAsiaTheme="minorEastAsia" w:cstheme="minorEastAsia"/>
          <w:sz w:val="20"/>
          <w:szCs w:val="20"/>
          <w:highlight w:val="none"/>
          <w:lang w:val="zh-CN"/>
        </w:rPr>
        <w:t>，</w:t>
      </w:r>
      <w:r>
        <w:rPr>
          <w:rFonts w:hint="eastAsia" w:asciiTheme="minorEastAsia" w:hAnsiTheme="minorEastAsia" w:eastAsiaTheme="minorEastAsia" w:cstheme="minorEastAsia"/>
          <w:sz w:val="20"/>
          <w:szCs w:val="20"/>
          <w:highlight w:val="none"/>
        </w:rPr>
        <w:t>每发生1起有效投诉（以甲方</w:t>
      </w:r>
      <w:r>
        <w:rPr>
          <w:rFonts w:hint="eastAsia" w:asciiTheme="minorEastAsia" w:hAnsiTheme="minorEastAsia" w:eastAsiaTheme="minorEastAsia" w:cstheme="minorEastAsia"/>
          <w:color w:val="0000FF"/>
          <w:sz w:val="20"/>
          <w:szCs w:val="20"/>
          <w:highlight w:val="none"/>
        </w:rPr>
        <w:t>客户关怀管理系统</w:t>
      </w:r>
      <w:r>
        <w:rPr>
          <w:rFonts w:hint="eastAsia" w:asciiTheme="minorEastAsia" w:hAnsiTheme="minorEastAsia" w:eastAsiaTheme="minorEastAsia" w:cstheme="minorEastAsia"/>
          <w:sz w:val="20"/>
          <w:szCs w:val="20"/>
          <w:highlight w:val="none"/>
        </w:rPr>
        <w:t>判定为准），</w:t>
      </w:r>
      <w:r>
        <w:rPr>
          <w:rFonts w:hint="eastAsia" w:asciiTheme="minorEastAsia" w:hAnsiTheme="minorEastAsia" w:eastAsiaTheme="minorEastAsia" w:cstheme="minorEastAsia"/>
          <w:sz w:val="20"/>
          <w:szCs w:val="20"/>
          <w:highlight w:val="none"/>
          <w:lang w:val="zh-CN"/>
        </w:rPr>
        <w:t>甲方将</w:t>
      </w:r>
      <w:r>
        <w:rPr>
          <w:rFonts w:hint="eastAsia" w:asciiTheme="minorEastAsia" w:hAnsiTheme="minorEastAsia" w:eastAsiaTheme="minorEastAsia" w:cstheme="minorEastAsia"/>
          <w:sz w:val="20"/>
          <w:szCs w:val="20"/>
          <w:highlight w:val="none"/>
        </w:rPr>
        <w:t>在应付的前期服务费中</w:t>
      </w:r>
      <w:r>
        <w:rPr>
          <w:rFonts w:hint="eastAsia" w:asciiTheme="minorEastAsia" w:hAnsiTheme="minorEastAsia" w:eastAsiaTheme="minorEastAsia" w:cstheme="minorEastAsia"/>
          <w:sz w:val="20"/>
          <w:szCs w:val="20"/>
          <w:highlight w:val="none"/>
          <w:u w:val="single"/>
        </w:rPr>
        <w:t>扣除1000元违约金</w:t>
      </w:r>
      <w:r>
        <w:rPr>
          <w:rFonts w:hint="eastAsia" w:asciiTheme="minorEastAsia" w:hAnsiTheme="minorEastAsia" w:eastAsiaTheme="minorEastAsia" w:cstheme="minorEastAsia"/>
          <w:sz w:val="20"/>
          <w:szCs w:val="20"/>
          <w:highlight w:val="none"/>
        </w:rPr>
        <w:t>。</w:t>
      </w:r>
    </w:p>
    <w:p>
      <w:pPr>
        <w:pStyle w:val="24"/>
        <w:widowControl/>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5.1.5 乙方工作人员未按协议约定穿着统一的职业装，仪容仪表和行为举止不符合要求，每发现1起在应付的前期服务费中</w:t>
      </w:r>
      <w:r>
        <w:rPr>
          <w:rFonts w:hint="eastAsia" w:asciiTheme="minorEastAsia" w:hAnsiTheme="minorEastAsia" w:eastAsiaTheme="minorEastAsia" w:cstheme="minorEastAsia"/>
          <w:sz w:val="20"/>
          <w:szCs w:val="20"/>
          <w:highlight w:val="none"/>
          <w:u w:val="single"/>
        </w:rPr>
        <w:t>扣除50元违约金</w:t>
      </w:r>
      <w:r>
        <w:rPr>
          <w:rFonts w:hint="eastAsia" w:asciiTheme="minorEastAsia" w:hAnsiTheme="minorEastAsia" w:eastAsiaTheme="minorEastAsia" w:cstheme="minorEastAsia"/>
          <w:sz w:val="20"/>
          <w:szCs w:val="20"/>
          <w:highlight w:val="none"/>
        </w:rPr>
        <w:t>；乙方工作人员在候机楼现场不服从甲方工作人员安排，或不按要求签到和签退，每发现1起在应付的前期服务费中</w:t>
      </w:r>
      <w:r>
        <w:rPr>
          <w:rFonts w:hint="eastAsia" w:asciiTheme="minorEastAsia" w:hAnsiTheme="minorEastAsia" w:eastAsiaTheme="minorEastAsia" w:cstheme="minorEastAsia"/>
          <w:sz w:val="20"/>
          <w:szCs w:val="20"/>
          <w:highlight w:val="none"/>
          <w:u w:val="single"/>
        </w:rPr>
        <w:t>扣除150元违约金</w:t>
      </w:r>
      <w:r>
        <w:rPr>
          <w:rFonts w:hint="eastAsia" w:asciiTheme="minorEastAsia" w:hAnsiTheme="minorEastAsia" w:eastAsiaTheme="minorEastAsia" w:cstheme="minorEastAsia"/>
          <w:sz w:val="20"/>
          <w:szCs w:val="20"/>
          <w:highlight w:val="none"/>
        </w:rPr>
        <w:t>；乙方车辆不服从甲方工作人员调配的，每发现1起在应付的前期服务费中</w:t>
      </w:r>
      <w:r>
        <w:rPr>
          <w:rFonts w:hint="eastAsia" w:asciiTheme="minorEastAsia" w:hAnsiTheme="minorEastAsia" w:eastAsiaTheme="minorEastAsia" w:cstheme="minorEastAsia"/>
          <w:sz w:val="20"/>
          <w:szCs w:val="20"/>
          <w:highlight w:val="none"/>
          <w:u w:val="single"/>
        </w:rPr>
        <w:t>扣除150元违约金</w:t>
      </w:r>
      <w:r>
        <w:rPr>
          <w:rFonts w:hint="eastAsia" w:asciiTheme="minorEastAsia" w:hAnsiTheme="minorEastAsia" w:eastAsiaTheme="minorEastAsia" w:cstheme="minorEastAsia"/>
          <w:sz w:val="20"/>
          <w:szCs w:val="20"/>
          <w:highlight w:val="none"/>
        </w:rPr>
        <w:t>；乙方工作人员与旅客发生争吵和其他冲突，每发现1起在应付的前期服务费中</w:t>
      </w:r>
      <w:r>
        <w:rPr>
          <w:rFonts w:hint="eastAsia" w:asciiTheme="minorEastAsia" w:hAnsiTheme="minorEastAsia" w:eastAsiaTheme="minorEastAsia" w:cstheme="minorEastAsia"/>
          <w:sz w:val="20"/>
          <w:szCs w:val="20"/>
          <w:highlight w:val="none"/>
          <w:u w:val="single"/>
        </w:rPr>
        <w:t>扣除250元违约金</w:t>
      </w:r>
      <w:r>
        <w:rPr>
          <w:rFonts w:hint="eastAsia" w:asciiTheme="minorEastAsia" w:hAnsiTheme="minorEastAsia" w:eastAsiaTheme="minorEastAsia" w:cstheme="minorEastAsia"/>
          <w:sz w:val="20"/>
          <w:szCs w:val="20"/>
          <w:highlight w:val="none"/>
        </w:rPr>
        <w:t>。</w:t>
      </w:r>
    </w:p>
    <w:p>
      <w:pPr>
        <w:pStyle w:val="24"/>
        <w:widowControl/>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5.1.6 如甲方旅客在乙方酒店用餐或使用乙方提供的交通服务过程中，导致旅客发生食品安全、交通安全等事件、事故，造成一定后果的，每发现1起在应付的前期服务费中</w:t>
      </w:r>
      <w:r>
        <w:rPr>
          <w:rFonts w:hint="eastAsia" w:asciiTheme="minorEastAsia" w:hAnsiTheme="minorEastAsia" w:eastAsiaTheme="minorEastAsia" w:cstheme="minorEastAsia"/>
          <w:sz w:val="20"/>
          <w:szCs w:val="20"/>
          <w:highlight w:val="none"/>
          <w:u w:val="single"/>
        </w:rPr>
        <w:t>扣除1000元违约金</w:t>
      </w:r>
      <w:r>
        <w:rPr>
          <w:rFonts w:hint="eastAsia" w:asciiTheme="minorEastAsia" w:hAnsiTheme="minorEastAsia" w:eastAsiaTheme="minorEastAsia" w:cstheme="minorEastAsia"/>
          <w:sz w:val="20"/>
          <w:szCs w:val="20"/>
          <w:highlight w:val="none"/>
        </w:rPr>
        <w:t>；甲方旅客在乙方酒店住宿过程中，因酒店责任原因发生人身和财产安全问题的，造成一定后果的，每发现1起在应付的前期服务费中</w:t>
      </w:r>
      <w:r>
        <w:rPr>
          <w:rFonts w:hint="eastAsia" w:asciiTheme="minorEastAsia" w:hAnsiTheme="minorEastAsia" w:eastAsiaTheme="minorEastAsia" w:cstheme="minorEastAsia"/>
          <w:sz w:val="20"/>
          <w:szCs w:val="20"/>
          <w:highlight w:val="none"/>
          <w:u w:val="single"/>
        </w:rPr>
        <w:t>扣除1500元违约金</w:t>
      </w:r>
      <w:r>
        <w:rPr>
          <w:rFonts w:hint="eastAsia" w:asciiTheme="minorEastAsia" w:hAnsiTheme="minorEastAsia" w:eastAsiaTheme="minorEastAsia" w:cstheme="minorEastAsia"/>
          <w:sz w:val="20"/>
          <w:szCs w:val="20"/>
          <w:highlight w:val="none"/>
        </w:rPr>
        <w:t>。</w:t>
      </w:r>
    </w:p>
    <w:p>
      <w:pPr>
        <w:pStyle w:val="24"/>
        <w:widowControl/>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5.1.7 因乙方责任原因导致旅客晚接送、错接送、漏接送等情况的，甲方有权在应付的前期服务费中</w:t>
      </w:r>
      <w:r>
        <w:rPr>
          <w:rFonts w:hint="eastAsia" w:asciiTheme="minorEastAsia" w:hAnsiTheme="minorEastAsia" w:eastAsiaTheme="minorEastAsia" w:cstheme="minorEastAsia"/>
          <w:sz w:val="20"/>
          <w:szCs w:val="20"/>
          <w:highlight w:val="none"/>
          <w:u w:val="single"/>
        </w:rPr>
        <w:t>扣除1000元违约金</w:t>
      </w:r>
      <w:r>
        <w:rPr>
          <w:rFonts w:hint="eastAsia" w:asciiTheme="minorEastAsia" w:hAnsiTheme="minorEastAsia" w:eastAsiaTheme="minorEastAsia" w:cstheme="minorEastAsia"/>
          <w:sz w:val="20"/>
          <w:szCs w:val="20"/>
          <w:highlight w:val="none"/>
        </w:rPr>
        <w:t>，情节严重（如造成旅客误乘飞机、影响航班正常性等），并由此给旅客及甲方造成损失的，均由乙方负责承担。</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5.1.8 乙方工作人员佩戴酒店接待工作证期间，在甲方旅客接送及柜台区域拉客、严重扰乱现场服务秩序的，每发现1起在应付的前期服务费中</w:t>
      </w:r>
      <w:r>
        <w:rPr>
          <w:rFonts w:hint="eastAsia" w:asciiTheme="minorEastAsia" w:hAnsiTheme="minorEastAsia" w:eastAsiaTheme="minorEastAsia" w:cstheme="minorEastAsia"/>
          <w:sz w:val="20"/>
          <w:szCs w:val="20"/>
          <w:highlight w:val="none"/>
          <w:u w:val="single"/>
        </w:rPr>
        <w:t>扣除500元</w:t>
      </w:r>
      <w:r>
        <w:rPr>
          <w:rFonts w:hint="eastAsia" w:asciiTheme="minorEastAsia" w:hAnsiTheme="minorEastAsia" w:eastAsiaTheme="minorEastAsia" w:cstheme="minorEastAsia"/>
          <w:sz w:val="20"/>
          <w:szCs w:val="20"/>
          <w:highlight w:val="none"/>
        </w:rPr>
        <w:t>；乙方工作人员通过各种非法手段获取旅客信息，诱导、胁迫旅客入住乙方酒店的，每发现 1 起在应付的前期服务费中</w:t>
      </w:r>
      <w:r>
        <w:rPr>
          <w:rFonts w:hint="eastAsia" w:asciiTheme="minorEastAsia" w:hAnsiTheme="minorEastAsia" w:eastAsiaTheme="minorEastAsia" w:cstheme="minorEastAsia"/>
          <w:sz w:val="20"/>
          <w:szCs w:val="20"/>
          <w:highlight w:val="none"/>
          <w:u w:val="single"/>
        </w:rPr>
        <w:t>扣除1500元</w:t>
      </w:r>
      <w:r>
        <w:rPr>
          <w:rFonts w:hint="eastAsia" w:asciiTheme="minorEastAsia" w:hAnsiTheme="minorEastAsia" w:eastAsiaTheme="minorEastAsia" w:cstheme="minorEastAsia"/>
          <w:sz w:val="20"/>
          <w:szCs w:val="20"/>
          <w:highlight w:val="none"/>
        </w:rPr>
        <w:t>；乙方通过提供物质便利，拉拢甲方住宿业务相关人员的，每发现1起在应付的前期服务费中</w:t>
      </w:r>
      <w:r>
        <w:rPr>
          <w:rFonts w:hint="eastAsia" w:asciiTheme="minorEastAsia" w:hAnsiTheme="minorEastAsia" w:eastAsiaTheme="minorEastAsia" w:cstheme="minorEastAsia"/>
          <w:sz w:val="20"/>
          <w:szCs w:val="20"/>
          <w:highlight w:val="none"/>
          <w:u w:val="single"/>
        </w:rPr>
        <w:t>扣除1500元</w:t>
      </w:r>
      <w:r>
        <w:rPr>
          <w:rFonts w:hint="eastAsia" w:asciiTheme="minorEastAsia" w:hAnsiTheme="minorEastAsia" w:eastAsiaTheme="minorEastAsia" w:cstheme="minorEastAsia"/>
          <w:sz w:val="20"/>
          <w:szCs w:val="20"/>
          <w:highlight w:val="none"/>
        </w:rPr>
        <w:t>。</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5.2 乙方在协议期内有下列行为之一，甲方除有权经通知后单方解除本合同，并有权按南航集团《供应商管理办法》将乙方列入南航集团限制交易供应商名单：</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5.2.1 本协议第</w:t>
      </w:r>
      <w:r>
        <w:rPr>
          <w:rFonts w:hint="eastAsia" w:asciiTheme="minorEastAsia" w:hAnsiTheme="minorEastAsia" w:eastAsiaTheme="minorEastAsia" w:cstheme="minorEastAsia"/>
          <w:sz w:val="20"/>
          <w:szCs w:val="20"/>
          <w:highlight w:val="none"/>
          <w:u w:val="single"/>
        </w:rPr>
        <w:t xml:space="preserve">  5.1  </w:t>
      </w:r>
      <w:r>
        <w:rPr>
          <w:rFonts w:hint="eastAsia" w:asciiTheme="minorEastAsia" w:hAnsiTheme="minorEastAsia" w:eastAsiaTheme="minorEastAsia" w:cstheme="minorEastAsia"/>
          <w:sz w:val="20"/>
          <w:szCs w:val="20"/>
          <w:highlight w:val="none"/>
        </w:rPr>
        <w:t>条款约定的各项违约行为，单项行为累计发生</w:t>
      </w:r>
      <w:r>
        <w:rPr>
          <w:rFonts w:hint="eastAsia" w:asciiTheme="minorEastAsia" w:hAnsiTheme="minorEastAsia" w:eastAsiaTheme="minorEastAsia" w:cstheme="minorEastAsia"/>
          <w:sz w:val="20"/>
          <w:szCs w:val="20"/>
          <w:highlight w:val="none"/>
          <w:u w:val="single"/>
        </w:rPr>
        <w:t xml:space="preserve">  XX  </w:t>
      </w:r>
      <w:r>
        <w:rPr>
          <w:rFonts w:hint="eastAsia" w:asciiTheme="minorEastAsia" w:hAnsiTheme="minorEastAsia" w:eastAsiaTheme="minorEastAsia" w:cstheme="minorEastAsia"/>
          <w:sz w:val="20"/>
          <w:szCs w:val="20"/>
          <w:highlight w:val="none"/>
        </w:rPr>
        <w:t>次；</w:t>
      </w:r>
    </w:p>
    <w:p>
      <w:pPr>
        <w:adjustRightInd w:val="0"/>
        <w:snapToGrid w:val="0"/>
        <w:spacing w:line="400" w:lineRule="exact"/>
        <w:ind w:firstLine="400" w:firstLineChars="200"/>
        <w:rPr>
          <w:rFonts w:hint="eastAsia" w:ascii="宋体" w:hAnsi="宋体" w:cs="宋体"/>
          <w:color w:val="FF0000"/>
          <w:sz w:val="20"/>
          <w:szCs w:val="20"/>
          <w:highlight w:val="none"/>
        </w:rPr>
      </w:pPr>
      <w:r>
        <w:rPr>
          <w:rFonts w:hint="eastAsia" w:ascii="宋体" w:hAnsi="宋体" w:cs="宋体"/>
          <w:color w:val="FF0000"/>
          <w:sz w:val="20"/>
          <w:szCs w:val="20"/>
          <w:highlight w:val="none"/>
        </w:rPr>
        <w:t>5.2.2 除本协议已明确约定的违约情形，乙方违反本协议其他约定时，在甲方要求的合理期限内仍不更正或无法更正的；</w:t>
      </w:r>
    </w:p>
    <w:p>
      <w:pPr>
        <w:adjustRightInd w:val="0"/>
        <w:snapToGrid w:val="0"/>
        <w:spacing w:line="400" w:lineRule="exact"/>
        <w:ind w:firstLine="400" w:firstLineChars="200"/>
        <w:rPr>
          <w:rFonts w:hint="eastAsia" w:ascii="宋体" w:hAnsi="宋体" w:cs="宋体"/>
          <w:color w:val="FF0000"/>
          <w:sz w:val="20"/>
          <w:szCs w:val="20"/>
          <w:highlight w:val="none"/>
        </w:rPr>
      </w:pPr>
      <w:r>
        <w:rPr>
          <w:rFonts w:hint="eastAsia" w:ascii="宋体" w:hAnsi="宋体" w:cs="宋体"/>
          <w:color w:val="FF0000"/>
          <w:sz w:val="20"/>
          <w:szCs w:val="20"/>
          <w:highlight w:val="none"/>
        </w:rPr>
        <w:t>5.2.3 未经甲方书面同意，部分或全部转让本协议项下权利义务；</w:t>
      </w:r>
    </w:p>
    <w:p>
      <w:pPr>
        <w:adjustRightInd w:val="0"/>
        <w:snapToGrid w:val="0"/>
        <w:spacing w:line="400" w:lineRule="exact"/>
        <w:ind w:firstLine="400" w:firstLineChars="200"/>
        <w:rPr>
          <w:rFonts w:hint="eastAsia" w:ascii="宋体" w:hAnsi="宋体" w:cs="宋体"/>
          <w:color w:val="FF0000"/>
          <w:sz w:val="20"/>
          <w:szCs w:val="20"/>
          <w:highlight w:val="none"/>
        </w:rPr>
      </w:pPr>
      <w:r>
        <w:rPr>
          <w:rFonts w:hint="eastAsia" w:ascii="宋体" w:hAnsi="宋体" w:cs="宋体"/>
          <w:color w:val="FF0000"/>
          <w:sz w:val="20"/>
          <w:szCs w:val="20"/>
          <w:highlight w:val="none"/>
        </w:rPr>
        <w:t>5.2.4 明确表示或以自己的行为表明不履行合同；</w:t>
      </w:r>
    </w:p>
    <w:p>
      <w:pPr>
        <w:adjustRightInd w:val="0"/>
        <w:snapToGrid w:val="0"/>
        <w:spacing w:line="400" w:lineRule="exact"/>
        <w:ind w:firstLine="400" w:firstLineChars="200"/>
        <w:rPr>
          <w:rFonts w:hint="eastAsia" w:ascii="宋体" w:hAnsi="宋体" w:cs="宋体"/>
          <w:color w:val="FF0000"/>
          <w:sz w:val="20"/>
          <w:szCs w:val="20"/>
          <w:highlight w:val="none"/>
        </w:rPr>
      </w:pPr>
      <w:r>
        <w:rPr>
          <w:rFonts w:hint="eastAsia" w:ascii="宋体" w:hAnsi="宋体" w:cs="宋体"/>
          <w:color w:val="FF0000"/>
          <w:sz w:val="20"/>
          <w:szCs w:val="20"/>
          <w:highlight w:val="none"/>
        </w:rPr>
        <w:t>5.2.5 在甲方无根本违约的前提下单方面要求终止、解除合同；</w:t>
      </w:r>
    </w:p>
    <w:p>
      <w:pPr>
        <w:adjustRightInd w:val="0"/>
        <w:snapToGrid w:val="0"/>
        <w:spacing w:line="400" w:lineRule="exact"/>
        <w:ind w:firstLine="400" w:firstLineChars="200"/>
        <w:rPr>
          <w:rFonts w:hint="eastAsia" w:ascii="宋体" w:hAnsi="宋体" w:cs="宋体"/>
          <w:color w:val="FF0000"/>
          <w:sz w:val="20"/>
          <w:szCs w:val="20"/>
          <w:highlight w:val="none"/>
        </w:rPr>
      </w:pPr>
      <w:r>
        <w:rPr>
          <w:rFonts w:hint="eastAsia" w:ascii="宋体" w:hAnsi="宋体" w:cs="宋体"/>
          <w:color w:val="FF0000"/>
          <w:sz w:val="20"/>
          <w:szCs w:val="20"/>
          <w:highlight w:val="none"/>
        </w:rPr>
        <w:t>5.2.6 在履行合同期间双方发生争议，不告知甲方或不与甲方进行协商，直接提起诉讼，或以本协议提起虚假诉讼；</w:t>
      </w:r>
    </w:p>
    <w:p>
      <w:pPr>
        <w:adjustRightInd w:val="0"/>
        <w:snapToGrid w:val="0"/>
        <w:spacing w:line="400" w:lineRule="exact"/>
        <w:ind w:firstLine="400" w:firstLineChars="200"/>
        <w:rPr>
          <w:rFonts w:hint="eastAsia" w:ascii="宋体" w:hAnsi="宋体" w:cs="宋体"/>
          <w:color w:val="FF0000"/>
          <w:sz w:val="20"/>
          <w:szCs w:val="20"/>
          <w:highlight w:val="none"/>
        </w:rPr>
      </w:pPr>
      <w:r>
        <w:rPr>
          <w:rFonts w:hint="eastAsia" w:ascii="宋体" w:hAnsi="宋体" w:cs="宋体"/>
          <w:color w:val="FF0000"/>
          <w:sz w:val="20"/>
          <w:szCs w:val="20"/>
          <w:highlight w:val="none"/>
        </w:rPr>
        <w:t xml:space="preserve">5.2.7 </w:t>
      </w:r>
      <w:r>
        <w:rPr>
          <w:rFonts w:ascii="宋体" w:hAnsi="宋体" w:cs="宋体"/>
          <w:color w:val="FF0000"/>
          <w:sz w:val="20"/>
          <w:szCs w:val="20"/>
          <w:highlight w:val="none"/>
        </w:rPr>
        <w:t>给甲方造成重大不良影响。“重大不良影响”是指非因甲方原因给甲方造成人民币</w:t>
      </w:r>
      <w:r>
        <w:rPr>
          <w:rFonts w:hint="eastAsia" w:asciiTheme="minorEastAsia" w:hAnsiTheme="minorEastAsia" w:eastAsiaTheme="minorEastAsia" w:cstheme="minorEastAsia"/>
          <w:sz w:val="20"/>
          <w:szCs w:val="20"/>
          <w:highlight w:val="none"/>
          <w:u w:val="single"/>
        </w:rPr>
        <w:t xml:space="preserve"> XX元 </w:t>
      </w:r>
      <w:r>
        <w:rPr>
          <w:rFonts w:ascii="宋体" w:hAnsi="宋体" w:cs="宋体"/>
          <w:color w:val="FF0000"/>
          <w:sz w:val="20"/>
          <w:szCs w:val="20"/>
          <w:highlight w:val="none"/>
        </w:rPr>
        <w:t>及以上经济损失或引发社会舆情等情形</w:t>
      </w:r>
      <w:r>
        <w:rPr>
          <w:rFonts w:hint="eastAsia" w:ascii="宋体" w:hAnsi="宋体" w:cs="宋体"/>
          <w:color w:val="FF0000"/>
          <w:sz w:val="20"/>
          <w:szCs w:val="20"/>
          <w:highlight w:val="none"/>
        </w:rPr>
        <w:t>；</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5.2.8 乙方未按接送、住宿旅客的实际人数及房间数，向甲方进行如实结算，虚报人数、房间数，每虚报一人或一间房乙方须向甲方支付</w:t>
      </w:r>
      <w:r>
        <w:rPr>
          <w:rFonts w:hint="eastAsia" w:asciiTheme="minorEastAsia" w:hAnsiTheme="minorEastAsia" w:eastAsiaTheme="minorEastAsia" w:cstheme="minorEastAsia"/>
          <w:sz w:val="20"/>
          <w:szCs w:val="20"/>
          <w:highlight w:val="none"/>
          <w:u w:val="single"/>
        </w:rPr>
        <w:t xml:space="preserve"> 10000元 </w:t>
      </w:r>
      <w:r>
        <w:rPr>
          <w:rFonts w:hint="eastAsia" w:asciiTheme="minorEastAsia" w:hAnsiTheme="minorEastAsia" w:eastAsiaTheme="minorEastAsia" w:cstheme="minorEastAsia"/>
          <w:sz w:val="20"/>
          <w:szCs w:val="20"/>
          <w:highlight w:val="none"/>
        </w:rPr>
        <w:t>的违约金；</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5</w:t>
      </w:r>
      <w:r>
        <w:rPr>
          <w:rFonts w:hint="eastAsia" w:asciiTheme="minorEastAsia" w:hAnsiTheme="minorEastAsia" w:eastAsiaTheme="minorEastAsia" w:cstheme="minorEastAsia"/>
          <w:sz w:val="20"/>
          <w:szCs w:val="20"/>
          <w:highlight w:val="none"/>
          <w:lang w:val="zh-CN"/>
        </w:rPr>
        <w:t>.</w:t>
      </w:r>
      <w:r>
        <w:rPr>
          <w:rFonts w:hint="eastAsia" w:asciiTheme="minorEastAsia" w:hAnsiTheme="minorEastAsia" w:eastAsiaTheme="minorEastAsia" w:cstheme="minorEastAsia"/>
          <w:sz w:val="20"/>
          <w:szCs w:val="20"/>
          <w:highlight w:val="none"/>
        </w:rPr>
        <w:t>2.9</w:t>
      </w:r>
      <w:r>
        <w:rPr>
          <w:rFonts w:hint="eastAsia" w:asciiTheme="minorEastAsia" w:hAnsiTheme="minorEastAsia" w:eastAsiaTheme="minorEastAsia" w:cstheme="minorEastAsia"/>
          <w:sz w:val="20"/>
          <w:szCs w:val="20"/>
          <w:highlight w:val="none"/>
          <w:lang w:val="zh-CN"/>
        </w:rPr>
        <w:t xml:space="preserve"> 乙方酒店硬件条件和服务质量经甲方考核达不到双方约定之标准，</w:t>
      </w:r>
      <w:r>
        <w:rPr>
          <w:rFonts w:hint="eastAsia" w:asciiTheme="minorEastAsia" w:hAnsiTheme="minorEastAsia" w:eastAsiaTheme="minorEastAsia" w:cstheme="minorEastAsia"/>
          <w:sz w:val="20"/>
          <w:szCs w:val="20"/>
          <w:highlight w:val="none"/>
        </w:rPr>
        <w:t>或</w:t>
      </w:r>
      <w:r>
        <w:rPr>
          <w:rFonts w:hint="eastAsia" w:asciiTheme="minorEastAsia" w:hAnsiTheme="minorEastAsia" w:eastAsiaTheme="minorEastAsia" w:cstheme="minorEastAsia"/>
          <w:sz w:val="20"/>
          <w:szCs w:val="20"/>
          <w:highlight w:val="none"/>
          <w:lang w:val="zh-CN"/>
        </w:rPr>
        <w:t>乙方酒店存在</w:t>
      </w:r>
      <w:r>
        <w:rPr>
          <w:rFonts w:hint="eastAsia" w:asciiTheme="minorEastAsia" w:hAnsiTheme="minorEastAsia" w:eastAsiaTheme="minorEastAsia" w:cstheme="minorEastAsia"/>
          <w:sz w:val="20"/>
          <w:szCs w:val="20"/>
          <w:highlight w:val="none"/>
        </w:rPr>
        <w:t>严重</w:t>
      </w:r>
      <w:r>
        <w:rPr>
          <w:rFonts w:hint="eastAsia" w:asciiTheme="minorEastAsia" w:hAnsiTheme="minorEastAsia" w:eastAsiaTheme="minorEastAsia" w:cstheme="minorEastAsia"/>
          <w:sz w:val="20"/>
          <w:szCs w:val="20"/>
          <w:highlight w:val="none"/>
          <w:lang w:val="zh-CN"/>
        </w:rPr>
        <w:t>安全隐患、</w:t>
      </w:r>
      <w:r>
        <w:rPr>
          <w:rFonts w:hint="eastAsia" w:asciiTheme="minorEastAsia" w:hAnsiTheme="minorEastAsia" w:eastAsiaTheme="minorEastAsia" w:cstheme="minorEastAsia"/>
          <w:sz w:val="20"/>
          <w:szCs w:val="20"/>
          <w:highlight w:val="none"/>
        </w:rPr>
        <w:t xml:space="preserve">事故（如消防安全、食品安全、交通安全等），情节严重的（包括但不仅限违反南航、机场管理相关规定），乙方向甲方支付 </w:t>
      </w:r>
      <w:r>
        <w:rPr>
          <w:rFonts w:hint="eastAsia" w:asciiTheme="minorEastAsia" w:hAnsiTheme="minorEastAsia" w:eastAsiaTheme="minorEastAsia" w:cstheme="minorEastAsia"/>
          <w:sz w:val="20"/>
          <w:szCs w:val="20"/>
          <w:highlight w:val="none"/>
          <w:u w:val="single"/>
        </w:rPr>
        <w:t xml:space="preserve">10000元 </w:t>
      </w:r>
      <w:r>
        <w:rPr>
          <w:rFonts w:hint="eastAsia" w:asciiTheme="minorEastAsia" w:hAnsiTheme="minorEastAsia" w:eastAsiaTheme="minorEastAsia" w:cstheme="minorEastAsia"/>
          <w:sz w:val="20"/>
          <w:szCs w:val="20"/>
          <w:highlight w:val="none"/>
          <w:lang w:val="zh-CN"/>
        </w:rPr>
        <w:t>的</w:t>
      </w:r>
      <w:r>
        <w:rPr>
          <w:rFonts w:hint="eastAsia" w:asciiTheme="minorEastAsia" w:hAnsiTheme="minorEastAsia" w:eastAsiaTheme="minorEastAsia" w:cstheme="minorEastAsia"/>
          <w:sz w:val="20"/>
          <w:szCs w:val="20"/>
          <w:highlight w:val="none"/>
        </w:rPr>
        <w:t>违约金。</w:t>
      </w:r>
    </w:p>
    <w:p>
      <w:pPr>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5.3 </w:t>
      </w:r>
      <w:r>
        <w:rPr>
          <w:rFonts w:hint="eastAsia" w:ascii="宋体" w:hAnsi="宋体" w:cs="宋体"/>
          <w:color w:val="FF0000"/>
          <w:sz w:val="20"/>
          <w:szCs w:val="20"/>
          <w:highlight w:val="none"/>
        </w:rPr>
        <w:t xml:space="preserve">因乙方原因导致甲方解除本协议的，除另有约定外，乙方应向甲方支付 </w:t>
      </w:r>
      <w:r>
        <w:rPr>
          <w:rFonts w:hint="eastAsia" w:asciiTheme="minorEastAsia" w:hAnsiTheme="minorEastAsia" w:eastAsiaTheme="minorEastAsia" w:cstheme="minorEastAsia"/>
          <w:sz w:val="20"/>
          <w:szCs w:val="20"/>
          <w:highlight w:val="none"/>
          <w:u w:val="single"/>
        </w:rPr>
        <w:t xml:space="preserve">50000元 </w:t>
      </w:r>
      <w:r>
        <w:rPr>
          <w:rFonts w:hint="eastAsia" w:ascii="宋体" w:hAnsi="宋体" w:cs="宋体"/>
          <w:color w:val="FF0000"/>
          <w:sz w:val="20"/>
          <w:szCs w:val="20"/>
          <w:highlight w:val="none"/>
        </w:rPr>
        <w:t>的违约金。如违约行为给甲方造成损失的，乙方应另行赔偿甲方的全部经济损失。</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5.4 乙方的前述违约行为，如造成甲方或甲方旅客经济损失的，除约定的违约金外，乙方还应承担赔偿责任。如乙方有违约情况或需承担赔偿责任，按本协议第4.4条约定执行。</w:t>
      </w:r>
    </w:p>
    <w:p>
      <w:pPr>
        <w:adjustRightInd w:val="0"/>
        <w:snapToGrid w:val="0"/>
        <w:spacing w:line="440" w:lineRule="exact"/>
        <w:ind w:firstLine="400" w:firstLineChars="200"/>
        <w:rPr>
          <w:rFonts w:hint="eastAsia" w:ascii="宋体" w:hAnsi="宋体" w:cs="宋体"/>
          <w:color w:val="FF0000"/>
          <w:sz w:val="20"/>
          <w:szCs w:val="20"/>
          <w:highlight w:val="none"/>
        </w:rPr>
      </w:pPr>
    </w:p>
    <w:p>
      <w:pPr>
        <w:ind w:firstLine="402" w:firstLineChars="200"/>
        <w:rPr>
          <w:rFonts w:hint="eastAsia" w:asciiTheme="minorEastAsia" w:hAnsiTheme="minorEastAsia" w:eastAsiaTheme="minorEastAsia" w:cstheme="minorEastAsia"/>
          <w:b/>
          <w:bCs/>
          <w:sz w:val="20"/>
          <w:szCs w:val="20"/>
          <w:highlight w:val="none"/>
        </w:rPr>
      </w:pPr>
      <w:r>
        <w:rPr>
          <w:rFonts w:hint="eastAsia" w:asciiTheme="minorEastAsia" w:hAnsiTheme="minorEastAsia" w:eastAsiaTheme="minorEastAsia" w:cstheme="minorEastAsia"/>
          <w:b/>
          <w:bCs/>
          <w:sz w:val="20"/>
          <w:szCs w:val="20"/>
          <w:highlight w:val="none"/>
        </w:rPr>
        <w:t>第六条  保密条款</w:t>
      </w:r>
    </w:p>
    <w:p>
      <w:pPr>
        <w:widowControl/>
        <w:autoSpaceDE w:val="0"/>
        <w:autoSpaceDN w:val="0"/>
        <w:adjustRightInd w:val="0"/>
        <w:snapToGrid w:val="0"/>
        <w:spacing w:line="440" w:lineRule="exact"/>
        <w:ind w:firstLine="400" w:firstLineChars="200"/>
        <w:jc w:val="left"/>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rPr>
        <w:t>6.</w:t>
      </w:r>
      <w:r>
        <w:rPr>
          <w:rFonts w:hint="eastAsia" w:asciiTheme="minorEastAsia" w:hAnsiTheme="minorEastAsia" w:eastAsiaTheme="minorEastAsia" w:cstheme="minorEastAsia"/>
          <w:sz w:val="20"/>
          <w:szCs w:val="20"/>
          <w:highlight w:val="none"/>
          <w:lang w:val="zh-CN"/>
        </w:rPr>
        <w:t>1</w:t>
      </w:r>
      <w:r>
        <w:rPr>
          <w:rFonts w:hint="eastAsia" w:asciiTheme="minorEastAsia" w:hAnsiTheme="minorEastAsia" w:eastAsiaTheme="minorEastAsia" w:cstheme="minorEastAsia"/>
          <w:sz w:val="20"/>
          <w:szCs w:val="20"/>
          <w:highlight w:val="none"/>
        </w:rPr>
        <w:t xml:space="preserve"> </w:t>
      </w:r>
      <w:r>
        <w:rPr>
          <w:rFonts w:hint="eastAsia" w:asciiTheme="minorEastAsia" w:hAnsiTheme="minorEastAsia" w:eastAsiaTheme="minorEastAsia" w:cstheme="minorEastAsia"/>
          <w:sz w:val="20"/>
          <w:szCs w:val="20"/>
          <w:highlight w:val="none"/>
          <w:lang w:val="zh-CN"/>
        </w:rPr>
        <w:t>甲方不论以何种载体提供给乙方的因履行本</w:t>
      </w:r>
      <w:r>
        <w:rPr>
          <w:rFonts w:hint="eastAsia" w:asciiTheme="minorEastAsia" w:hAnsiTheme="minorEastAsia" w:eastAsiaTheme="minorEastAsia" w:cstheme="minorEastAsia"/>
          <w:sz w:val="20"/>
          <w:szCs w:val="20"/>
          <w:highlight w:val="none"/>
        </w:rPr>
        <w:t>协议</w:t>
      </w:r>
      <w:r>
        <w:rPr>
          <w:rFonts w:hint="eastAsia" w:asciiTheme="minorEastAsia" w:hAnsiTheme="minorEastAsia" w:eastAsiaTheme="minorEastAsia" w:cstheme="minorEastAsia"/>
          <w:sz w:val="20"/>
          <w:szCs w:val="20"/>
          <w:highlight w:val="none"/>
          <w:lang w:val="zh-CN"/>
        </w:rPr>
        <w:t>所产生的文件、资料、信息（包括但不限于甲方所有</w:t>
      </w:r>
      <w:r>
        <w:rPr>
          <w:rFonts w:hint="eastAsia" w:asciiTheme="minorEastAsia" w:hAnsiTheme="minorEastAsia" w:eastAsiaTheme="minorEastAsia" w:cstheme="minorEastAsia"/>
          <w:sz w:val="20"/>
          <w:szCs w:val="20"/>
          <w:highlight w:val="none"/>
        </w:rPr>
        <w:t>入住人员因入住而向乙方提供的个人信息、本协议的附件、</w:t>
      </w:r>
      <w:r>
        <w:rPr>
          <w:rFonts w:hint="eastAsia" w:asciiTheme="minorEastAsia" w:hAnsiTheme="minorEastAsia" w:eastAsiaTheme="minorEastAsia" w:cstheme="minorEastAsia"/>
          <w:sz w:val="20"/>
          <w:szCs w:val="20"/>
          <w:highlight w:val="none"/>
          <w:lang w:val="zh-CN"/>
        </w:rPr>
        <w:t>财务信息、</w:t>
      </w:r>
      <w:r>
        <w:rPr>
          <w:rFonts w:hint="eastAsia" w:asciiTheme="minorEastAsia" w:hAnsiTheme="minorEastAsia" w:eastAsiaTheme="minorEastAsia" w:cstheme="minorEastAsia"/>
          <w:sz w:val="20"/>
          <w:szCs w:val="20"/>
          <w:highlight w:val="none"/>
        </w:rPr>
        <w:t>航班信息</w:t>
      </w:r>
      <w:r>
        <w:rPr>
          <w:rFonts w:hint="eastAsia" w:asciiTheme="minorEastAsia" w:hAnsiTheme="minorEastAsia" w:eastAsiaTheme="minorEastAsia" w:cstheme="minorEastAsia"/>
          <w:sz w:val="20"/>
          <w:szCs w:val="20"/>
          <w:highlight w:val="none"/>
          <w:lang w:val="zh-CN"/>
        </w:rPr>
        <w:t>等），均为</w:t>
      </w:r>
      <w:r>
        <w:rPr>
          <w:rFonts w:hint="eastAsia" w:asciiTheme="minorEastAsia" w:hAnsiTheme="minorEastAsia" w:eastAsiaTheme="minorEastAsia" w:cstheme="minorEastAsia"/>
          <w:sz w:val="20"/>
          <w:szCs w:val="20"/>
          <w:highlight w:val="none"/>
        </w:rPr>
        <w:t>保</w:t>
      </w:r>
      <w:r>
        <w:rPr>
          <w:rFonts w:hint="eastAsia" w:asciiTheme="minorEastAsia" w:hAnsiTheme="minorEastAsia" w:eastAsiaTheme="minorEastAsia" w:cstheme="minorEastAsia"/>
          <w:sz w:val="20"/>
          <w:szCs w:val="20"/>
          <w:highlight w:val="none"/>
          <w:lang w:val="zh-CN"/>
        </w:rPr>
        <w:t>密</w:t>
      </w:r>
      <w:r>
        <w:rPr>
          <w:rFonts w:hint="eastAsia" w:asciiTheme="minorEastAsia" w:hAnsiTheme="minorEastAsia" w:eastAsiaTheme="minorEastAsia" w:cstheme="minorEastAsia"/>
          <w:sz w:val="20"/>
          <w:szCs w:val="20"/>
          <w:highlight w:val="none"/>
        </w:rPr>
        <w:t>信息</w:t>
      </w:r>
      <w:r>
        <w:rPr>
          <w:rFonts w:hint="eastAsia" w:asciiTheme="minorEastAsia" w:hAnsiTheme="minorEastAsia" w:eastAsiaTheme="minorEastAsia" w:cstheme="minorEastAsia"/>
          <w:sz w:val="20"/>
          <w:szCs w:val="20"/>
          <w:highlight w:val="none"/>
          <w:lang w:val="zh-CN"/>
        </w:rPr>
        <w:t>，乙方负有保密责任；</w:t>
      </w:r>
      <w:r>
        <w:rPr>
          <w:rFonts w:hint="eastAsia" w:asciiTheme="minorEastAsia" w:hAnsiTheme="minorEastAsia" w:eastAsiaTheme="minorEastAsia" w:cstheme="minorEastAsia"/>
          <w:sz w:val="20"/>
          <w:szCs w:val="20"/>
          <w:highlight w:val="none"/>
        </w:rPr>
        <w:t>除为履行本协议合理使用之外，</w:t>
      </w:r>
      <w:r>
        <w:rPr>
          <w:rFonts w:hint="eastAsia" w:asciiTheme="minorEastAsia" w:hAnsiTheme="minorEastAsia" w:eastAsiaTheme="minorEastAsia" w:cstheme="minorEastAsia"/>
          <w:sz w:val="20"/>
          <w:szCs w:val="20"/>
          <w:highlight w:val="none"/>
          <w:lang w:val="zh-CN"/>
        </w:rPr>
        <w:t>不得以任何形式向第三方公布、泄露，也不得用于除本</w:t>
      </w:r>
      <w:r>
        <w:rPr>
          <w:rFonts w:hint="eastAsia" w:asciiTheme="minorEastAsia" w:hAnsiTheme="minorEastAsia" w:eastAsiaTheme="minorEastAsia" w:cstheme="minorEastAsia"/>
          <w:sz w:val="20"/>
          <w:szCs w:val="20"/>
          <w:highlight w:val="none"/>
        </w:rPr>
        <w:t>协议约定</w:t>
      </w:r>
      <w:r>
        <w:rPr>
          <w:rFonts w:hint="eastAsia" w:asciiTheme="minorEastAsia" w:hAnsiTheme="minorEastAsia" w:eastAsiaTheme="minorEastAsia" w:cstheme="minorEastAsia"/>
          <w:sz w:val="20"/>
          <w:szCs w:val="20"/>
          <w:highlight w:val="none"/>
          <w:lang w:val="zh-CN"/>
        </w:rPr>
        <w:t>外的其他任何用途，</w:t>
      </w:r>
      <w:r>
        <w:rPr>
          <w:rFonts w:hint="eastAsia" w:asciiTheme="minorEastAsia" w:hAnsiTheme="minorEastAsia" w:eastAsiaTheme="minorEastAsia" w:cstheme="minorEastAsia"/>
          <w:sz w:val="20"/>
          <w:szCs w:val="20"/>
          <w:highlight w:val="none"/>
        </w:rPr>
        <w:t>否则每次按 当月 应付款总金额的 5%  向甲方支付违约金</w:t>
      </w:r>
      <w:r>
        <w:rPr>
          <w:rFonts w:hint="eastAsia" w:asciiTheme="minorEastAsia" w:hAnsiTheme="minorEastAsia" w:eastAsiaTheme="minorEastAsia" w:cstheme="minorEastAsia"/>
          <w:sz w:val="20"/>
          <w:szCs w:val="20"/>
          <w:highlight w:val="none"/>
          <w:lang w:val="zh-CN"/>
        </w:rPr>
        <w:t>。</w:t>
      </w:r>
    </w:p>
    <w:p>
      <w:pPr>
        <w:widowControl/>
        <w:autoSpaceDE w:val="0"/>
        <w:autoSpaceDN w:val="0"/>
        <w:adjustRightInd w:val="0"/>
        <w:snapToGrid w:val="0"/>
        <w:spacing w:line="440" w:lineRule="exact"/>
        <w:ind w:firstLine="400" w:firstLineChars="200"/>
        <w:jc w:val="left"/>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rPr>
        <w:t>6.</w:t>
      </w:r>
      <w:r>
        <w:rPr>
          <w:rFonts w:hint="eastAsia" w:asciiTheme="minorEastAsia" w:hAnsiTheme="minorEastAsia" w:eastAsiaTheme="minorEastAsia" w:cstheme="minorEastAsia"/>
          <w:sz w:val="20"/>
          <w:szCs w:val="20"/>
          <w:highlight w:val="none"/>
          <w:lang w:val="zh-CN"/>
        </w:rPr>
        <w:t>2 双方在下列任一情形下披露</w:t>
      </w:r>
      <w:r>
        <w:rPr>
          <w:rFonts w:hint="eastAsia" w:asciiTheme="minorEastAsia" w:hAnsiTheme="minorEastAsia" w:eastAsiaTheme="minorEastAsia" w:cstheme="minorEastAsia"/>
          <w:sz w:val="20"/>
          <w:szCs w:val="20"/>
          <w:highlight w:val="none"/>
        </w:rPr>
        <w:t>保</w:t>
      </w:r>
      <w:r>
        <w:rPr>
          <w:rFonts w:hint="eastAsia" w:asciiTheme="minorEastAsia" w:hAnsiTheme="minorEastAsia" w:eastAsiaTheme="minorEastAsia" w:cstheme="minorEastAsia"/>
          <w:sz w:val="20"/>
          <w:szCs w:val="20"/>
          <w:highlight w:val="none"/>
          <w:lang w:val="zh-CN"/>
        </w:rPr>
        <w:t>密</w:t>
      </w:r>
      <w:r>
        <w:rPr>
          <w:rFonts w:hint="eastAsia" w:asciiTheme="minorEastAsia" w:hAnsiTheme="minorEastAsia" w:eastAsiaTheme="minorEastAsia" w:cstheme="minorEastAsia"/>
          <w:sz w:val="20"/>
          <w:szCs w:val="20"/>
          <w:highlight w:val="none"/>
        </w:rPr>
        <w:t>信息</w:t>
      </w:r>
      <w:r>
        <w:rPr>
          <w:rFonts w:hint="eastAsia" w:asciiTheme="minorEastAsia" w:hAnsiTheme="minorEastAsia" w:eastAsiaTheme="minorEastAsia" w:cstheme="minorEastAsia"/>
          <w:sz w:val="20"/>
          <w:szCs w:val="20"/>
          <w:highlight w:val="none"/>
          <w:lang w:val="zh-CN"/>
        </w:rPr>
        <w:t>不视为违约：</w:t>
      </w:r>
    </w:p>
    <w:p>
      <w:pPr>
        <w:widowControl/>
        <w:tabs>
          <w:tab w:val="left" w:pos="489"/>
        </w:tabs>
        <w:autoSpaceDE w:val="0"/>
        <w:autoSpaceDN w:val="0"/>
        <w:adjustRightInd w:val="0"/>
        <w:snapToGrid w:val="0"/>
        <w:spacing w:line="440" w:lineRule="exact"/>
        <w:ind w:firstLine="400" w:firstLineChars="200"/>
        <w:jc w:val="left"/>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rPr>
        <w:t>6.2</w:t>
      </w:r>
      <w:r>
        <w:rPr>
          <w:rFonts w:hint="eastAsia" w:asciiTheme="minorEastAsia" w:hAnsiTheme="minorEastAsia" w:eastAsiaTheme="minorEastAsia" w:cstheme="minorEastAsia"/>
          <w:sz w:val="20"/>
          <w:szCs w:val="20"/>
          <w:highlight w:val="none"/>
          <w:lang w:val="zh-CN"/>
        </w:rPr>
        <w:t>.1</w:t>
      </w:r>
      <w:r>
        <w:rPr>
          <w:rFonts w:hint="eastAsia" w:asciiTheme="minorEastAsia" w:hAnsiTheme="minorEastAsia" w:eastAsiaTheme="minorEastAsia" w:cstheme="minorEastAsia"/>
          <w:sz w:val="20"/>
          <w:szCs w:val="20"/>
          <w:highlight w:val="none"/>
        </w:rPr>
        <w:t xml:space="preserve"> </w:t>
      </w:r>
      <w:r>
        <w:rPr>
          <w:rFonts w:hint="eastAsia" w:asciiTheme="minorEastAsia" w:hAnsiTheme="minorEastAsia" w:eastAsiaTheme="minorEastAsia" w:cstheme="minorEastAsia"/>
          <w:sz w:val="20"/>
          <w:szCs w:val="20"/>
          <w:highlight w:val="none"/>
          <w:lang w:val="zh-CN"/>
        </w:rPr>
        <w:t>该信息在披露时已为公众所知悉；</w:t>
      </w:r>
    </w:p>
    <w:p>
      <w:pPr>
        <w:widowControl/>
        <w:autoSpaceDE w:val="0"/>
        <w:autoSpaceDN w:val="0"/>
        <w:adjustRightInd w:val="0"/>
        <w:snapToGrid w:val="0"/>
        <w:spacing w:line="440" w:lineRule="exact"/>
        <w:ind w:firstLine="400" w:firstLineChars="200"/>
        <w:jc w:val="left"/>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rPr>
        <w:t>6.</w:t>
      </w:r>
      <w:r>
        <w:rPr>
          <w:rFonts w:hint="eastAsia" w:asciiTheme="minorEastAsia" w:hAnsiTheme="minorEastAsia" w:eastAsiaTheme="minorEastAsia" w:cstheme="minorEastAsia"/>
          <w:sz w:val="20"/>
          <w:szCs w:val="20"/>
          <w:highlight w:val="none"/>
          <w:lang w:val="zh-CN"/>
        </w:rPr>
        <w:t>2.2 该信息乃根据另一方事先书面同意而披露；</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b/>
          <w:bCs/>
          <w:sz w:val="20"/>
          <w:szCs w:val="20"/>
          <w:highlight w:val="none"/>
        </w:rPr>
      </w:pPr>
      <w:r>
        <w:rPr>
          <w:rFonts w:hint="eastAsia" w:asciiTheme="minorEastAsia" w:hAnsiTheme="minorEastAsia" w:eastAsiaTheme="minorEastAsia" w:cstheme="minorEastAsia"/>
          <w:sz w:val="20"/>
          <w:szCs w:val="20"/>
          <w:highlight w:val="none"/>
        </w:rPr>
        <w:t>6.</w:t>
      </w:r>
      <w:r>
        <w:rPr>
          <w:rFonts w:hint="eastAsia" w:asciiTheme="minorEastAsia" w:hAnsiTheme="minorEastAsia" w:eastAsiaTheme="minorEastAsia" w:cstheme="minorEastAsia"/>
          <w:sz w:val="20"/>
          <w:szCs w:val="20"/>
          <w:highlight w:val="none"/>
          <w:lang w:val="zh-CN"/>
        </w:rPr>
        <w:t>2.3 一方按照对其有管辖权的政府司法等部门依据我国法律、法规执行公务时的要求而披露，前提为披露之前一方先以书面形式将披露的</w:t>
      </w:r>
      <w:r>
        <w:rPr>
          <w:rFonts w:hint="eastAsia" w:asciiTheme="minorEastAsia" w:hAnsiTheme="minorEastAsia" w:eastAsiaTheme="minorEastAsia" w:cstheme="minorEastAsia"/>
          <w:sz w:val="20"/>
          <w:szCs w:val="20"/>
          <w:highlight w:val="none"/>
        </w:rPr>
        <w:t>保</w:t>
      </w:r>
      <w:r>
        <w:rPr>
          <w:rFonts w:hint="eastAsia" w:asciiTheme="minorEastAsia" w:hAnsiTheme="minorEastAsia" w:eastAsiaTheme="minorEastAsia" w:cstheme="minorEastAsia"/>
          <w:sz w:val="20"/>
          <w:szCs w:val="20"/>
          <w:highlight w:val="none"/>
          <w:lang w:val="zh-CN"/>
        </w:rPr>
        <w:t>密</w:t>
      </w:r>
      <w:r>
        <w:rPr>
          <w:rFonts w:hint="eastAsia" w:asciiTheme="minorEastAsia" w:hAnsiTheme="minorEastAsia" w:eastAsiaTheme="minorEastAsia" w:cstheme="minorEastAsia"/>
          <w:sz w:val="20"/>
          <w:szCs w:val="20"/>
          <w:highlight w:val="none"/>
        </w:rPr>
        <w:t>信息</w:t>
      </w:r>
      <w:r>
        <w:rPr>
          <w:rFonts w:hint="eastAsia" w:asciiTheme="minorEastAsia" w:hAnsiTheme="minorEastAsia" w:eastAsiaTheme="minorEastAsia" w:cstheme="minorEastAsia"/>
          <w:sz w:val="20"/>
          <w:szCs w:val="20"/>
          <w:highlight w:val="none"/>
          <w:lang w:val="zh-CN"/>
        </w:rPr>
        <w:t>的内容通知另一方。</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lang w:val="zh-CN"/>
        </w:rPr>
      </w:pPr>
    </w:p>
    <w:p>
      <w:pPr>
        <w:ind w:firstLine="402" w:firstLineChars="200"/>
        <w:rPr>
          <w:rFonts w:hint="eastAsia" w:asciiTheme="minorEastAsia" w:hAnsiTheme="minorEastAsia" w:eastAsiaTheme="minorEastAsia" w:cstheme="minorEastAsia"/>
          <w:b/>
          <w:bCs/>
          <w:sz w:val="20"/>
          <w:szCs w:val="20"/>
          <w:highlight w:val="none"/>
        </w:rPr>
      </w:pPr>
      <w:r>
        <w:rPr>
          <w:rFonts w:hint="eastAsia" w:asciiTheme="minorEastAsia" w:hAnsiTheme="minorEastAsia" w:eastAsiaTheme="minorEastAsia" w:cstheme="minorEastAsia"/>
          <w:b/>
          <w:bCs/>
          <w:sz w:val="20"/>
          <w:szCs w:val="20"/>
          <w:highlight w:val="none"/>
        </w:rPr>
        <w:t>第七条  不可抗力条款</w:t>
      </w:r>
    </w:p>
    <w:p>
      <w:pPr>
        <w:pStyle w:val="24"/>
        <w:wordWrap w:val="0"/>
        <w:topLinePunct/>
        <w:adjustRightInd w:val="0"/>
        <w:snapToGrid w:val="0"/>
        <w:spacing w:line="400" w:lineRule="exact"/>
        <w:ind w:firstLine="400" w:firstLineChars="200"/>
        <w:rPr>
          <w:rFonts w:hint="eastAsia" w:ascii="宋体" w:hAnsi="宋体" w:cs="宋体"/>
          <w:bCs/>
          <w:color w:val="FF0000"/>
          <w:kern w:val="2"/>
          <w:sz w:val="20"/>
          <w:szCs w:val="20"/>
          <w:highlight w:val="none"/>
        </w:rPr>
      </w:pPr>
      <w:r>
        <w:rPr>
          <w:rFonts w:hint="eastAsia" w:ascii="宋体" w:hAnsi="宋体" w:cs="宋体"/>
          <w:bCs/>
          <w:color w:val="FF0000"/>
          <w:kern w:val="2"/>
          <w:sz w:val="20"/>
          <w:szCs w:val="20"/>
          <w:highlight w:val="none"/>
        </w:rPr>
        <w:t>7.1 不可抗力，是指在本协议签署后发生的、本协议签署时不能预见的、其发生与后果是无法避免或克服的、妨碍任何一方全部或部分履约的所有事件。上述事件包括地震、台风、水灾、火灾、战争、国际或国内运输中断、流行病、罢工，以及根据中国法律或一般国际商业惯例认作不可抗力的其他事件。</w:t>
      </w:r>
    </w:p>
    <w:p>
      <w:pPr>
        <w:pStyle w:val="24"/>
        <w:wordWrap w:val="0"/>
        <w:topLinePunct/>
        <w:adjustRightInd w:val="0"/>
        <w:snapToGrid w:val="0"/>
        <w:spacing w:line="400" w:lineRule="exact"/>
        <w:ind w:firstLine="400" w:firstLineChars="200"/>
        <w:rPr>
          <w:rFonts w:hint="eastAsia" w:ascii="宋体" w:hAnsi="宋体" w:cs="宋体"/>
          <w:bCs/>
          <w:color w:val="FF0000"/>
          <w:kern w:val="2"/>
          <w:sz w:val="20"/>
          <w:szCs w:val="20"/>
          <w:highlight w:val="none"/>
        </w:rPr>
      </w:pPr>
      <w:r>
        <w:rPr>
          <w:rFonts w:hint="eastAsia" w:ascii="宋体" w:hAnsi="宋体" w:cs="宋体"/>
          <w:bCs/>
          <w:color w:val="FF0000"/>
          <w:kern w:val="2"/>
          <w:sz w:val="20"/>
          <w:szCs w:val="20"/>
          <w:highlight w:val="none"/>
        </w:rPr>
        <w:t>7.2 如果发生不可抗力事件，影响一方履行其在本协议项下的义务，则在不可抗力造成的延误期内中止履行的，不视为违约。宣称发生不可抗力的一方应在</w:t>
      </w:r>
      <w:r>
        <w:rPr>
          <w:rFonts w:hint="eastAsia" w:asciiTheme="minorEastAsia" w:hAnsiTheme="minorEastAsia" w:eastAsiaTheme="minorEastAsia" w:cstheme="minorEastAsia"/>
          <w:sz w:val="20"/>
          <w:szCs w:val="20"/>
          <w:highlight w:val="none"/>
          <w:u w:val="single"/>
        </w:rPr>
        <w:t xml:space="preserve">  </w:t>
      </w:r>
      <w:r>
        <w:rPr>
          <w:rFonts w:hint="eastAsia" w:ascii="宋体" w:hAnsi="宋体" w:cs="宋体"/>
          <w:color w:val="FF0000"/>
          <w:sz w:val="20"/>
          <w:szCs w:val="20"/>
          <w:highlight w:val="none"/>
          <w:u w:val="single"/>
        </w:rPr>
        <w:t>3天内</w:t>
      </w:r>
      <w:r>
        <w:rPr>
          <w:rFonts w:hint="eastAsia" w:asciiTheme="minorEastAsia" w:hAnsiTheme="minorEastAsia" w:eastAsiaTheme="minorEastAsia" w:cstheme="minorEastAsia"/>
          <w:sz w:val="20"/>
          <w:szCs w:val="20"/>
          <w:highlight w:val="none"/>
          <w:u w:val="single"/>
        </w:rPr>
        <w:t xml:space="preserve"> </w:t>
      </w:r>
      <w:r>
        <w:rPr>
          <w:rFonts w:hint="eastAsia" w:ascii="宋体" w:hAnsi="宋体" w:cs="宋体"/>
          <w:bCs/>
          <w:color w:val="FF0000"/>
          <w:kern w:val="2"/>
          <w:sz w:val="20"/>
          <w:szCs w:val="20"/>
          <w:highlight w:val="none"/>
        </w:rPr>
        <w:t>以书面方式通知对方，并在其后的</w:t>
      </w:r>
      <w:r>
        <w:rPr>
          <w:rFonts w:hint="eastAsia" w:asciiTheme="minorEastAsia" w:hAnsiTheme="minorEastAsia" w:eastAsiaTheme="minorEastAsia" w:cstheme="minorEastAsia"/>
          <w:sz w:val="20"/>
          <w:szCs w:val="20"/>
          <w:highlight w:val="none"/>
          <w:u w:val="single"/>
        </w:rPr>
        <w:t xml:space="preserve"> </w:t>
      </w:r>
      <w:r>
        <w:rPr>
          <w:rFonts w:hint="eastAsia" w:ascii="宋体" w:hAnsi="宋体" w:cs="宋体"/>
          <w:color w:val="FF0000"/>
          <w:sz w:val="20"/>
          <w:szCs w:val="20"/>
          <w:highlight w:val="none"/>
          <w:u w:val="single"/>
        </w:rPr>
        <w:t>15天内</w:t>
      </w:r>
      <w:r>
        <w:rPr>
          <w:rFonts w:hint="eastAsia" w:asciiTheme="minorEastAsia" w:hAnsiTheme="minorEastAsia" w:eastAsiaTheme="minorEastAsia" w:cstheme="minorEastAsia"/>
          <w:sz w:val="20"/>
          <w:szCs w:val="20"/>
          <w:highlight w:val="none"/>
          <w:u w:val="single"/>
        </w:rPr>
        <w:t xml:space="preserve"> </w:t>
      </w:r>
      <w:r>
        <w:rPr>
          <w:rFonts w:hint="eastAsia" w:ascii="宋体" w:hAnsi="宋体" w:cs="宋体"/>
          <w:bCs/>
          <w:color w:val="FF0000"/>
          <w:kern w:val="2"/>
          <w:sz w:val="20"/>
          <w:szCs w:val="20"/>
          <w:highlight w:val="none"/>
        </w:rPr>
        <w:t>提供证明不可抗力发生及其持续时间的足够证据。</w:t>
      </w:r>
    </w:p>
    <w:p>
      <w:pPr>
        <w:pStyle w:val="24"/>
        <w:adjustRightInd w:val="0"/>
        <w:snapToGrid w:val="0"/>
        <w:spacing w:line="400" w:lineRule="exact"/>
        <w:ind w:firstLine="400" w:firstLineChars="200"/>
        <w:rPr>
          <w:rFonts w:hint="eastAsia" w:asciiTheme="minorEastAsia" w:hAnsiTheme="minorEastAsia" w:eastAsiaTheme="minorEastAsia" w:cstheme="minorEastAsia"/>
          <w:sz w:val="20"/>
          <w:szCs w:val="20"/>
          <w:highlight w:val="none"/>
        </w:rPr>
      </w:pPr>
      <w:r>
        <w:rPr>
          <w:rFonts w:hint="eastAsia" w:ascii="宋体" w:hAnsi="宋体" w:cs="宋体"/>
          <w:bCs/>
          <w:color w:val="FF0000"/>
          <w:kern w:val="2"/>
          <w:sz w:val="20"/>
          <w:szCs w:val="20"/>
          <w:highlight w:val="none"/>
        </w:rPr>
        <w:t>7.3 如果发生不可抗力事件，各方应立即互相协商，以找到公平的解决办法，并且应尽一切合理努力将不可抗力的影响减少到最低限度</w:t>
      </w:r>
      <w:r>
        <w:rPr>
          <w:rFonts w:hint="eastAsia" w:ascii="宋体" w:hAnsi="宋体" w:cs="宋体"/>
          <w:color w:val="FF0000"/>
          <w:sz w:val="20"/>
          <w:szCs w:val="20"/>
          <w:highlight w:val="none"/>
        </w:rPr>
        <w:t>。</w:t>
      </w:r>
    </w:p>
    <w:p>
      <w:pPr>
        <w:autoSpaceDE w:val="0"/>
        <w:autoSpaceDN w:val="0"/>
        <w:adjustRightInd w:val="0"/>
        <w:snapToGrid w:val="0"/>
        <w:ind w:firstLine="361" w:firstLineChars="200"/>
        <w:rPr>
          <w:rFonts w:hint="eastAsia" w:asciiTheme="minorEastAsia" w:hAnsiTheme="minorEastAsia" w:eastAsiaTheme="minorEastAsia" w:cstheme="minorEastAsia"/>
          <w:b/>
          <w:bCs/>
          <w:sz w:val="18"/>
          <w:szCs w:val="18"/>
          <w:highlight w:val="none"/>
        </w:rPr>
      </w:pPr>
    </w:p>
    <w:p>
      <w:pPr>
        <w:widowControl/>
        <w:autoSpaceDE w:val="0"/>
        <w:autoSpaceDN w:val="0"/>
        <w:adjustRightInd w:val="0"/>
        <w:snapToGrid w:val="0"/>
        <w:spacing w:line="440" w:lineRule="exact"/>
        <w:ind w:firstLine="402" w:firstLineChars="200"/>
        <w:jc w:val="left"/>
        <w:rPr>
          <w:rFonts w:hint="eastAsia" w:asciiTheme="minorEastAsia" w:hAnsiTheme="minorEastAsia" w:eastAsiaTheme="minorEastAsia" w:cstheme="minorEastAsia"/>
          <w:b/>
          <w:bCs/>
          <w:sz w:val="20"/>
          <w:szCs w:val="20"/>
          <w:highlight w:val="none"/>
        </w:rPr>
      </w:pPr>
    </w:p>
    <w:p>
      <w:pPr>
        <w:widowControl/>
        <w:ind w:firstLine="402" w:firstLineChars="200"/>
        <w:jc w:val="left"/>
        <w:rPr>
          <w:rFonts w:hint="eastAsia" w:asciiTheme="minorEastAsia" w:hAnsiTheme="minorEastAsia" w:eastAsiaTheme="minorEastAsia" w:cstheme="minorEastAsia"/>
          <w:b/>
          <w:bCs/>
          <w:sz w:val="20"/>
          <w:szCs w:val="20"/>
          <w:highlight w:val="none"/>
        </w:rPr>
      </w:pPr>
      <w:r>
        <w:rPr>
          <w:rFonts w:hint="eastAsia" w:asciiTheme="minorEastAsia" w:hAnsiTheme="minorEastAsia" w:eastAsiaTheme="minorEastAsia" w:cstheme="minorEastAsia"/>
          <w:b/>
          <w:bCs/>
          <w:sz w:val="20"/>
          <w:szCs w:val="20"/>
          <w:highlight w:val="none"/>
        </w:rPr>
        <w:t>第八条 送达与联络</w:t>
      </w:r>
    </w:p>
    <w:p>
      <w:pPr>
        <w:widowControl/>
        <w:ind w:firstLine="400" w:firstLineChars="200"/>
        <w:jc w:val="left"/>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rPr>
        <w:t>8</w:t>
      </w:r>
      <w:r>
        <w:rPr>
          <w:rFonts w:hint="eastAsia" w:asciiTheme="minorEastAsia" w:hAnsiTheme="minorEastAsia" w:eastAsiaTheme="minorEastAsia" w:cstheme="minorEastAsia"/>
          <w:sz w:val="20"/>
          <w:szCs w:val="20"/>
          <w:highlight w:val="none"/>
          <w:lang w:val="zh-CN"/>
        </w:rPr>
        <w:t>.1</w:t>
      </w:r>
      <w:r>
        <w:rPr>
          <w:rFonts w:hint="eastAsia" w:asciiTheme="minorEastAsia" w:hAnsiTheme="minorEastAsia" w:eastAsiaTheme="minorEastAsia" w:cstheme="minorEastAsia"/>
          <w:sz w:val="20"/>
          <w:szCs w:val="20"/>
          <w:highlight w:val="none"/>
        </w:rPr>
        <w:t xml:space="preserve"> </w:t>
      </w:r>
      <w:r>
        <w:rPr>
          <w:rFonts w:hint="eastAsia" w:asciiTheme="minorEastAsia" w:hAnsiTheme="minorEastAsia" w:eastAsiaTheme="minorEastAsia" w:cstheme="minorEastAsia"/>
          <w:sz w:val="20"/>
          <w:szCs w:val="20"/>
          <w:highlight w:val="none"/>
          <w:lang w:val="zh-CN"/>
        </w:rPr>
        <w:t>双方确认本</w:t>
      </w:r>
      <w:r>
        <w:rPr>
          <w:rFonts w:hint="eastAsia" w:asciiTheme="minorEastAsia" w:hAnsiTheme="minorEastAsia" w:eastAsiaTheme="minorEastAsia" w:cstheme="minorEastAsia"/>
          <w:sz w:val="20"/>
          <w:szCs w:val="20"/>
          <w:highlight w:val="none"/>
        </w:rPr>
        <w:t>协议</w:t>
      </w:r>
      <w:r>
        <w:rPr>
          <w:rFonts w:hint="eastAsia" w:asciiTheme="minorEastAsia" w:hAnsiTheme="minorEastAsia" w:eastAsiaTheme="minorEastAsia" w:cstheme="minorEastAsia"/>
          <w:sz w:val="20"/>
          <w:szCs w:val="20"/>
          <w:highlight w:val="none"/>
          <w:lang w:val="zh-CN"/>
        </w:rPr>
        <w:t>各方提供的地址、联络方式、联络人均为真实、有效的。任何一方向对方所发出的文件、信息，均需按约定的地址及送达方式发出。双方确认本</w:t>
      </w:r>
      <w:r>
        <w:rPr>
          <w:rFonts w:hint="eastAsia" w:asciiTheme="minorEastAsia" w:hAnsiTheme="minorEastAsia" w:eastAsiaTheme="minorEastAsia" w:cstheme="minorEastAsia"/>
          <w:sz w:val="20"/>
          <w:szCs w:val="20"/>
          <w:highlight w:val="none"/>
        </w:rPr>
        <w:t>协议</w:t>
      </w:r>
      <w:r>
        <w:rPr>
          <w:rFonts w:hint="eastAsia" w:asciiTheme="minorEastAsia" w:hAnsiTheme="minorEastAsia" w:eastAsiaTheme="minorEastAsia" w:cstheme="minorEastAsia"/>
          <w:sz w:val="20"/>
          <w:szCs w:val="20"/>
          <w:highlight w:val="none"/>
          <w:lang w:val="zh-CN"/>
        </w:rPr>
        <w:t>本方的联络地址及联络方式同为司法机关的司法文书的送达地址和联络方式，司法机关一经送达，即为有效送达。</w:t>
      </w:r>
    </w:p>
    <w:p>
      <w:pPr>
        <w:adjustRightInd w:val="0"/>
        <w:snapToGrid w:val="0"/>
        <w:spacing w:line="440" w:lineRule="exact"/>
        <w:ind w:firstLine="400" w:firstLineChars="200"/>
        <w:jc w:val="left"/>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rPr>
        <w:t>8</w:t>
      </w:r>
      <w:r>
        <w:rPr>
          <w:rFonts w:hint="eastAsia" w:asciiTheme="minorEastAsia" w:hAnsiTheme="minorEastAsia" w:eastAsiaTheme="minorEastAsia" w:cstheme="minorEastAsia"/>
          <w:sz w:val="20"/>
          <w:szCs w:val="20"/>
          <w:highlight w:val="none"/>
          <w:lang w:val="zh-CN"/>
        </w:rPr>
        <w:t>.</w:t>
      </w:r>
      <w:r>
        <w:rPr>
          <w:rFonts w:hint="eastAsia" w:asciiTheme="minorEastAsia" w:hAnsiTheme="minorEastAsia" w:eastAsiaTheme="minorEastAsia" w:cstheme="minorEastAsia"/>
          <w:sz w:val="20"/>
          <w:szCs w:val="20"/>
          <w:highlight w:val="none"/>
        </w:rPr>
        <w:t xml:space="preserve">2 </w:t>
      </w:r>
      <w:r>
        <w:rPr>
          <w:rFonts w:hint="eastAsia" w:asciiTheme="minorEastAsia" w:hAnsiTheme="minorEastAsia" w:eastAsiaTheme="minorEastAsia" w:cstheme="minorEastAsia"/>
          <w:sz w:val="20"/>
          <w:szCs w:val="20"/>
          <w:highlight w:val="none"/>
          <w:lang w:val="zh-CN"/>
        </w:rPr>
        <w:t>信件交邮后若非因发件人原因造成的无法送达，则以信件退回之日或信件交邮后的第三日视为送达。传真/微信/电子邮件等电子通讯方式，自一方按电子送达地址发送，成功发出之日为送达之日；如由于一方提供的电子送达地址错误、失效等原因导致无法成功发送的，则电子文件被退回之日视为送达之日。若送达日为非工作日，则视为在下一工作日送达。</w:t>
      </w:r>
    </w:p>
    <w:p>
      <w:pPr>
        <w:widowControl/>
        <w:autoSpaceDE w:val="0"/>
        <w:autoSpaceDN w:val="0"/>
        <w:adjustRightInd w:val="0"/>
        <w:snapToGrid w:val="0"/>
        <w:spacing w:line="440" w:lineRule="exact"/>
        <w:ind w:firstLine="400" w:firstLineChars="200"/>
        <w:jc w:val="left"/>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rPr>
        <w:t>8</w:t>
      </w:r>
      <w:r>
        <w:rPr>
          <w:rFonts w:hint="eastAsia" w:asciiTheme="minorEastAsia" w:hAnsiTheme="minorEastAsia" w:eastAsiaTheme="minorEastAsia" w:cstheme="minorEastAsia"/>
          <w:sz w:val="20"/>
          <w:szCs w:val="20"/>
          <w:highlight w:val="none"/>
          <w:lang w:val="zh-CN"/>
        </w:rPr>
        <w:t>.</w:t>
      </w:r>
      <w:r>
        <w:rPr>
          <w:rFonts w:hint="eastAsia" w:asciiTheme="minorEastAsia" w:hAnsiTheme="minorEastAsia" w:eastAsiaTheme="minorEastAsia" w:cstheme="minorEastAsia"/>
          <w:sz w:val="20"/>
          <w:szCs w:val="20"/>
          <w:highlight w:val="none"/>
        </w:rPr>
        <w:t xml:space="preserve">3 </w:t>
      </w:r>
      <w:r>
        <w:rPr>
          <w:rFonts w:hint="eastAsia" w:asciiTheme="minorEastAsia" w:hAnsiTheme="minorEastAsia" w:eastAsiaTheme="minorEastAsia" w:cstheme="minorEastAsia"/>
          <w:sz w:val="20"/>
          <w:szCs w:val="20"/>
          <w:highlight w:val="none"/>
          <w:lang w:val="zh-CN"/>
        </w:rPr>
        <w:t>本送达条款为独立条款，不受合同整体或其他条款的效力的影响。</w:t>
      </w:r>
    </w:p>
    <w:p>
      <w:pPr>
        <w:autoSpaceDE w:val="0"/>
        <w:autoSpaceDN w:val="0"/>
        <w:adjustRightInd w:val="0"/>
        <w:snapToGrid w:val="0"/>
        <w:spacing w:line="440" w:lineRule="exact"/>
        <w:ind w:firstLine="400" w:firstLineChars="200"/>
        <w:jc w:val="left"/>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rPr>
        <w:t>8</w:t>
      </w:r>
      <w:r>
        <w:rPr>
          <w:rFonts w:hint="eastAsia" w:asciiTheme="minorEastAsia" w:hAnsiTheme="minorEastAsia" w:eastAsiaTheme="minorEastAsia" w:cstheme="minorEastAsia"/>
          <w:sz w:val="20"/>
          <w:szCs w:val="20"/>
          <w:highlight w:val="none"/>
          <w:lang w:val="zh-CN"/>
        </w:rPr>
        <w:t>.</w:t>
      </w:r>
      <w:r>
        <w:rPr>
          <w:rFonts w:hint="eastAsia" w:asciiTheme="minorEastAsia" w:hAnsiTheme="minorEastAsia" w:eastAsiaTheme="minorEastAsia" w:cstheme="minorEastAsia"/>
          <w:sz w:val="20"/>
          <w:szCs w:val="20"/>
          <w:highlight w:val="none"/>
        </w:rPr>
        <w:t xml:space="preserve">4 </w:t>
      </w:r>
      <w:r>
        <w:rPr>
          <w:rFonts w:hint="eastAsia" w:asciiTheme="minorEastAsia" w:hAnsiTheme="minorEastAsia" w:eastAsiaTheme="minorEastAsia" w:cstheme="minorEastAsia"/>
          <w:sz w:val="20"/>
          <w:szCs w:val="20"/>
          <w:highlight w:val="none"/>
          <w:lang w:val="zh-CN"/>
        </w:rPr>
        <w:t>双方联系人（姓名/座机或手机/邮箱）</w:t>
      </w:r>
    </w:p>
    <w:p>
      <w:pPr>
        <w:ind w:firstLine="400" w:firstLineChars="200"/>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rPr>
        <w:t>8</w:t>
      </w:r>
      <w:r>
        <w:rPr>
          <w:rFonts w:hint="eastAsia" w:asciiTheme="minorEastAsia" w:hAnsiTheme="minorEastAsia" w:eastAsiaTheme="minorEastAsia" w:cstheme="minorEastAsia"/>
          <w:sz w:val="20"/>
          <w:szCs w:val="20"/>
          <w:highlight w:val="none"/>
          <w:lang w:val="zh-CN"/>
        </w:rPr>
        <w:t>.</w:t>
      </w:r>
      <w:r>
        <w:rPr>
          <w:rFonts w:hint="eastAsia" w:asciiTheme="minorEastAsia" w:hAnsiTheme="minorEastAsia" w:eastAsiaTheme="minorEastAsia" w:cstheme="minorEastAsia"/>
          <w:sz w:val="20"/>
          <w:szCs w:val="20"/>
          <w:highlight w:val="none"/>
        </w:rPr>
        <w:t>4</w:t>
      </w:r>
      <w:r>
        <w:rPr>
          <w:rFonts w:hint="eastAsia" w:asciiTheme="minorEastAsia" w:hAnsiTheme="minorEastAsia" w:eastAsiaTheme="minorEastAsia" w:cstheme="minorEastAsia"/>
          <w:sz w:val="20"/>
          <w:szCs w:val="20"/>
          <w:highlight w:val="none"/>
          <w:lang w:val="zh-CN"/>
        </w:rPr>
        <w:t>.1 协议事项联系人</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u w:val="single"/>
        </w:rPr>
      </w:pPr>
      <w:r>
        <w:rPr>
          <w:rFonts w:hint="eastAsia" w:asciiTheme="minorEastAsia" w:hAnsiTheme="minorEastAsia" w:eastAsiaTheme="minorEastAsia" w:cstheme="minorEastAsia"/>
          <w:sz w:val="20"/>
          <w:szCs w:val="20"/>
          <w:highlight w:val="none"/>
          <w:lang w:val="zh-CN"/>
        </w:rPr>
        <w:t>甲方：</w:t>
      </w:r>
      <w:r>
        <w:rPr>
          <w:rFonts w:hint="eastAsia" w:asciiTheme="minorEastAsia" w:hAnsiTheme="minorEastAsia" w:eastAsiaTheme="minorEastAsia" w:cstheme="minorEastAsia"/>
          <w:sz w:val="20"/>
          <w:szCs w:val="20"/>
          <w:highlight w:val="none"/>
          <w:u w:val="single"/>
        </w:rPr>
        <w:t xml:space="preserve">      </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lang w:val="zh-CN"/>
        </w:rPr>
        <w:t>乙方：</w:t>
      </w:r>
      <w:r>
        <w:rPr>
          <w:rFonts w:hint="eastAsia" w:asciiTheme="minorEastAsia" w:hAnsiTheme="minorEastAsia" w:eastAsiaTheme="minorEastAsia" w:cstheme="minorEastAsia"/>
          <w:sz w:val="20"/>
          <w:szCs w:val="20"/>
          <w:highlight w:val="none"/>
          <w:u w:val="single"/>
        </w:rPr>
        <w:t xml:space="preserve">      </w:t>
      </w:r>
    </w:p>
    <w:p>
      <w:pPr>
        <w:ind w:firstLine="400" w:firstLineChars="200"/>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rPr>
        <w:t>8</w:t>
      </w:r>
      <w:r>
        <w:rPr>
          <w:rFonts w:hint="eastAsia" w:asciiTheme="minorEastAsia" w:hAnsiTheme="minorEastAsia" w:eastAsiaTheme="minorEastAsia" w:cstheme="minorEastAsia"/>
          <w:sz w:val="20"/>
          <w:szCs w:val="20"/>
          <w:highlight w:val="none"/>
          <w:lang w:val="zh-CN"/>
        </w:rPr>
        <w:t>.</w:t>
      </w:r>
      <w:r>
        <w:rPr>
          <w:rFonts w:hint="eastAsia" w:asciiTheme="minorEastAsia" w:hAnsiTheme="minorEastAsia" w:eastAsiaTheme="minorEastAsia" w:cstheme="minorEastAsia"/>
          <w:sz w:val="20"/>
          <w:szCs w:val="20"/>
          <w:highlight w:val="none"/>
        </w:rPr>
        <w:t>4</w:t>
      </w:r>
      <w:r>
        <w:rPr>
          <w:rFonts w:hint="eastAsia" w:asciiTheme="minorEastAsia" w:hAnsiTheme="minorEastAsia" w:eastAsiaTheme="minorEastAsia" w:cstheme="minorEastAsia"/>
          <w:sz w:val="20"/>
          <w:szCs w:val="20"/>
          <w:highlight w:val="none"/>
          <w:lang w:val="zh-CN"/>
        </w:rPr>
        <w:t>.2 订房联系人</w:t>
      </w:r>
    </w:p>
    <w:p>
      <w:pPr>
        <w:autoSpaceDE w:val="0"/>
        <w:autoSpaceDN w:val="0"/>
        <w:adjustRightInd w:val="0"/>
        <w:snapToGrid w:val="0"/>
        <w:spacing w:line="440" w:lineRule="exact"/>
        <w:ind w:firstLine="400" w:firstLineChars="200"/>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lang w:val="zh-CN"/>
        </w:rPr>
        <w:t>甲方：</w:t>
      </w:r>
      <w:r>
        <w:rPr>
          <w:rFonts w:hint="eastAsia" w:asciiTheme="minorEastAsia" w:hAnsiTheme="minorEastAsia" w:eastAsiaTheme="minorEastAsia" w:cstheme="minorEastAsia"/>
          <w:sz w:val="20"/>
          <w:szCs w:val="20"/>
          <w:highlight w:val="none"/>
          <w:u w:val="single"/>
        </w:rPr>
        <w:t xml:space="preserve">      </w:t>
      </w:r>
    </w:p>
    <w:p>
      <w:pPr>
        <w:widowControl/>
        <w:autoSpaceDE w:val="0"/>
        <w:autoSpaceDN w:val="0"/>
        <w:adjustRightInd w:val="0"/>
        <w:snapToGrid w:val="0"/>
        <w:spacing w:line="440" w:lineRule="exact"/>
        <w:ind w:firstLine="400" w:firstLineChars="200"/>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lang w:val="zh-CN"/>
        </w:rPr>
        <w:t>乙方：</w:t>
      </w:r>
      <w:r>
        <w:rPr>
          <w:rFonts w:hint="eastAsia" w:asciiTheme="minorEastAsia" w:hAnsiTheme="minorEastAsia" w:eastAsiaTheme="minorEastAsia" w:cstheme="minorEastAsia"/>
          <w:sz w:val="20"/>
          <w:szCs w:val="20"/>
          <w:highlight w:val="none"/>
          <w:u w:val="single"/>
        </w:rPr>
        <w:t xml:space="preserve">      </w:t>
      </w:r>
    </w:p>
    <w:p>
      <w:pPr>
        <w:ind w:firstLine="400" w:firstLineChars="200"/>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rPr>
        <w:t>8</w:t>
      </w:r>
      <w:r>
        <w:rPr>
          <w:rFonts w:hint="eastAsia" w:asciiTheme="minorEastAsia" w:hAnsiTheme="minorEastAsia" w:eastAsiaTheme="minorEastAsia" w:cstheme="minorEastAsia"/>
          <w:sz w:val="20"/>
          <w:szCs w:val="20"/>
          <w:highlight w:val="none"/>
          <w:lang w:val="zh-CN"/>
        </w:rPr>
        <w:t>.</w:t>
      </w:r>
      <w:r>
        <w:rPr>
          <w:rFonts w:hint="eastAsia" w:asciiTheme="minorEastAsia" w:hAnsiTheme="minorEastAsia" w:eastAsiaTheme="minorEastAsia" w:cstheme="minorEastAsia"/>
          <w:sz w:val="20"/>
          <w:szCs w:val="20"/>
          <w:highlight w:val="none"/>
        </w:rPr>
        <w:t>4</w:t>
      </w:r>
      <w:r>
        <w:rPr>
          <w:rFonts w:hint="eastAsia" w:asciiTheme="minorEastAsia" w:hAnsiTheme="minorEastAsia" w:eastAsiaTheme="minorEastAsia" w:cstheme="minorEastAsia"/>
          <w:sz w:val="20"/>
          <w:szCs w:val="20"/>
          <w:highlight w:val="none"/>
          <w:lang w:val="zh-CN"/>
        </w:rPr>
        <w:t>.3 服务质量监督联系人</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lang w:val="zh-CN"/>
        </w:rPr>
        <w:t>甲方：</w:t>
      </w:r>
      <w:r>
        <w:rPr>
          <w:rFonts w:hint="eastAsia" w:asciiTheme="minorEastAsia" w:hAnsiTheme="minorEastAsia" w:eastAsiaTheme="minorEastAsia" w:cstheme="minorEastAsia"/>
          <w:sz w:val="20"/>
          <w:szCs w:val="20"/>
          <w:highlight w:val="none"/>
          <w:u w:val="single"/>
        </w:rPr>
        <w:t xml:space="preserve">      </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lang w:val="zh-CN"/>
        </w:rPr>
        <w:t>乙方：</w:t>
      </w:r>
      <w:r>
        <w:rPr>
          <w:rFonts w:hint="eastAsia" w:asciiTheme="minorEastAsia" w:hAnsiTheme="minorEastAsia" w:eastAsiaTheme="minorEastAsia" w:cstheme="minorEastAsia"/>
          <w:sz w:val="20"/>
          <w:szCs w:val="20"/>
          <w:highlight w:val="none"/>
          <w:u w:val="single"/>
        </w:rPr>
        <w:t xml:space="preserve">      </w:t>
      </w:r>
    </w:p>
    <w:p>
      <w:pPr>
        <w:widowControl/>
        <w:autoSpaceDE w:val="0"/>
        <w:autoSpaceDN w:val="0"/>
        <w:adjustRightInd w:val="0"/>
        <w:snapToGrid w:val="0"/>
        <w:spacing w:line="440" w:lineRule="exact"/>
        <w:ind w:firstLine="400" w:firstLineChars="200"/>
        <w:jc w:val="left"/>
        <w:rPr>
          <w:rFonts w:hint="eastAsia" w:asciiTheme="minorEastAsia" w:hAnsiTheme="minorEastAsia" w:eastAsiaTheme="minorEastAsia" w:cstheme="minorEastAsia"/>
          <w:sz w:val="20"/>
          <w:szCs w:val="20"/>
          <w:highlight w:val="none"/>
        </w:rPr>
      </w:pPr>
    </w:p>
    <w:p>
      <w:pPr>
        <w:ind w:firstLine="402" w:firstLineChars="200"/>
        <w:rPr>
          <w:rFonts w:hint="eastAsia" w:asciiTheme="minorEastAsia" w:hAnsiTheme="minorEastAsia" w:eastAsiaTheme="minorEastAsia" w:cstheme="minorEastAsia"/>
          <w:b/>
          <w:bCs/>
          <w:sz w:val="20"/>
          <w:szCs w:val="20"/>
          <w:highlight w:val="none"/>
        </w:rPr>
      </w:pPr>
      <w:r>
        <w:rPr>
          <w:rFonts w:hint="eastAsia" w:asciiTheme="minorEastAsia" w:hAnsiTheme="minorEastAsia" w:eastAsiaTheme="minorEastAsia" w:cstheme="minorEastAsia"/>
          <w:b/>
          <w:bCs/>
          <w:sz w:val="20"/>
          <w:szCs w:val="20"/>
          <w:highlight w:val="none"/>
        </w:rPr>
        <w:t>第九条 争议解决</w:t>
      </w:r>
    </w:p>
    <w:p>
      <w:pPr>
        <w:widowControl/>
        <w:autoSpaceDE w:val="0"/>
        <w:autoSpaceDN w:val="0"/>
        <w:adjustRightInd w:val="0"/>
        <w:snapToGrid w:val="0"/>
        <w:spacing w:line="440" w:lineRule="exact"/>
        <w:ind w:firstLine="400" w:firstLineChars="200"/>
        <w:jc w:val="left"/>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rPr>
        <w:t>9</w:t>
      </w:r>
      <w:r>
        <w:rPr>
          <w:rFonts w:hint="eastAsia" w:asciiTheme="minorEastAsia" w:hAnsiTheme="minorEastAsia" w:eastAsiaTheme="minorEastAsia" w:cstheme="minorEastAsia"/>
          <w:sz w:val="20"/>
          <w:szCs w:val="20"/>
          <w:highlight w:val="none"/>
          <w:lang w:val="zh-CN"/>
        </w:rPr>
        <w:t>.1</w:t>
      </w:r>
      <w:r>
        <w:rPr>
          <w:rFonts w:hint="eastAsia" w:asciiTheme="minorEastAsia" w:hAnsiTheme="minorEastAsia" w:eastAsiaTheme="minorEastAsia" w:cstheme="minorEastAsia"/>
          <w:sz w:val="20"/>
          <w:szCs w:val="20"/>
          <w:highlight w:val="none"/>
        </w:rPr>
        <w:t xml:space="preserve"> </w:t>
      </w:r>
      <w:r>
        <w:rPr>
          <w:rFonts w:hint="eastAsia" w:asciiTheme="minorEastAsia" w:hAnsiTheme="minorEastAsia" w:eastAsiaTheme="minorEastAsia" w:cstheme="minorEastAsia"/>
          <w:sz w:val="20"/>
          <w:szCs w:val="20"/>
          <w:highlight w:val="none"/>
          <w:lang w:val="zh-CN" w:bidi="ar"/>
        </w:rPr>
        <w:t>双方发生争议无法通过协商解决的</w:t>
      </w:r>
      <w:r>
        <w:rPr>
          <w:rFonts w:hint="eastAsia" w:asciiTheme="minorEastAsia" w:hAnsiTheme="minorEastAsia" w:eastAsiaTheme="minorEastAsia" w:cstheme="minorEastAsia"/>
          <w:sz w:val="20"/>
          <w:szCs w:val="20"/>
          <w:highlight w:val="none"/>
          <w:lang w:val="zh-CN"/>
        </w:rPr>
        <w:t>，均</w:t>
      </w:r>
      <w:r>
        <w:rPr>
          <w:rFonts w:hint="eastAsia" w:asciiTheme="minorEastAsia" w:hAnsiTheme="minorEastAsia" w:eastAsiaTheme="minorEastAsia" w:cstheme="minorEastAsia"/>
          <w:sz w:val="20"/>
          <w:szCs w:val="20"/>
          <w:highlight w:val="none"/>
        </w:rPr>
        <w:t>应</w:t>
      </w:r>
      <w:r>
        <w:rPr>
          <w:rFonts w:hint="eastAsia" w:asciiTheme="minorEastAsia" w:hAnsiTheme="minorEastAsia" w:eastAsiaTheme="minorEastAsia" w:cstheme="minorEastAsia"/>
          <w:sz w:val="20"/>
          <w:szCs w:val="20"/>
          <w:highlight w:val="none"/>
          <w:lang w:val="zh-CN"/>
        </w:rPr>
        <w:t>向</w:t>
      </w:r>
      <w:r>
        <w:rPr>
          <w:rFonts w:hint="eastAsia" w:asciiTheme="minorEastAsia" w:hAnsiTheme="minorEastAsia" w:eastAsiaTheme="minorEastAsia" w:cstheme="minorEastAsia"/>
          <w:sz w:val="20"/>
          <w:szCs w:val="20"/>
          <w:highlight w:val="none"/>
          <w:u w:val="single"/>
        </w:rPr>
        <w:t xml:space="preserve"> 本协议</w:t>
      </w:r>
      <w:r>
        <w:rPr>
          <w:rFonts w:hint="eastAsia" w:asciiTheme="minorEastAsia" w:hAnsiTheme="minorEastAsia" w:eastAsiaTheme="minorEastAsia" w:cstheme="minorEastAsia"/>
          <w:sz w:val="20"/>
          <w:szCs w:val="20"/>
          <w:highlight w:val="none"/>
          <w:u w:val="single"/>
          <w:lang w:val="zh-CN"/>
        </w:rPr>
        <w:t>签订</w:t>
      </w:r>
      <w:r>
        <w:rPr>
          <w:rFonts w:hint="eastAsia" w:asciiTheme="minorEastAsia" w:hAnsiTheme="minorEastAsia" w:eastAsiaTheme="minorEastAsia" w:cstheme="minorEastAsia"/>
          <w:sz w:val="20"/>
          <w:szCs w:val="20"/>
          <w:highlight w:val="none"/>
          <w:u w:val="single"/>
        </w:rPr>
        <w:t xml:space="preserve">所在地XX市XX区 </w:t>
      </w:r>
      <w:r>
        <w:rPr>
          <w:rFonts w:hint="eastAsia" w:asciiTheme="minorEastAsia" w:hAnsiTheme="minorEastAsia" w:eastAsiaTheme="minorEastAsia" w:cstheme="minorEastAsia"/>
          <w:sz w:val="20"/>
          <w:szCs w:val="20"/>
          <w:highlight w:val="none"/>
          <w:lang w:val="zh-CN"/>
        </w:rPr>
        <w:t>有管辖权的人民法院提起诉讼。</w:t>
      </w:r>
    </w:p>
    <w:p>
      <w:pPr>
        <w:widowControl/>
        <w:autoSpaceDE w:val="0"/>
        <w:autoSpaceDN w:val="0"/>
        <w:adjustRightInd w:val="0"/>
        <w:snapToGrid w:val="0"/>
        <w:spacing w:line="440" w:lineRule="exact"/>
        <w:ind w:firstLine="400" w:firstLineChars="200"/>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9</w:t>
      </w:r>
      <w:r>
        <w:rPr>
          <w:rFonts w:hint="eastAsia" w:asciiTheme="minorEastAsia" w:hAnsiTheme="minorEastAsia" w:eastAsiaTheme="minorEastAsia" w:cstheme="minorEastAsia"/>
          <w:sz w:val="20"/>
          <w:szCs w:val="20"/>
          <w:highlight w:val="none"/>
          <w:lang w:val="zh-CN"/>
        </w:rPr>
        <w:t>.2</w:t>
      </w:r>
      <w:r>
        <w:rPr>
          <w:rFonts w:hint="eastAsia" w:asciiTheme="minorEastAsia" w:hAnsiTheme="minorEastAsia" w:eastAsiaTheme="minorEastAsia" w:cstheme="minorEastAsia"/>
          <w:sz w:val="20"/>
          <w:szCs w:val="20"/>
          <w:highlight w:val="none"/>
        </w:rPr>
        <w:t xml:space="preserve"> </w:t>
      </w:r>
      <w:r>
        <w:rPr>
          <w:rFonts w:hint="eastAsia" w:asciiTheme="minorEastAsia" w:hAnsiTheme="minorEastAsia" w:eastAsiaTheme="minorEastAsia" w:cstheme="minorEastAsia"/>
          <w:sz w:val="20"/>
          <w:szCs w:val="20"/>
          <w:highlight w:val="none"/>
          <w:lang w:val="zh-CN"/>
        </w:rPr>
        <w:t>乙方为甲方旅客提供食宿服务时引起</w:t>
      </w:r>
      <w:r>
        <w:rPr>
          <w:rFonts w:hint="eastAsia" w:asciiTheme="minorEastAsia" w:hAnsiTheme="minorEastAsia" w:eastAsiaTheme="minorEastAsia" w:cstheme="minorEastAsia"/>
          <w:sz w:val="20"/>
          <w:szCs w:val="20"/>
          <w:highlight w:val="none"/>
        </w:rPr>
        <w:t>旅客对甲方</w:t>
      </w:r>
      <w:r>
        <w:rPr>
          <w:rFonts w:hint="eastAsia" w:asciiTheme="minorEastAsia" w:hAnsiTheme="minorEastAsia" w:eastAsiaTheme="minorEastAsia" w:cstheme="minorEastAsia"/>
          <w:sz w:val="20"/>
          <w:szCs w:val="20"/>
          <w:highlight w:val="none"/>
          <w:lang w:val="zh-CN"/>
        </w:rPr>
        <w:t>的</w:t>
      </w:r>
      <w:r>
        <w:rPr>
          <w:rFonts w:hint="eastAsia" w:asciiTheme="minorEastAsia" w:hAnsiTheme="minorEastAsia" w:eastAsiaTheme="minorEastAsia" w:cstheme="minorEastAsia"/>
          <w:sz w:val="20"/>
          <w:szCs w:val="20"/>
          <w:highlight w:val="none"/>
        </w:rPr>
        <w:t>民事</w:t>
      </w:r>
      <w:r>
        <w:rPr>
          <w:rFonts w:hint="eastAsia" w:asciiTheme="minorEastAsia" w:hAnsiTheme="minorEastAsia" w:eastAsiaTheme="minorEastAsia" w:cstheme="minorEastAsia"/>
          <w:sz w:val="20"/>
          <w:szCs w:val="20"/>
          <w:highlight w:val="none"/>
          <w:lang w:val="zh-CN"/>
        </w:rPr>
        <w:t>索赔，</w:t>
      </w:r>
      <w:r>
        <w:rPr>
          <w:rFonts w:hint="eastAsia" w:asciiTheme="minorEastAsia" w:hAnsiTheme="minorEastAsia" w:eastAsiaTheme="minorEastAsia" w:cstheme="minorEastAsia"/>
          <w:sz w:val="20"/>
          <w:szCs w:val="20"/>
          <w:highlight w:val="none"/>
        </w:rPr>
        <w:t>或导致甲方遭受行政</w:t>
      </w:r>
      <w:r>
        <w:rPr>
          <w:rFonts w:hint="eastAsia" w:asciiTheme="minorEastAsia" w:hAnsiTheme="minorEastAsia" w:eastAsiaTheme="minorEastAsia" w:cstheme="minorEastAsia"/>
          <w:sz w:val="20"/>
          <w:szCs w:val="20"/>
          <w:highlight w:val="none"/>
          <w:lang w:val="zh-CN"/>
        </w:rPr>
        <w:t>罚款</w:t>
      </w:r>
      <w:r>
        <w:rPr>
          <w:rFonts w:hint="eastAsia" w:asciiTheme="minorEastAsia" w:hAnsiTheme="minorEastAsia" w:eastAsiaTheme="minorEastAsia" w:cstheme="minorEastAsia"/>
          <w:sz w:val="20"/>
          <w:szCs w:val="20"/>
          <w:highlight w:val="none"/>
        </w:rPr>
        <w:t>的，甲方由此产生的一切经济损失均乙方承担；甲方因此向乙方主张权利所产生的全部费用（</w:t>
      </w:r>
      <w:r>
        <w:rPr>
          <w:rFonts w:hint="eastAsia" w:asciiTheme="minorEastAsia" w:hAnsiTheme="minorEastAsia" w:eastAsiaTheme="minorEastAsia" w:cstheme="minorEastAsia"/>
          <w:sz w:val="20"/>
          <w:szCs w:val="20"/>
          <w:highlight w:val="none"/>
          <w:lang w:val="zh-CN"/>
        </w:rPr>
        <w:t>包括不限于律师费、财产保全费、财产保全担保费、咨询鉴定费、调查取证费用、差旅费等）</w:t>
      </w:r>
      <w:r>
        <w:rPr>
          <w:rFonts w:hint="eastAsia" w:asciiTheme="minorEastAsia" w:hAnsiTheme="minorEastAsia" w:eastAsiaTheme="minorEastAsia" w:cstheme="minorEastAsia"/>
          <w:sz w:val="20"/>
          <w:szCs w:val="20"/>
          <w:highlight w:val="none"/>
        </w:rPr>
        <w:t>由乙方承担。</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b/>
          <w:bCs/>
          <w:sz w:val="20"/>
          <w:szCs w:val="20"/>
          <w:highlight w:val="none"/>
        </w:rPr>
      </w:pPr>
      <w:r>
        <w:rPr>
          <w:rFonts w:hint="eastAsia" w:asciiTheme="minorEastAsia" w:hAnsiTheme="minorEastAsia" w:eastAsiaTheme="minorEastAsia" w:cstheme="minorEastAsia"/>
          <w:sz w:val="20"/>
          <w:szCs w:val="20"/>
          <w:highlight w:val="none"/>
        </w:rPr>
        <w:t xml:space="preserve">9.3 </w:t>
      </w:r>
      <w:r>
        <w:rPr>
          <w:rFonts w:hint="eastAsia" w:ascii="宋体" w:hAnsi="宋体" w:cs="宋体"/>
          <w:sz w:val="20"/>
          <w:szCs w:val="20"/>
          <w:highlight w:val="none"/>
          <w:lang w:val="zh-CN"/>
        </w:rPr>
        <w:t>一方追究对方的违约（或侵权）责任所产生的全部费用，包括但不限于律师费、财产保全费、财产保全担保费、咨询鉴定费、调查取证费用、差旅费等，由法院认定的违约（侵权）方承担。</w:t>
      </w:r>
    </w:p>
    <w:p>
      <w:pPr>
        <w:autoSpaceDE w:val="0"/>
        <w:autoSpaceDN w:val="0"/>
        <w:adjustRightInd w:val="0"/>
        <w:snapToGrid w:val="0"/>
        <w:spacing w:line="440" w:lineRule="exact"/>
        <w:ind w:firstLine="402" w:firstLineChars="200"/>
        <w:rPr>
          <w:rFonts w:hint="eastAsia" w:asciiTheme="minorEastAsia" w:hAnsiTheme="minorEastAsia" w:eastAsiaTheme="minorEastAsia" w:cstheme="minorEastAsia"/>
          <w:b/>
          <w:bCs/>
          <w:sz w:val="20"/>
          <w:szCs w:val="20"/>
          <w:highlight w:val="none"/>
        </w:rPr>
      </w:pPr>
    </w:p>
    <w:p>
      <w:pPr>
        <w:ind w:firstLine="402" w:firstLineChars="200"/>
        <w:rPr>
          <w:rFonts w:hint="eastAsia" w:asciiTheme="minorEastAsia" w:hAnsiTheme="minorEastAsia" w:eastAsiaTheme="minorEastAsia" w:cstheme="minorEastAsia"/>
          <w:b/>
          <w:bCs/>
          <w:sz w:val="20"/>
          <w:szCs w:val="20"/>
          <w:highlight w:val="none"/>
        </w:rPr>
      </w:pPr>
      <w:r>
        <w:rPr>
          <w:rFonts w:hint="eastAsia" w:asciiTheme="minorEastAsia" w:hAnsiTheme="minorEastAsia" w:eastAsiaTheme="minorEastAsia" w:cstheme="minorEastAsia"/>
          <w:b/>
          <w:bCs/>
          <w:sz w:val="20"/>
          <w:szCs w:val="20"/>
          <w:highlight w:val="none"/>
        </w:rPr>
        <w:t>第十条 特别约定</w:t>
      </w:r>
      <w:r>
        <w:rPr>
          <w:rFonts w:hint="eastAsia" w:asciiTheme="minorEastAsia" w:hAnsiTheme="minorEastAsia" w:eastAsiaTheme="minorEastAsia" w:cstheme="minorEastAsia"/>
          <w:sz w:val="20"/>
          <w:szCs w:val="20"/>
          <w:highlight w:val="none"/>
        </w:rPr>
        <w:t>（如有）</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u w:val="single"/>
        </w:rPr>
        <w:t xml:space="preserve">10.1 </w:t>
      </w:r>
      <w:r>
        <w:rPr>
          <w:rFonts w:hint="eastAsia" w:asciiTheme="minorEastAsia" w:hAnsiTheme="minorEastAsia" w:eastAsiaTheme="minorEastAsia" w:cstheme="minorEastAsia"/>
          <w:sz w:val="20"/>
          <w:szCs w:val="20"/>
          <w:highlight w:val="none"/>
          <w:u w:val="single"/>
          <w:lang w:val="zh-CN"/>
        </w:rPr>
        <w:t>如乙方出现重大调整（包括但不仅限于酒店装修改造、专职驻场业务接待人员变动（如有）、名称</w:t>
      </w:r>
      <w:r>
        <w:rPr>
          <w:rFonts w:hint="eastAsia" w:asciiTheme="minorEastAsia" w:hAnsiTheme="minorEastAsia" w:eastAsiaTheme="minorEastAsia" w:cstheme="minorEastAsia"/>
          <w:sz w:val="20"/>
          <w:szCs w:val="20"/>
          <w:highlight w:val="none"/>
          <w:u w:val="single"/>
        </w:rPr>
        <w:t>变更、暂停合作</w:t>
      </w:r>
      <w:r>
        <w:rPr>
          <w:rFonts w:hint="eastAsia" w:asciiTheme="minorEastAsia" w:hAnsiTheme="minorEastAsia" w:eastAsiaTheme="minorEastAsia" w:cstheme="minorEastAsia"/>
          <w:sz w:val="20"/>
          <w:szCs w:val="20"/>
          <w:highlight w:val="none"/>
          <w:u w:val="single"/>
          <w:lang w:val="zh-CN"/>
        </w:rPr>
        <w:t>等），</w:t>
      </w:r>
      <w:r>
        <w:rPr>
          <w:rFonts w:hint="eastAsia" w:asciiTheme="minorEastAsia" w:hAnsiTheme="minorEastAsia" w:eastAsiaTheme="minorEastAsia" w:cstheme="minorEastAsia"/>
          <w:sz w:val="20"/>
          <w:szCs w:val="20"/>
          <w:highlight w:val="none"/>
          <w:lang w:val="zh-CN"/>
        </w:rPr>
        <w:t>须以书面方式提前</w:t>
      </w:r>
      <w:r>
        <w:rPr>
          <w:rFonts w:hint="eastAsia" w:asciiTheme="minorEastAsia" w:hAnsiTheme="minorEastAsia" w:eastAsiaTheme="minorEastAsia" w:cstheme="minorEastAsia"/>
          <w:sz w:val="20"/>
          <w:szCs w:val="20"/>
          <w:highlight w:val="none"/>
          <w:u w:val="single"/>
          <w:lang w:val="zh-CN"/>
        </w:rPr>
        <w:t>15个</w:t>
      </w:r>
      <w:r>
        <w:rPr>
          <w:rFonts w:hint="eastAsia" w:asciiTheme="minorEastAsia" w:hAnsiTheme="minorEastAsia" w:eastAsiaTheme="minorEastAsia" w:cstheme="minorEastAsia"/>
          <w:sz w:val="20"/>
          <w:szCs w:val="20"/>
          <w:highlight w:val="none"/>
          <w:lang w:val="zh-CN"/>
        </w:rPr>
        <w:t>工作日告知甲方备案，</w:t>
      </w:r>
      <w:r>
        <w:rPr>
          <w:rFonts w:hint="eastAsia" w:asciiTheme="minorEastAsia" w:hAnsiTheme="minorEastAsia" w:eastAsiaTheme="minorEastAsia" w:cstheme="minorEastAsia"/>
          <w:sz w:val="20"/>
          <w:szCs w:val="20"/>
          <w:highlight w:val="none"/>
        </w:rPr>
        <w:t>后续须配合甲方妥善处置影响期内的旅客</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10.2 甲方其他员工因公，因私入往乙方酒店客房的。本协议服务。价格及其他条款同样适用于甲方其他员工差旅；乙方以甲方通知或入住人员的预订邮件、预订电话为准，费用由入住人员自行支付。</w:t>
      </w:r>
    </w:p>
    <w:p>
      <w:pPr>
        <w:autoSpaceDE w:val="0"/>
        <w:autoSpaceDN w:val="0"/>
        <w:adjustRightInd w:val="0"/>
        <w:snapToGrid w:val="0"/>
        <w:spacing w:line="440" w:lineRule="exact"/>
        <w:ind w:firstLine="400" w:firstLineChars="200"/>
        <w:rPr>
          <w:rFonts w:hint="eastAsia" w:ascii="宋体" w:hAnsi="宋体" w:cs="宋体"/>
          <w:sz w:val="20"/>
          <w:szCs w:val="20"/>
          <w:highlight w:val="none"/>
          <w:lang w:val="zh-CN"/>
        </w:rPr>
      </w:pPr>
    </w:p>
    <w:p>
      <w:pPr>
        <w:ind w:firstLine="402" w:firstLineChars="200"/>
        <w:rPr>
          <w:rFonts w:hint="eastAsia" w:asciiTheme="minorEastAsia" w:hAnsiTheme="minorEastAsia" w:eastAsiaTheme="minorEastAsia" w:cstheme="minorEastAsia"/>
          <w:b/>
          <w:bCs/>
          <w:sz w:val="20"/>
          <w:szCs w:val="20"/>
          <w:highlight w:val="none"/>
        </w:rPr>
      </w:pPr>
      <w:r>
        <w:rPr>
          <w:rFonts w:hint="eastAsia" w:asciiTheme="minorEastAsia" w:hAnsiTheme="minorEastAsia" w:eastAsiaTheme="minorEastAsia" w:cstheme="minorEastAsia"/>
          <w:b/>
          <w:bCs/>
          <w:sz w:val="20"/>
          <w:szCs w:val="20"/>
          <w:highlight w:val="none"/>
        </w:rPr>
        <w:t>第十一条 其他条款</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11.1 本合同的变更事宜，或本合同未尽事宜，双方应经协商一致后另行签署书面变更或补充协议。</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11.2 除本合同另有约定外，在合同有效期内，合同任何一方要求终止合同的，需提前</w:t>
      </w:r>
      <w:r>
        <w:rPr>
          <w:rFonts w:hint="eastAsia" w:asciiTheme="minorEastAsia" w:hAnsiTheme="minorEastAsia" w:eastAsiaTheme="minorEastAsia" w:cstheme="minorEastAsia"/>
          <w:sz w:val="20"/>
          <w:szCs w:val="20"/>
          <w:highlight w:val="none"/>
          <w:u w:val="single"/>
        </w:rPr>
        <w:t xml:space="preserve"> 30天 </w:t>
      </w:r>
      <w:r>
        <w:rPr>
          <w:rFonts w:hint="eastAsia" w:asciiTheme="minorEastAsia" w:hAnsiTheme="minorEastAsia" w:eastAsiaTheme="minorEastAsia" w:cstheme="minorEastAsia"/>
          <w:sz w:val="20"/>
          <w:szCs w:val="20"/>
          <w:highlight w:val="none"/>
        </w:rPr>
        <w:t>书面通知对方，通知送达对方第</w:t>
      </w:r>
      <w:r>
        <w:rPr>
          <w:rFonts w:hint="eastAsia" w:asciiTheme="minorEastAsia" w:hAnsiTheme="minorEastAsia" w:eastAsiaTheme="minorEastAsia" w:cstheme="minorEastAsia"/>
          <w:sz w:val="20"/>
          <w:szCs w:val="20"/>
          <w:highlight w:val="none"/>
          <w:u w:val="single"/>
        </w:rPr>
        <w:t xml:space="preserve"> 31日 </w:t>
      </w:r>
      <w:r>
        <w:rPr>
          <w:rFonts w:hint="eastAsia" w:asciiTheme="minorEastAsia" w:hAnsiTheme="minorEastAsia" w:eastAsiaTheme="minorEastAsia" w:cstheme="minorEastAsia"/>
          <w:sz w:val="20"/>
          <w:szCs w:val="20"/>
          <w:highlight w:val="none"/>
        </w:rPr>
        <w:t>起，该合同自动终止。经双方约定一致终止合同的，自双方约定之日起合同自动终止。</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宋体" w:hAnsi="宋体" w:cs="宋体"/>
          <w:sz w:val="20"/>
          <w:szCs w:val="20"/>
          <w:highlight w:val="none"/>
        </w:rPr>
        <w:t>11.3 与协议同所对应的甲方采购文件（采购编号：</w:t>
      </w:r>
      <w:r>
        <w:rPr>
          <w:rFonts w:hint="eastAsia" w:asciiTheme="minorEastAsia" w:hAnsiTheme="minorEastAsia" w:eastAsiaTheme="minorEastAsia" w:cstheme="minorEastAsia"/>
          <w:sz w:val="20"/>
          <w:szCs w:val="20"/>
          <w:highlight w:val="none"/>
          <w:u w:val="single"/>
        </w:rPr>
        <w:t xml:space="preserve">      </w:t>
      </w:r>
      <w:r>
        <w:rPr>
          <w:rFonts w:hint="eastAsia" w:ascii="宋体" w:hAnsi="宋体" w:cs="宋体"/>
          <w:sz w:val="20"/>
          <w:szCs w:val="20"/>
          <w:highlight w:val="none"/>
        </w:rPr>
        <w:t>）、乙方响应文件以及本协议附件，均作为本协议的组成部分，与本协议具有同等法律效力。前述采购文件、响应文件、附件以及本协议文本，如有重复或冲突之处，以条件更有利于甲方的条款或内容为履行依据。</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11.4 </w:t>
      </w:r>
      <w:r>
        <w:rPr>
          <w:rFonts w:hint="eastAsia" w:asciiTheme="minorEastAsia" w:hAnsiTheme="minorEastAsia" w:eastAsiaTheme="minorEastAsia" w:cstheme="minorEastAsia"/>
          <w:sz w:val="20"/>
          <w:szCs w:val="20"/>
          <w:highlight w:val="none"/>
          <w:lang w:val="zh-CN"/>
        </w:rPr>
        <w:t>本协议</w:t>
      </w:r>
      <w:r>
        <w:rPr>
          <w:rFonts w:hint="eastAsia" w:asciiTheme="minorEastAsia" w:hAnsiTheme="minorEastAsia" w:eastAsiaTheme="minorEastAsia" w:cstheme="minorEastAsia"/>
          <w:sz w:val="20"/>
          <w:szCs w:val="20"/>
          <w:highlight w:val="none"/>
        </w:rPr>
        <w:t>共</w:t>
      </w:r>
      <w:r>
        <w:rPr>
          <w:rFonts w:hint="eastAsia" w:asciiTheme="minorEastAsia" w:hAnsiTheme="minorEastAsia" w:eastAsiaTheme="minorEastAsia" w:cstheme="minorEastAsia"/>
          <w:sz w:val="20"/>
          <w:szCs w:val="20"/>
          <w:highlight w:val="none"/>
          <w:u w:val="single"/>
        </w:rPr>
        <w:t xml:space="preserve"> 肆 </w:t>
      </w:r>
      <w:r>
        <w:rPr>
          <w:rFonts w:hint="eastAsia" w:asciiTheme="minorEastAsia" w:hAnsiTheme="minorEastAsia" w:eastAsiaTheme="minorEastAsia" w:cstheme="minorEastAsia"/>
          <w:sz w:val="20"/>
          <w:szCs w:val="20"/>
          <w:highlight w:val="none"/>
          <w:lang w:val="zh-CN"/>
        </w:rPr>
        <w:t>份，甲</w:t>
      </w:r>
      <w:r>
        <w:rPr>
          <w:rFonts w:hint="eastAsia" w:asciiTheme="minorEastAsia" w:hAnsiTheme="minorEastAsia" w:eastAsiaTheme="minorEastAsia" w:cstheme="minorEastAsia"/>
          <w:sz w:val="20"/>
          <w:szCs w:val="20"/>
          <w:highlight w:val="none"/>
        </w:rPr>
        <w:t>方执</w:t>
      </w:r>
      <w:r>
        <w:rPr>
          <w:rFonts w:hint="eastAsia" w:asciiTheme="minorEastAsia" w:hAnsiTheme="minorEastAsia" w:eastAsiaTheme="minorEastAsia" w:cstheme="minorEastAsia"/>
          <w:sz w:val="20"/>
          <w:szCs w:val="20"/>
          <w:highlight w:val="none"/>
          <w:u w:val="single"/>
        </w:rPr>
        <w:t xml:space="preserve"> </w:t>
      </w:r>
      <w:r>
        <w:rPr>
          <w:rFonts w:hint="eastAsia" w:asciiTheme="minorEastAsia" w:hAnsiTheme="minorEastAsia" w:eastAsiaTheme="minorEastAsia" w:cstheme="minorEastAsia"/>
          <w:sz w:val="20"/>
          <w:szCs w:val="20"/>
          <w:highlight w:val="none"/>
          <w:u w:val="single"/>
          <w:lang w:val="zh-CN"/>
        </w:rPr>
        <w:t>贰</w:t>
      </w:r>
      <w:r>
        <w:rPr>
          <w:rFonts w:hint="eastAsia" w:asciiTheme="minorEastAsia" w:hAnsiTheme="minorEastAsia" w:eastAsiaTheme="minorEastAsia" w:cstheme="minorEastAsia"/>
          <w:sz w:val="20"/>
          <w:szCs w:val="20"/>
          <w:highlight w:val="none"/>
          <w:u w:val="single"/>
        </w:rPr>
        <w:t xml:space="preserve"> </w:t>
      </w:r>
      <w:r>
        <w:rPr>
          <w:rFonts w:hint="eastAsia" w:asciiTheme="minorEastAsia" w:hAnsiTheme="minorEastAsia" w:eastAsiaTheme="minorEastAsia" w:cstheme="minorEastAsia"/>
          <w:sz w:val="20"/>
          <w:szCs w:val="20"/>
          <w:highlight w:val="none"/>
        </w:rPr>
        <w:t>份</w:t>
      </w:r>
      <w:r>
        <w:rPr>
          <w:rFonts w:hint="eastAsia" w:asciiTheme="minorEastAsia" w:hAnsiTheme="minorEastAsia" w:eastAsiaTheme="minorEastAsia" w:cstheme="minorEastAsia"/>
          <w:sz w:val="20"/>
          <w:szCs w:val="20"/>
          <w:highlight w:val="none"/>
          <w:lang w:val="zh-CN"/>
        </w:rPr>
        <w:t>、乙方</w:t>
      </w:r>
      <w:r>
        <w:rPr>
          <w:rFonts w:hint="eastAsia" w:asciiTheme="minorEastAsia" w:hAnsiTheme="minorEastAsia" w:eastAsiaTheme="minorEastAsia" w:cstheme="minorEastAsia"/>
          <w:sz w:val="20"/>
          <w:szCs w:val="20"/>
          <w:highlight w:val="none"/>
        </w:rPr>
        <w:t>执</w:t>
      </w:r>
      <w:r>
        <w:rPr>
          <w:rFonts w:hint="eastAsia" w:asciiTheme="minorEastAsia" w:hAnsiTheme="minorEastAsia" w:eastAsiaTheme="minorEastAsia" w:cstheme="minorEastAsia"/>
          <w:sz w:val="20"/>
          <w:szCs w:val="20"/>
          <w:highlight w:val="none"/>
          <w:u w:val="single"/>
        </w:rPr>
        <w:t xml:space="preserve"> </w:t>
      </w:r>
      <w:r>
        <w:rPr>
          <w:rFonts w:hint="eastAsia" w:asciiTheme="minorEastAsia" w:hAnsiTheme="minorEastAsia" w:eastAsiaTheme="minorEastAsia" w:cstheme="minorEastAsia"/>
          <w:sz w:val="20"/>
          <w:szCs w:val="20"/>
          <w:highlight w:val="none"/>
          <w:u w:val="single"/>
          <w:lang w:val="zh-CN"/>
        </w:rPr>
        <w:t>贰</w:t>
      </w:r>
      <w:r>
        <w:rPr>
          <w:rFonts w:hint="eastAsia" w:asciiTheme="minorEastAsia" w:hAnsiTheme="minorEastAsia" w:eastAsiaTheme="minorEastAsia" w:cstheme="minorEastAsia"/>
          <w:sz w:val="20"/>
          <w:szCs w:val="20"/>
          <w:highlight w:val="none"/>
          <w:u w:val="single"/>
        </w:rPr>
        <w:t xml:space="preserve"> </w:t>
      </w:r>
      <w:r>
        <w:rPr>
          <w:rFonts w:hint="eastAsia" w:asciiTheme="minorEastAsia" w:hAnsiTheme="minorEastAsia" w:eastAsiaTheme="minorEastAsia" w:cstheme="minorEastAsia"/>
          <w:sz w:val="20"/>
          <w:szCs w:val="20"/>
          <w:highlight w:val="none"/>
          <w:lang w:val="zh-CN"/>
        </w:rPr>
        <w:t>份，均具有同等法律效力。</w:t>
      </w:r>
      <w:r>
        <w:rPr>
          <w:rFonts w:hint="eastAsia" w:asciiTheme="minorEastAsia" w:hAnsiTheme="minorEastAsia" w:eastAsiaTheme="minorEastAsia" w:cstheme="minorEastAsia"/>
          <w:sz w:val="20"/>
          <w:szCs w:val="20"/>
          <w:highlight w:val="none"/>
        </w:rPr>
        <w:t>协议</w:t>
      </w:r>
      <w:r>
        <w:rPr>
          <w:rFonts w:hint="eastAsia" w:asciiTheme="minorEastAsia" w:hAnsiTheme="minorEastAsia" w:eastAsiaTheme="minorEastAsia" w:cstheme="minorEastAsia"/>
          <w:sz w:val="20"/>
          <w:szCs w:val="20"/>
          <w:highlight w:val="none"/>
          <w:lang w:val="zh-CN"/>
        </w:rPr>
        <w:t>经甲、乙双方法定代表人</w:t>
      </w:r>
      <w:r>
        <w:rPr>
          <w:rFonts w:hint="eastAsia" w:asciiTheme="minorEastAsia" w:hAnsiTheme="minorEastAsia" w:eastAsiaTheme="minorEastAsia" w:cstheme="minorEastAsia"/>
          <w:sz w:val="20"/>
          <w:szCs w:val="20"/>
          <w:highlight w:val="none"/>
        </w:rPr>
        <w:t>或授权代表</w:t>
      </w:r>
      <w:r>
        <w:rPr>
          <w:rFonts w:hint="eastAsia" w:asciiTheme="minorEastAsia" w:hAnsiTheme="minorEastAsia" w:eastAsiaTheme="minorEastAsia" w:cstheme="minorEastAsia"/>
          <w:sz w:val="20"/>
          <w:szCs w:val="20"/>
          <w:highlight w:val="none"/>
          <w:lang w:val="zh-CN"/>
        </w:rPr>
        <w:t>签字</w:t>
      </w:r>
      <w:r>
        <w:rPr>
          <w:rFonts w:hint="eastAsia" w:asciiTheme="minorEastAsia" w:hAnsiTheme="minorEastAsia" w:eastAsiaTheme="minorEastAsia" w:cstheme="minorEastAsia"/>
          <w:sz w:val="20"/>
          <w:szCs w:val="20"/>
          <w:highlight w:val="none"/>
        </w:rPr>
        <w:t>并加盖合同专用章或公章</w:t>
      </w:r>
      <w:r>
        <w:rPr>
          <w:rFonts w:hint="eastAsia" w:asciiTheme="minorEastAsia" w:hAnsiTheme="minorEastAsia" w:eastAsiaTheme="minorEastAsia" w:cstheme="minorEastAsia"/>
          <w:sz w:val="20"/>
          <w:szCs w:val="20"/>
          <w:highlight w:val="none"/>
          <w:lang w:val="zh-CN"/>
        </w:rPr>
        <w:t>后，</w:t>
      </w:r>
      <w:r>
        <w:rPr>
          <w:rFonts w:hint="eastAsia" w:asciiTheme="minorEastAsia" w:hAnsiTheme="minorEastAsia" w:eastAsiaTheme="minorEastAsia" w:cstheme="minorEastAsia"/>
          <w:sz w:val="20"/>
          <w:szCs w:val="20"/>
          <w:highlight w:val="none"/>
        </w:rPr>
        <w:t>自约定期限起生效。</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lang w:val="zh-CN"/>
        </w:rPr>
      </w:pPr>
      <w:r>
        <w:rPr>
          <w:rFonts w:hint="eastAsia" w:asciiTheme="minorEastAsia" w:hAnsiTheme="minorEastAsia" w:eastAsiaTheme="minorEastAsia" w:cstheme="minorEastAsia"/>
          <w:sz w:val="20"/>
          <w:szCs w:val="20"/>
          <w:highlight w:val="none"/>
        </w:rPr>
        <w:t xml:space="preserve">11.5 </w:t>
      </w:r>
      <w:r>
        <w:rPr>
          <w:rFonts w:hint="eastAsia" w:asciiTheme="minorEastAsia" w:hAnsiTheme="minorEastAsia" w:eastAsiaTheme="minorEastAsia" w:cstheme="minorEastAsia"/>
          <w:sz w:val="20"/>
          <w:szCs w:val="20"/>
          <w:highlight w:val="none"/>
          <w:lang w:val="zh-CN"/>
        </w:rPr>
        <w:t>本协议</w:t>
      </w:r>
      <w:r>
        <w:rPr>
          <w:rFonts w:hint="eastAsia" w:asciiTheme="minorEastAsia" w:hAnsiTheme="minorEastAsia" w:eastAsiaTheme="minorEastAsia" w:cstheme="minorEastAsia"/>
          <w:sz w:val="20"/>
          <w:szCs w:val="20"/>
          <w:highlight w:val="none"/>
        </w:rPr>
        <w:t>由</w:t>
      </w:r>
      <w:r>
        <w:rPr>
          <w:rFonts w:hint="eastAsia" w:asciiTheme="minorEastAsia" w:hAnsiTheme="minorEastAsia" w:eastAsiaTheme="minorEastAsia" w:cstheme="minorEastAsia"/>
          <w:sz w:val="20"/>
          <w:szCs w:val="20"/>
          <w:highlight w:val="none"/>
          <w:lang w:val="zh-CN"/>
        </w:rPr>
        <w:t>非法定代表人签署时需提供授权书，甲方以内嵌南航水印为授权证明。</w:t>
      </w:r>
    </w:p>
    <w:p>
      <w:pPr>
        <w:autoSpaceDE w:val="0"/>
        <w:autoSpaceDN w:val="0"/>
        <w:adjustRightInd w:val="0"/>
        <w:snapToGrid w:val="0"/>
        <w:spacing w:line="440" w:lineRule="exact"/>
        <w:ind w:firstLine="400" w:firstLineChars="200"/>
        <w:rPr>
          <w:rFonts w:hint="eastAsia" w:asciiTheme="minorEastAsia" w:hAnsiTheme="minorEastAsia" w:eastAsiaTheme="minorEastAsia" w:cstheme="minorEastAsia"/>
          <w:sz w:val="20"/>
          <w:szCs w:val="20"/>
          <w:highlight w:val="none"/>
        </w:rPr>
      </w:pPr>
    </w:p>
    <w:p>
      <w:pPr>
        <w:widowControl/>
        <w:adjustRightInd w:val="0"/>
        <w:snapToGrid w:val="0"/>
        <w:spacing w:line="440" w:lineRule="exact"/>
        <w:ind w:firstLine="400" w:firstLineChars="200"/>
        <w:jc w:val="left"/>
        <w:rPr>
          <w:rFonts w:hint="eastAsia" w:asciiTheme="minorEastAsia" w:hAnsiTheme="minorEastAsia" w:eastAsiaTheme="minorEastAsia" w:cstheme="minorEastAsia"/>
          <w:sz w:val="20"/>
          <w:szCs w:val="20"/>
          <w:highlight w:val="none"/>
          <w:u w:val="single"/>
          <w:lang w:val="zh-CN"/>
        </w:rPr>
      </w:pPr>
      <w:r>
        <w:rPr>
          <w:rFonts w:hint="eastAsia" w:asciiTheme="minorEastAsia" w:hAnsiTheme="minorEastAsia" w:eastAsiaTheme="minorEastAsia" w:cstheme="minorEastAsia"/>
          <w:sz w:val="20"/>
          <w:szCs w:val="20"/>
          <w:highlight w:val="none"/>
          <w:u w:val="single"/>
          <w:lang w:val="zh-CN"/>
        </w:rPr>
        <w:t>（以下无正文，为</w:t>
      </w:r>
      <w:r>
        <w:rPr>
          <w:rFonts w:hint="eastAsia" w:asciiTheme="minorEastAsia" w:hAnsiTheme="minorEastAsia" w:eastAsiaTheme="minorEastAsia" w:cstheme="minorEastAsia"/>
          <w:sz w:val="20"/>
          <w:szCs w:val="20"/>
          <w:highlight w:val="none"/>
          <w:u w:val="single"/>
        </w:rPr>
        <w:t>签署栏及</w:t>
      </w:r>
      <w:r>
        <w:rPr>
          <w:rFonts w:hint="eastAsia" w:asciiTheme="minorEastAsia" w:hAnsiTheme="minorEastAsia" w:eastAsiaTheme="minorEastAsia" w:cstheme="minorEastAsia"/>
          <w:sz w:val="20"/>
          <w:szCs w:val="20"/>
          <w:highlight w:val="none"/>
          <w:u w:val="single"/>
          <w:lang w:val="zh-CN"/>
        </w:rPr>
        <w:t>附</w:t>
      </w:r>
      <w:r>
        <w:rPr>
          <w:rFonts w:hint="eastAsia" w:asciiTheme="minorEastAsia" w:hAnsiTheme="minorEastAsia" w:eastAsiaTheme="minorEastAsia" w:cstheme="minorEastAsia"/>
          <w:sz w:val="20"/>
          <w:szCs w:val="20"/>
          <w:highlight w:val="none"/>
          <w:u w:val="single"/>
        </w:rPr>
        <w:t>件内容</w:t>
      </w:r>
      <w:r>
        <w:rPr>
          <w:rFonts w:hint="eastAsia" w:asciiTheme="minorEastAsia" w:hAnsiTheme="minorEastAsia" w:eastAsiaTheme="minorEastAsia" w:cstheme="minorEastAsia"/>
          <w:sz w:val="20"/>
          <w:szCs w:val="20"/>
          <w:highlight w:val="none"/>
          <w:u w:val="single"/>
          <w:lang w:val="zh-CN"/>
        </w:rPr>
        <w:t>）</w:t>
      </w:r>
    </w:p>
    <w:p>
      <w:pPr>
        <w:ind w:firstLine="840" w:firstLineChars="400"/>
        <w:rPr>
          <w:rFonts w:hint="eastAsia" w:ascii="宋体" w:hAnsi="宋体" w:cs="宋体"/>
          <w:szCs w:val="21"/>
          <w:highlight w:val="none"/>
        </w:rPr>
      </w:pPr>
      <w:r>
        <w:rPr>
          <w:rFonts w:hint="eastAsia" w:ascii="宋体" w:hAnsi="宋体" w:cs="宋体"/>
          <w:szCs w:val="21"/>
          <w:highlight w:val="none"/>
          <w:lang w:val="zh-CN"/>
        </w:rPr>
        <w:t>附件</w:t>
      </w:r>
      <w:r>
        <w:rPr>
          <w:rFonts w:hint="eastAsia" w:ascii="宋体" w:hAnsi="宋体" w:cs="宋体"/>
          <w:szCs w:val="21"/>
          <w:highlight w:val="none"/>
        </w:rPr>
        <w:t>1：酒店结算单据清单（可根据本单位实际管理要求修改或替换）</w:t>
      </w:r>
    </w:p>
    <w:p>
      <w:pPr>
        <w:pStyle w:val="9"/>
        <w:spacing w:line="360" w:lineRule="exact"/>
        <w:ind w:firstLine="1260" w:firstLineChars="600"/>
        <w:rPr>
          <w:rFonts w:hint="eastAsia" w:ascii="宋体" w:hAnsi="宋体" w:cs="宋体"/>
          <w:sz w:val="21"/>
          <w:szCs w:val="21"/>
          <w:highlight w:val="none"/>
        </w:rPr>
      </w:pPr>
      <w:r>
        <w:rPr>
          <w:rFonts w:hint="eastAsia" w:ascii="宋体" w:hAnsi="宋体" w:cs="宋体"/>
          <w:sz w:val="21"/>
          <w:szCs w:val="21"/>
          <w:highlight w:val="none"/>
        </w:rPr>
        <w:t>2：廉洁合作约定书</w:t>
      </w:r>
    </w:p>
    <w:p>
      <w:pPr>
        <w:pStyle w:val="9"/>
        <w:spacing w:line="360" w:lineRule="exact"/>
        <w:ind w:firstLine="1260" w:firstLineChars="600"/>
        <w:rPr>
          <w:rFonts w:hint="eastAsia" w:ascii="宋体" w:hAnsi="宋体" w:cs="宋体"/>
          <w:sz w:val="21"/>
          <w:szCs w:val="21"/>
          <w:highlight w:val="none"/>
        </w:rPr>
      </w:pPr>
      <w:r>
        <w:rPr>
          <w:rFonts w:hint="eastAsia" w:ascii="宋体" w:hAnsi="宋体" w:cs="宋体"/>
          <w:sz w:val="21"/>
          <w:szCs w:val="21"/>
          <w:highlight w:val="none"/>
        </w:rPr>
        <w:t>3：保密协议</w:t>
      </w:r>
    </w:p>
    <w:p>
      <w:pPr>
        <w:pStyle w:val="9"/>
        <w:spacing w:line="360" w:lineRule="exact"/>
        <w:ind w:firstLine="1260" w:firstLineChars="600"/>
        <w:rPr>
          <w:rFonts w:hint="eastAsia" w:ascii="宋体" w:hAnsi="宋体" w:cs="宋体"/>
          <w:sz w:val="21"/>
          <w:szCs w:val="21"/>
          <w:highlight w:val="none"/>
        </w:rPr>
      </w:pPr>
      <w:r>
        <w:rPr>
          <w:rFonts w:hint="eastAsia" w:ascii="宋体" w:hAnsi="宋体" w:cs="宋体"/>
          <w:sz w:val="21"/>
          <w:szCs w:val="21"/>
          <w:highlight w:val="none"/>
        </w:rPr>
        <w:t>4：酒店违约行为处罚办法（</w:t>
      </w:r>
      <w:r>
        <w:rPr>
          <w:rFonts w:hint="eastAsia" w:ascii="宋体" w:hAnsi="宋体" w:cs="宋体"/>
          <w:color w:val="FF0000"/>
          <w:sz w:val="21"/>
          <w:szCs w:val="21"/>
          <w:highlight w:val="none"/>
        </w:rPr>
        <w:t>可根据本单位实际管理要求修改或替换</w:t>
      </w:r>
      <w:r>
        <w:rPr>
          <w:rFonts w:hint="eastAsia" w:ascii="宋体" w:hAnsi="宋体" w:cs="宋体"/>
          <w:sz w:val="21"/>
          <w:szCs w:val="21"/>
          <w:highlight w:val="none"/>
        </w:rPr>
        <w:t>）</w:t>
      </w:r>
    </w:p>
    <w:p>
      <w:pPr>
        <w:pStyle w:val="9"/>
        <w:spacing w:line="360" w:lineRule="exact"/>
        <w:ind w:firstLine="1260" w:firstLineChars="600"/>
        <w:rPr>
          <w:rFonts w:hint="eastAsia" w:ascii="宋体" w:hAnsi="宋体" w:cs="宋体"/>
          <w:sz w:val="21"/>
          <w:szCs w:val="21"/>
          <w:highlight w:val="none"/>
        </w:rPr>
      </w:pPr>
      <w:r>
        <w:rPr>
          <w:rFonts w:hint="eastAsia" w:ascii="宋体" w:hAnsi="宋体" w:cs="宋体"/>
          <w:sz w:val="21"/>
          <w:szCs w:val="21"/>
          <w:highlight w:val="none"/>
        </w:rPr>
        <w:t>5：南航【】地区中转航延协议酒店生产安全责任书</w:t>
      </w:r>
    </w:p>
    <w:p>
      <w:pPr>
        <w:pStyle w:val="9"/>
        <w:spacing w:line="360" w:lineRule="exact"/>
        <w:ind w:firstLine="1260" w:firstLineChars="600"/>
        <w:rPr>
          <w:rFonts w:hint="eastAsia" w:ascii="宋体" w:hAnsi="宋体" w:cs="宋体"/>
          <w:sz w:val="21"/>
          <w:szCs w:val="21"/>
          <w:highlight w:val="none"/>
        </w:rPr>
      </w:pPr>
      <w:r>
        <w:rPr>
          <w:rFonts w:hint="eastAsia" w:ascii="宋体" w:hAnsi="宋体" w:cs="宋体"/>
          <w:sz w:val="21"/>
          <w:szCs w:val="21"/>
          <w:highlight w:val="none"/>
        </w:rPr>
        <w:t>6：酒店接待证管理制度（如有需要）</w:t>
      </w:r>
    </w:p>
    <w:p>
      <w:pPr>
        <w:pStyle w:val="9"/>
        <w:spacing w:line="360" w:lineRule="exact"/>
        <w:ind w:firstLine="1260" w:firstLineChars="600"/>
        <w:rPr>
          <w:rFonts w:hint="eastAsia" w:ascii="宋体" w:hAnsi="宋体" w:cs="宋体"/>
          <w:sz w:val="21"/>
          <w:szCs w:val="21"/>
          <w:highlight w:val="none"/>
        </w:rPr>
      </w:pPr>
      <w:r>
        <w:rPr>
          <w:rFonts w:hint="eastAsia" w:ascii="宋体" w:hAnsi="宋体" w:cs="宋体"/>
          <w:sz w:val="21"/>
          <w:szCs w:val="21"/>
          <w:highlight w:val="none"/>
        </w:rPr>
        <w:t>7：供应商新增申请表（</w:t>
      </w:r>
      <w:r>
        <w:rPr>
          <w:rFonts w:hint="eastAsia" w:ascii="宋体" w:hAnsi="宋体" w:cs="宋体"/>
          <w:color w:val="FF0000"/>
          <w:sz w:val="21"/>
          <w:szCs w:val="21"/>
          <w:highlight w:val="none"/>
        </w:rPr>
        <w:t>可根据本单位实际管理要求修改或替换</w:t>
      </w:r>
      <w:r>
        <w:rPr>
          <w:rFonts w:hint="eastAsia" w:ascii="宋体" w:hAnsi="宋体" w:cs="宋体"/>
          <w:sz w:val="21"/>
          <w:szCs w:val="21"/>
          <w:highlight w:val="none"/>
        </w:rPr>
        <w:t>）</w:t>
      </w:r>
    </w:p>
    <w:p>
      <w:pPr>
        <w:pStyle w:val="9"/>
        <w:spacing w:line="360" w:lineRule="exact"/>
        <w:ind w:firstLine="1260" w:firstLineChars="600"/>
        <w:rPr>
          <w:rFonts w:hint="eastAsia" w:ascii="宋体" w:hAnsi="宋体" w:cs="宋体"/>
          <w:sz w:val="21"/>
          <w:szCs w:val="21"/>
          <w:highlight w:val="none"/>
        </w:rPr>
      </w:pPr>
      <w:r>
        <w:rPr>
          <w:rFonts w:hint="eastAsia" w:ascii="宋体" w:hAnsi="宋体" w:cs="宋体"/>
          <w:sz w:val="21"/>
          <w:szCs w:val="21"/>
          <w:highlight w:val="none"/>
        </w:rPr>
        <w:t>8：协议维护申请模板（</w:t>
      </w:r>
      <w:r>
        <w:rPr>
          <w:rFonts w:hint="eastAsia" w:ascii="宋体" w:hAnsi="宋体" w:cs="宋体"/>
          <w:color w:val="FF0000"/>
          <w:sz w:val="21"/>
          <w:szCs w:val="21"/>
          <w:highlight w:val="none"/>
        </w:rPr>
        <w:t>可根据本单位实际管理要求修改或替换</w:t>
      </w:r>
      <w:r>
        <w:rPr>
          <w:rFonts w:hint="eastAsia" w:ascii="宋体" w:hAnsi="宋体" w:cs="宋体"/>
          <w:sz w:val="21"/>
          <w:szCs w:val="21"/>
          <w:highlight w:val="none"/>
        </w:rPr>
        <w:t>）</w:t>
      </w:r>
    </w:p>
    <w:p>
      <w:pPr>
        <w:pStyle w:val="9"/>
        <w:spacing w:line="360" w:lineRule="exact"/>
        <w:ind w:firstLine="1260" w:firstLineChars="600"/>
        <w:rPr>
          <w:rFonts w:hint="eastAsia" w:ascii="宋体" w:hAnsi="宋体" w:cs="宋体"/>
          <w:sz w:val="21"/>
          <w:szCs w:val="21"/>
          <w:highlight w:val="none"/>
        </w:rPr>
      </w:pPr>
      <w:r>
        <w:rPr>
          <w:rFonts w:hint="eastAsia" w:ascii="宋体" w:hAnsi="宋体" w:cs="宋体"/>
          <w:sz w:val="21"/>
          <w:szCs w:val="21"/>
          <w:highlight w:val="none"/>
        </w:rPr>
        <w:t>9：民营企业和中小企业账款清欠工作线索受理联系方式</w:t>
      </w:r>
    </w:p>
    <w:p>
      <w:pPr>
        <w:widowControl/>
        <w:adjustRightInd w:val="0"/>
        <w:snapToGrid w:val="0"/>
        <w:spacing w:line="440" w:lineRule="exact"/>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    </w:t>
      </w:r>
    </w:p>
    <w:p>
      <w:pPr>
        <w:widowControl/>
        <w:adjustRightInd w:val="0"/>
        <w:snapToGrid w:val="0"/>
        <w:spacing w:line="440" w:lineRule="exact"/>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rPr>
        <w:t xml:space="preserve">    </w:t>
      </w:r>
    </w:p>
    <w:p>
      <w:pPr>
        <w:pStyle w:val="9"/>
        <w:rPr>
          <w:highlight w:val="none"/>
        </w:rPr>
      </w:pPr>
    </w:p>
    <w:p>
      <w:pPr>
        <w:widowControl/>
        <w:adjustRightInd w:val="0"/>
        <w:snapToGrid w:val="0"/>
        <w:spacing w:line="440" w:lineRule="exact"/>
        <w:jc w:val="left"/>
        <w:rPr>
          <w:rFonts w:hint="eastAsia" w:asciiTheme="minorEastAsia" w:hAnsiTheme="minorEastAsia" w:eastAsiaTheme="minorEastAsia" w:cstheme="minorEastAsia"/>
          <w:sz w:val="20"/>
          <w:szCs w:val="20"/>
          <w:highlight w:val="none"/>
        </w:rPr>
      </w:pPr>
      <w:r>
        <w:rPr>
          <w:rFonts w:hint="eastAsia" w:asciiTheme="minorEastAsia" w:hAnsiTheme="minorEastAsia" w:eastAsiaTheme="minorEastAsia" w:cstheme="minorEastAsia"/>
          <w:sz w:val="20"/>
          <w:szCs w:val="20"/>
          <w:highlight w:val="none"/>
          <w:u w:val="single"/>
        </w:rPr>
        <w:t>甲方（盖章）：中国南方航空股份有限公司</w:t>
      </w:r>
      <w:r>
        <w:rPr>
          <w:rFonts w:hint="eastAsia" w:asciiTheme="minorEastAsia" w:hAnsiTheme="minorEastAsia" w:eastAsiaTheme="minorEastAsia" w:cstheme="minorEastAsia"/>
          <w:sz w:val="20"/>
          <w:szCs w:val="20"/>
          <w:highlight w:val="none"/>
        </w:rPr>
        <w:t xml:space="preserve">       </w:t>
      </w:r>
      <w:r>
        <w:rPr>
          <w:rFonts w:hint="eastAsia" w:asciiTheme="minorEastAsia" w:hAnsiTheme="minorEastAsia" w:eastAsiaTheme="minorEastAsia" w:cstheme="minorEastAsia"/>
          <w:sz w:val="20"/>
          <w:szCs w:val="20"/>
          <w:highlight w:val="none"/>
          <w:u w:val="single"/>
        </w:rPr>
        <w:t>乙方（盖章）： XX公司</w:t>
      </w:r>
      <w:r>
        <w:rPr>
          <w:rFonts w:hint="eastAsia" w:asciiTheme="minorEastAsia" w:hAnsiTheme="minorEastAsia" w:eastAsiaTheme="minorEastAsia" w:cstheme="minorEastAsia"/>
          <w:sz w:val="20"/>
          <w:szCs w:val="20"/>
          <w:highlight w:val="none"/>
        </w:rPr>
        <w:t xml:space="preserve"> </w:t>
      </w:r>
    </w:p>
    <w:p>
      <w:pPr>
        <w:widowControl/>
        <w:adjustRightInd w:val="0"/>
        <w:snapToGrid w:val="0"/>
        <w:spacing w:line="440" w:lineRule="exact"/>
        <w:jc w:val="left"/>
        <w:rPr>
          <w:rFonts w:hint="eastAsia" w:asciiTheme="minorEastAsia" w:hAnsiTheme="minorEastAsia" w:eastAsiaTheme="minorEastAsia" w:cstheme="minorEastAsia"/>
          <w:sz w:val="20"/>
          <w:szCs w:val="20"/>
          <w:highlight w:val="none"/>
          <w:u w:val="single"/>
        </w:rPr>
      </w:pPr>
      <w:r>
        <w:rPr>
          <w:rFonts w:hint="eastAsia" w:asciiTheme="minorEastAsia" w:hAnsiTheme="minorEastAsia" w:eastAsiaTheme="minorEastAsia" w:cstheme="minorEastAsia"/>
          <w:sz w:val="20"/>
          <w:szCs w:val="20"/>
          <w:highlight w:val="none"/>
          <w:u w:val="single"/>
        </w:rPr>
        <w:t>法定代表人/授权代表（签字）</w:t>
      </w:r>
      <w:r>
        <w:rPr>
          <w:rFonts w:hint="eastAsia" w:asciiTheme="minorEastAsia" w:hAnsiTheme="minorEastAsia" w:eastAsiaTheme="minorEastAsia" w:cstheme="minorEastAsia"/>
          <w:sz w:val="20"/>
          <w:szCs w:val="20"/>
          <w:highlight w:val="none"/>
        </w:rPr>
        <w:t xml:space="preserve">：                </w:t>
      </w:r>
      <w:r>
        <w:rPr>
          <w:rFonts w:hint="eastAsia" w:asciiTheme="minorEastAsia" w:hAnsiTheme="minorEastAsia" w:eastAsiaTheme="minorEastAsia" w:cstheme="minorEastAsia"/>
          <w:sz w:val="20"/>
          <w:szCs w:val="20"/>
          <w:highlight w:val="none"/>
          <w:u w:val="single"/>
        </w:rPr>
        <w:t>法定代表人/授权代表（签字）</w:t>
      </w:r>
      <w:r>
        <w:rPr>
          <w:rFonts w:hint="eastAsia" w:asciiTheme="minorEastAsia" w:hAnsiTheme="minorEastAsia" w:eastAsiaTheme="minorEastAsia" w:cstheme="minorEastAsia"/>
          <w:sz w:val="20"/>
          <w:szCs w:val="20"/>
          <w:highlight w:val="none"/>
        </w:rPr>
        <w:t xml:space="preserve">： </w:t>
      </w:r>
    </w:p>
    <w:p>
      <w:pPr>
        <w:widowControl/>
        <w:adjustRightInd w:val="0"/>
        <w:snapToGrid w:val="0"/>
        <w:spacing w:line="440" w:lineRule="exact"/>
        <w:jc w:val="left"/>
        <w:rPr>
          <w:rFonts w:hint="eastAsia" w:asciiTheme="minorEastAsia" w:hAnsiTheme="minorEastAsia" w:eastAsiaTheme="minorEastAsia" w:cstheme="minorEastAsia"/>
          <w:sz w:val="20"/>
          <w:szCs w:val="20"/>
          <w:highlight w:val="none"/>
          <w:u w:val="single"/>
        </w:rPr>
      </w:pPr>
    </w:p>
    <w:p>
      <w:pPr>
        <w:widowControl/>
        <w:adjustRightInd w:val="0"/>
        <w:snapToGrid w:val="0"/>
        <w:spacing w:line="440" w:lineRule="exact"/>
        <w:jc w:val="left"/>
        <w:rPr>
          <w:rFonts w:hint="eastAsia" w:asciiTheme="minorEastAsia" w:hAnsiTheme="minorEastAsia" w:eastAsiaTheme="minorEastAsia" w:cstheme="minorEastAsia"/>
          <w:sz w:val="20"/>
          <w:szCs w:val="20"/>
          <w:highlight w:val="none"/>
          <w:u w:val="single"/>
        </w:rPr>
      </w:pPr>
    </w:p>
    <w:p>
      <w:pPr>
        <w:widowControl/>
        <w:adjustRightInd w:val="0"/>
        <w:snapToGrid w:val="0"/>
        <w:spacing w:line="440" w:lineRule="exact"/>
        <w:jc w:val="left"/>
        <w:rPr>
          <w:rFonts w:hint="eastAsia" w:asciiTheme="minorEastAsia" w:hAnsiTheme="minorEastAsia" w:eastAsiaTheme="minorEastAsia" w:cstheme="minorEastAsia"/>
          <w:sz w:val="20"/>
          <w:szCs w:val="20"/>
          <w:highlight w:val="none"/>
          <w:u w:val="single"/>
        </w:rPr>
      </w:pPr>
    </w:p>
    <w:p>
      <w:pPr>
        <w:widowControl/>
        <w:adjustRightInd w:val="0"/>
        <w:snapToGrid w:val="0"/>
        <w:spacing w:line="440" w:lineRule="exact"/>
        <w:jc w:val="left"/>
        <w:rPr>
          <w:rFonts w:hint="eastAsia" w:asciiTheme="minorEastAsia" w:hAnsiTheme="minorEastAsia" w:eastAsiaTheme="minorEastAsia" w:cstheme="minorEastAsia"/>
          <w:sz w:val="20"/>
          <w:szCs w:val="20"/>
          <w:highlight w:val="none"/>
          <w:u w:val="single"/>
        </w:rPr>
      </w:pPr>
      <w:r>
        <w:rPr>
          <w:rFonts w:hint="eastAsia" w:asciiTheme="minorEastAsia" w:hAnsiTheme="minorEastAsia" w:eastAsiaTheme="minorEastAsia" w:cstheme="minorEastAsia"/>
          <w:sz w:val="20"/>
          <w:szCs w:val="20"/>
          <w:highlight w:val="none"/>
          <w:u w:val="single"/>
        </w:rPr>
        <w:t>日期：       年    月    日</w:t>
      </w:r>
      <w:r>
        <w:rPr>
          <w:rFonts w:hint="eastAsia" w:asciiTheme="minorEastAsia" w:hAnsiTheme="minorEastAsia" w:eastAsiaTheme="minorEastAsia" w:cstheme="minorEastAsia"/>
          <w:sz w:val="20"/>
          <w:szCs w:val="20"/>
          <w:highlight w:val="none"/>
        </w:rPr>
        <w:t xml:space="preserve">                 </w:t>
      </w:r>
      <w:r>
        <w:rPr>
          <w:rFonts w:hint="eastAsia" w:asciiTheme="minorEastAsia" w:hAnsiTheme="minorEastAsia" w:eastAsiaTheme="minorEastAsia" w:cstheme="minorEastAsia"/>
          <w:sz w:val="20"/>
          <w:szCs w:val="20"/>
          <w:highlight w:val="none"/>
          <w:u w:val="single"/>
        </w:rPr>
        <w:t>日期：       年    月    日</w:t>
      </w:r>
    </w:p>
    <w:p>
      <w:pPr>
        <w:rPr>
          <w:rFonts w:hint="eastAsia" w:ascii="宋体" w:hAnsi="宋体" w:cs="宋体"/>
          <w:szCs w:val="21"/>
          <w:highlight w:val="none"/>
        </w:rPr>
      </w:pPr>
      <w:r>
        <w:rPr>
          <w:rFonts w:hint="eastAsia" w:ascii="宋体" w:hAnsi="宋体" w:cs="宋体"/>
          <w:szCs w:val="21"/>
          <w:highlight w:val="none"/>
        </w:rPr>
        <w:t xml:space="preserve">   </w:t>
      </w:r>
    </w:p>
    <w:p>
      <w:pPr>
        <w:rPr>
          <w:rFonts w:hint="eastAsia" w:ascii="宋体" w:hAnsi="宋体" w:cs="宋体"/>
          <w:szCs w:val="21"/>
          <w:highlight w:val="none"/>
        </w:rPr>
      </w:pPr>
      <w:r>
        <w:rPr>
          <w:rFonts w:hint="eastAsia" w:ascii="宋体" w:hAnsi="宋体" w:cs="宋体"/>
          <w:szCs w:val="21"/>
          <w:highlight w:val="none"/>
        </w:rPr>
        <w:t xml:space="preserve">  </w:t>
      </w:r>
    </w:p>
    <w:p>
      <w:pPr>
        <w:rPr>
          <w:rFonts w:hint="eastAsia" w:ascii="宋体" w:hAnsi="宋体" w:cs="宋体"/>
          <w:szCs w:val="21"/>
          <w:highlight w:val="none"/>
        </w:rPr>
      </w:pPr>
      <w:r>
        <w:rPr>
          <w:rFonts w:hint="eastAsia" w:ascii="宋体" w:hAnsi="宋体" w:cs="宋体"/>
          <w:szCs w:val="21"/>
          <w:highlight w:val="none"/>
        </w:rPr>
        <w:t xml:space="preserve">  </w:t>
      </w:r>
    </w:p>
    <w:p>
      <w:pPr>
        <w:rPr>
          <w:rFonts w:hint="eastAsia" w:ascii="宋体" w:hAnsi="宋体" w:cs="宋体"/>
          <w:szCs w:val="21"/>
          <w:highlight w:val="none"/>
        </w:rPr>
      </w:pPr>
      <w:r>
        <w:rPr>
          <w:rFonts w:hint="eastAsia" w:ascii="宋体" w:hAnsi="宋体" w:cs="宋体"/>
          <w:szCs w:val="21"/>
          <w:highlight w:val="none"/>
        </w:rPr>
        <w:br w:type="page"/>
      </w:r>
    </w:p>
    <w:p>
      <w:pPr>
        <w:rPr>
          <w:rFonts w:hint="eastAsia" w:ascii="宋体" w:hAnsi="宋体" w:cs="宋体"/>
          <w:szCs w:val="21"/>
          <w:highlight w:val="none"/>
          <w:u w:val="single"/>
          <w:lang w:val="zh-CN"/>
        </w:rPr>
      </w:pPr>
      <w:r>
        <w:rPr>
          <w:rFonts w:hint="eastAsia" w:ascii="宋体" w:hAnsi="宋体" w:cs="宋体"/>
          <w:szCs w:val="21"/>
          <w:highlight w:val="none"/>
          <w:u w:val="single"/>
          <w:lang w:val="zh-CN"/>
        </w:rPr>
        <w:t>附件</w:t>
      </w:r>
      <w:r>
        <w:rPr>
          <w:rFonts w:hint="eastAsia" w:ascii="宋体" w:hAnsi="宋体" w:cs="宋体"/>
          <w:szCs w:val="21"/>
          <w:highlight w:val="none"/>
          <w:u w:val="single"/>
        </w:rPr>
        <w:t>1</w:t>
      </w:r>
      <w:r>
        <w:rPr>
          <w:rFonts w:hint="eastAsia" w:ascii="宋体" w:hAnsi="宋体" w:cs="宋体"/>
          <w:szCs w:val="21"/>
          <w:highlight w:val="none"/>
          <w:u w:val="single"/>
          <w:lang w:val="zh-CN"/>
        </w:rPr>
        <w:t>：</w:t>
      </w:r>
    </w:p>
    <w:p>
      <w:pPr>
        <w:jc w:val="center"/>
        <w:rPr>
          <w:highlight w:val="none"/>
          <w:u w:val="single"/>
          <w:lang w:val="zh-CN"/>
        </w:rPr>
      </w:pPr>
      <w:r>
        <w:rPr>
          <w:rFonts w:hint="eastAsia" w:ascii="宋体" w:hAnsi="宋体" w:cs="宋体"/>
          <w:b/>
          <w:bCs/>
          <w:szCs w:val="21"/>
          <w:highlight w:val="none"/>
          <w:u w:val="single"/>
          <w:lang w:val="zh-CN"/>
        </w:rPr>
        <w:t>酒店结算单据清单</w:t>
      </w:r>
    </w:p>
    <w:p>
      <w:pPr>
        <w:ind w:firstLine="315" w:firstLineChars="150"/>
        <w:rPr>
          <w:rFonts w:hint="eastAsia" w:ascii="宋体" w:hAnsi="宋体" w:cs="宋体"/>
          <w:szCs w:val="21"/>
          <w:highlight w:val="none"/>
          <w:u w:val="single"/>
          <w:lang w:val="zh-CN"/>
        </w:rPr>
      </w:pPr>
    </w:p>
    <w:tbl>
      <w:tblPr>
        <w:tblStyle w:val="25"/>
        <w:tblW w:w="0" w:type="auto"/>
        <w:jc w:val="center"/>
        <w:tblLayout w:type="fixed"/>
        <w:tblCellMar>
          <w:top w:w="0" w:type="dxa"/>
          <w:left w:w="108" w:type="dxa"/>
          <w:bottom w:w="0" w:type="dxa"/>
          <w:right w:w="108" w:type="dxa"/>
        </w:tblCellMar>
      </w:tblPr>
      <w:tblGrid>
        <w:gridCol w:w="1557"/>
        <w:gridCol w:w="3809"/>
        <w:gridCol w:w="1239"/>
        <w:gridCol w:w="2595"/>
      </w:tblGrid>
      <w:tr>
        <w:tblPrEx>
          <w:tblCellMar>
            <w:top w:w="0" w:type="dxa"/>
            <w:left w:w="108" w:type="dxa"/>
            <w:bottom w:w="0" w:type="dxa"/>
            <w:right w:w="108" w:type="dxa"/>
          </w:tblCellMar>
        </w:tblPrEx>
        <w:trPr>
          <w:trHeight w:val="471" w:hRule="atLeast"/>
          <w:jc w:val="center"/>
        </w:trPr>
        <w:tc>
          <w:tcPr>
            <w:tcW w:w="1557" w:type="dxa"/>
            <w:tcBorders>
              <w:top w:val="single" w:color="auto" w:sz="12" w:space="0"/>
              <w:left w:val="single" w:color="auto" w:sz="12" w:space="0"/>
              <w:bottom w:val="single" w:color="auto" w:sz="4" w:space="0"/>
              <w:right w:val="single" w:color="auto" w:sz="4" w:space="0"/>
            </w:tcBorders>
            <w:vAlign w:val="center"/>
          </w:tcPr>
          <w:p>
            <w:pPr>
              <w:widowControl/>
              <w:adjustRightInd w:val="0"/>
              <w:snapToGrid w:val="0"/>
              <w:jc w:val="center"/>
              <w:rPr>
                <w:rFonts w:hint="eastAsia" w:ascii="宋体" w:hAnsi="宋体" w:cs="宋体"/>
                <w:b/>
                <w:bCs/>
                <w:kern w:val="0"/>
                <w:sz w:val="20"/>
                <w:szCs w:val="20"/>
                <w:highlight w:val="none"/>
                <w:u w:val="single"/>
              </w:rPr>
            </w:pPr>
            <w:r>
              <w:rPr>
                <w:rFonts w:hint="eastAsia" w:ascii="宋体" w:hAnsi="宋体" w:cs="宋体"/>
                <w:b/>
                <w:bCs/>
                <w:kern w:val="0"/>
                <w:sz w:val="20"/>
                <w:szCs w:val="20"/>
                <w:highlight w:val="none"/>
                <w:u w:val="single"/>
              </w:rPr>
              <w:t>安排住宿原因</w:t>
            </w:r>
          </w:p>
        </w:tc>
        <w:tc>
          <w:tcPr>
            <w:tcW w:w="3809" w:type="dxa"/>
            <w:tcBorders>
              <w:top w:val="single" w:color="auto" w:sz="12" w:space="0"/>
              <w:left w:val="nil"/>
              <w:bottom w:val="single" w:color="auto" w:sz="4" w:space="0"/>
              <w:right w:val="single" w:color="auto" w:sz="4" w:space="0"/>
            </w:tcBorders>
          </w:tcPr>
          <w:p>
            <w:pPr>
              <w:widowControl/>
              <w:adjustRightInd w:val="0"/>
              <w:snapToGrid w:val="0"/>
              <w:jc w:val="center"/>
              <w:rPr>
                <w:rFonts w:hint="eastAsia" w:ascii="宋体" w:hAnsi="宋体" w:cs="宋体"/>
                <w:b/>
                <w:bCs/>
                <w:kern w:val="0"/>
                <w:sz w:val="20"/>
                <w:szCs w:val="20"/>
                <w:highlight w:val="none"/>
                <w:u w:val="single"/>
              </w:rPr>
            </w:pPr>
            <w:r>
              <w:rPr>
                <w:rFonts w:hint="eastAsia" w:ascii="宋体" w:hAnsi="宋体" w:cs="宋体"/>
                <w:b/>
                <w:bCs/>
                <w:kern w:val="0"/>
                <w:sz w:val="20"/>
                <w:szCs w:val="20"/>
                <w:highlight w:val="none"/>
                <w:u w:val="single"/>
              </w:rPr>
              <w:t>结算清单</w:t>
            </w:r>
          </w:p>
        </w:tc>
        <w:tc>
          <w:tcPr>
            <w:tcW w:w="1239" w:type="dxa"/>
            <w:tcBorders>
              <w:top w:val="single" w:color="auto" w:sz="12" w:space="0"/>
              <w:left w:val="nil"/>
              <w:bottom w:val="single" w:color="auto" w:sz="4" w:space="0"/>
              <w:right w:val="single" w:color="auto" w:sz="4" w:space="0"/>
            </w:tcBorders>
          </w:tcPr>
          <w:p>
            <w:pPr>
              <w:widowControl/>
              <w:adjustRightInd w:val="0"/>
              <w:snapToGrid w:val="0"/>
              <w:jc w:val="center"/>
              <w:rPr>
                <w:rFonts w:hint="eastAsia" w:ascii="宋体" w:hAnsi="宋体" w:cs="宋体"/>
                <w:b/>
                <w:bCs/>
                <w:kern w:val="0"/>
                <w:sz w:val="20"/>
                <w:szCs w:val="20"/>
                <w:highlight w:val="none"/>
                <w:u w:val="single"/>
              </w:rPr>
            </w:pPr>
            <w:r>
              <w:rPr>
                <w:rFonts w:hint="eastAsia" w:ascii="宋体" w:hAnsi="宋体" w:cs="宋体"/>
                <w:b/>
                <w:bCs/>
                <w:kern w:val="0"/>
                <w:sz w:val="20"/>
                <w:szCs w:val="20"/>
                <w:highlight w:val="none"/>
                <w:u w:val="single"/>
              </w:rPr>
              <w:t>单据填开人</w:t>
            </w:r>
          </w:p>
        </w:tc>
        <w:tc>
          <w:tcPr>
            <w:tcW w:w="2595" w:type="dxa"/>
            <w:tcBorders>
              <w:top w:val="single" w:color="auto" w:sz="12" w:space="0"/>
              <w:left w:val="nil"/>
              <w:bottom w:val="single" w:color="auto" w:sz="4" w:space="0"/>
              <w:right w:val="single" w:color="auto" w:sz="12" w:space="0"/>
            </w:tcBorders>
            <w:vAlign w:val="center"/>
          </w:tcPr>
          <w:p>
            <w:pPr>
              <w:widowControl/>
              <w:adjustRightInd w:val="0"/>
              <w:snapToGrid w:val="0"/>
              <w:jc w:val="center"/>
              <w:rPr>
                <w:rFonts w:hint="eastAsia" w:ascii="宋体" w:hAnsi="宋体" w:cs="宋体"/>
                <w:b/>
                <w:bCs/>
                <w:kern w:val="0"/>
                <w:sz w:val="20"/>
                <w:szCs w:val="20"/>
                <w:highlight w:val="none"/>
                <w:u w:val="single"/>
              </w:rPr>
            </w:pPr>
            <w:r>
              <w:rPr>
                <w:rFonts w:hint="eastAsia" w:ascii="宋体" w:hAnsi="宋体" w:cs="宋体"/>
                <w:b/>
                <w:bCs/>
                <w:kern w:val="0"/>
                <w:sz w:val="20"/>
                <w:szCs w:val="20"/>
                <w:highlight w:val="none"/>
                <w:u w:val="single"/>
              </w:rPr>
              <w:t>提交时限</w:t>
            </w:r>
          </w:p>
        </w:tc>
      </w:tr>
      <w:tr>
        <w:tblPrEx>
          <w:tblCellMar>
            <w:top w:w="0" w:type="dxa"/>
            <w:left w:w="108" w:type="dxa"/>
            <w:bottom w:w="0" w:type="dxa"/>
            <w:right w:w="108" w:type="dxa"/>
          </w:tblCellMar>
        </w:tblPrEx>
        <w:trPr>
          <w:trHeight w:val="373" w:hRule="atLeast"/>
          <w:jc w:val="center"/>
        </w:trPr>
        <w:tc>
          <w:tcPr>
            <w:tcW w:w="1557" w:type="dxa"/>
            <w:vMerge w:val="restart"/>
            <w:tcBorders>
              <w:top w:val="single" w:color="auto" w:sz="12" w:space="0"/>
              <w:left w:val="single" w:color="auto" w:sz="12" w:space="0"/>
              <w:right w:val="single" w:color="auto" w:sz="4" w:space="0"/>
            </w:tcBorders>
            <w:vAlign w:val="center"/>
          </w:tcPr>
          <w:p>
            <w:pPr>
              <w:widowControl/>
              <w:adjustRightInd w:val="0"/>
              <w:snapToGrid w:val="0"/>
              <w:jc w:val="center"/>
              <w:rPr>
                <w:rFonts w:hint="eastAsia" w:ascii="宋体" w:hAnsi="宋体" w:cs="宋体"/>
                <w:b/>
                <w:bCs/>
                <w:kern w:val="0"/>
                <w:sz w:val="20"/>
                <w:szCs w:val="20"/>
                <w:highlight w:val="none"/>
                <w:u w:val="single"/>
              </w:rPr>
            </w:pPr>
            <w:r>
              <w:rPr>
                <w:rFonts w:hint="eastAsia" w:ascii="宋体" w:hAnsi="宋体" w:cs="宋体"/>
                <w:kern w:val="0"/>
                <w:sz w:val="20"/>
                <w:szCs w:val="20"/>
                <w:highlight w:val="none"/>
                <w:u w:val="single"/>
              </w:rPr>
              <w:t xml:space="preserve">中转免费住宿 </w:t>
            </w:r>
          </w:p>
        </w:tc>
        <w:tc>
          <w:tcPr>
            <w:tcW w:w="3809" w:type="dxa"/>
            <w:tcBorders>
              <w:top w:val="single" w:color="auto" w:sz="12" w:space="0"/>
              <w:left w:val="nil"/>
              <w:bottom w:val="single" w:color="auto" w:sz="4" w:space="0"/>
              <w:right w:val="single" w:color="auto" w:sz="4" w:space="0"/>
            </w:tcBorders>
            <w:vAlign w:val="center"/>
          </w:tcPr>
          <w:p>
            <w:pPr>
              <w:widowControl/>
              <w:adjustRightInd w:val="0"/>
              <w:snapToGrid w:val="0"/>
              <w:jc w:val="left"/>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1.使用坤翔系统为南航旅客办理入住</w:t>
            </w:r>
          </w:p>
        </w:tc>
        <w:tc>
          <w:tcPr>
            <w:tcW w:w="1239" w:type="dxa"/>
            <w:tcBorders>
              <w:top w:val="single" w:color="auto" w:sz="12" w:space="0"/>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南航</w:t>
            </w:r>
          </w:p>
        </w:tc>
        <w:tc>
          <w:tcPr>
            <w:tcW w:w="2595" w:type="dxa"/>
            <w:vMerge w:val="restart"/>
            <w:tcBorders>
              <w:top w:val="single" w:color="auto" w:sz="12" w:space="0"/>
              <w:left w:val="nil"/>
              <w:right w:val="single" w:color="auto" w:sz="12" w:space="0"/>
            </w:tcBorders>
            <w:vAlign w:val="center"/>
          </w:tcPr>
          <w:p>
            <w:pPr>
              <w:widowControl/>
              <w:adjustRightInd w:val="0"/>
              <w:snapToGrid w:val="0"/>
              <w:jc w:val="center"/>
              <w:rPr>
                <w:rFonts w:hint="eastAsia" w:ascii="宋体" w:hAnsi="宋体" w:cs="宋体"/>
                <w:b/>
                <w:bCs/>
                <w:kern w:val="0"/>
                <w:sz w:val="20"/>
                <w:szCs w:val="20"/>
                <w:highlight w:val="none"/>
                <w:u w:val="single"/>
              </w:rPr>
            </w:pPr>
            <w:r>
              <w:rPr>
                <w:rFonts w:hint="eastAsia" w:ascii="宋体" w:hAnsi="宋体" w:cs="宋体"/>
                <w:kern w:val="0"/>
                <w:sz w:val="20"/>
                <w:szCs w:val="20"/>
                <w:highlight w:val="none"/>
                <w:u w:val="single"/>
              </w:rPr>
              <w:t>每月</w:t>
            </w:r>
            <w:r>
              <w:rPr>
                <w:rFonts w:hint="eastAsia" w:ascii="宋体" w:hAnsi="宋体" w:cs="宋体"/>
                <w:b/>
                <w:bCs/>
                <w:kern w:val="0"/>
                <w:sz w:val="20"/>
                <w:szCs w:val="20"/>
                <w:highlight w:val="none"/>
                <w:u w:val="single"/>
              </w:rPr>
              <w:t>8</w:t>
            </w:r>
            <w:r>
              <w:rPr>
                <w:rFonts w:hint="eastAsia" w:ascii="宋体" w:hAnsi="宋体" w:cs="宋体"/>
                <w:kern w:val="0"/>
                <w:sz w:val="20"/>
                <w:szCs w:val="20"/>
                <w:highlight w:val="none"/>
                <w:u w:val="single"/>
              </w:rPr>
              <w:t>号前完成坤翔系统退房手续，接收到南航账单通知后，三个工作日提供结算汇总表以及相应发票。</w:t>
            </w:r>
          </w:p>
        </w:tc>
      </w:tr>
      <w:tr>
        <w:tblPrEx>
          <w:tblCellMar>
            <w:top w:w="0" w:type="dxa"/>
            <w:left w:w="108" w:type="dxa"/>
            <w:bottom w:w="0" w:type="dxa"/>
            <w:right w:w="108" w:type="dxa"/>
          </w:tblCellMar>
        </w:tblPrEx>
        <w:trPr>
          <w:trHeight w:val="354" w:hRule="atLeast"/>
          <w:jc w:val="center"/>
        </w:trPr>
        <w:tc>
          <w:tcPr>
            <w:tcW w:w="1557" w:type="dxa"/>
            <w:vMerge w:val="continue"/>
            <w:tcBorders>
              <w:left w:val="single" w:color="auto" w:sz="12" w:space="0"/>
              <w:right w:val="single" w:color="auto" w:sz="4" w:space="0"/>
            </w:tcBorders>
            <w:vAlign w:val="center"/>
          </w:tcPr>
          <w:p>
            <w:pPr>
              <w:widowControl/>
              <w:adjustRightInd w:val="0"/>
              <w:snapToGrid w:val="0"/>
              <w:jc w:val="center"/>
              <w:rPr>
                <w:rFonts w:hint="eastAsia" w:ascii="宋体" w:hAnsi="宋体" w:cs="宋体"/>
                <w:b/>
                <w:bCs/>
                <w:kern w:val="0"/>
                <w:sz w:val="20"/>
                <w:szCs w:val="20"/>
                <w:highlight w:val="none"/>
                <w:u w:val="single"/>
              </w:rPr>
            </w:pPr>
          </w:p>
        </w:tc>
        <w:tc>
          <w:tcPr>
            <w:tcW w:w="3809" w:type="dxa"/>
            <w:tcBorders>
              <w:top w:val="single" w:color="auto" w:sz="12" w:space="0"/>
              <w:left w:val="nil"/>
              <w:bottom w:val="single" w:color="auto" w:sz="4" w:space="0"/>
              <w:right w:val="single" w:color="auto" w:sz="4" w:space="0"/>
            </w:tcBorders>
            <w:vAlign w:val="center"/>
          </w:tcPr>
          <w:p>
            <w:pPr>
              <w:widowControl/>
              <w:adjustRightInd w:val="0"/>
              <w:snapToGrid w:val="0"/>
              <w:jc w:val="left"/>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2.旅客身份证件复印件上传/系统扫描</w:t>
            </w:r>
          </w:p>
        </w:tc>
        <w:tc>
          <w:tcPr>
            <w:tcW w:w="1239" w:type="dxa"/>
            <w:tcBorders>
              <w:top w:val="single" w:color="auto" w:sz="12" w:space="0"/>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酒店</w:t>
            </w:r>
          </w:p>
        </w:tc>
        <w:tc>
          <w:tcPr>
            <w:tcW w:w="2595" w:type="dxa"/>
            <w:vMerge w:val="continue"/>
            <w:tcBorders>
              <w:left w:val="nil"/>
              <w:right w:val="single" w:color="auto" w:sz="12" w:space="0"/>
            </w:tcBorders>
            <w:vAlign w:val="center"/>
          </w:tcPr>
          <w:p>
            <w:pPr>
              <w:widowControl/>
              <w:adjustRightInd w:val="0"/>
              <w:snapToGrid w:val="0"/>
              <w:jc w:val="center"/>
              <w:rPr>
                <w:rFonts w:hint="eastAsia" w:ascii="宋体" w:hAnsi="宋体" w:cs="宋体"/>
                <w:b/>
                <w:bCs/>
                <w:kern w:val="0"/>
                <w:sz w:val="20"/>
                <w:szCs w:val="20"/>
                <w:highlight w:val="none"/>
                <w:u w:val="single"/>
              </w:rPr>
            </w:pPr>
          </w:p>
        </w:tc>
      </w:tr>
      <w:tr>
        <w:tblPrEx>
          <w:tblCellMar>
            <w:top w:w="0" w:type="dxa"/>
            <w:left w:w="108" w:type="dxa"/>
            <w:bottom w:w="0" w:type="dxa"/>
            <w:right w:w="108" w:type="dxa"/>
          </w:tblCellMar>
        </w:tblPrEx>
        <w:trPr>
          <w:trHeight w:val="382" w:hRule="atLeast"/>
          <w:jc w:val="center"/>
        </w:trPr>
        <w:tc>
          <w:tcPr>
            <w:tcW w:w="1557" w:type="dxa"/>
            <w:vMerge w:val="continue"/>
            <w:tcBorders>
              <w:left w:val="single" w:color="auto" w:sz="12" w:space="0"/>
              <w:right w:val="single" w:color="auto" w:sz="4" w:space="0"/>
            </w:tcBorders>
            <w:vAlign w:val="center"/>
          </w:tcPr>
          <w:p>
            <w:pPr>
              <w:widowControl/>
              <w:adjustRightInd w:val="0"/>
              <w:snapToGrid w:val="0"/>
              <w:jc w:val="center"/>
              <w:rPr>
                <w:rFonts w:hint="eastAsia" w:ascii="宋体" w:hAnsi="宋体" w:cs="宋体"/>
                <w:b/>
                <w:bCs/>
                <w:kern w:val="0"/>
                <w:sz w:val="20"/>
                <w:szCs w:val="20"/>
                <w:highlight w:val="none"/>
                <w:u w:val="single"/>
              </w:rPr>
            </w:pPr>
          </w:p>
        </w:tc>
        <w:tc>
          <w:tcPr>
            <w:tcW w:w="3809" w:type="dxa"/>
            <w:tcBorders>
              <w:top w:val="single" w:color="auto" w:sz="12" w:space="0"/>
              <w:left w:val="nil"/>
              <w:bottom w:val="single" w:color="auto" w:sz="4" w:space="0"/>
              <w:right w:val="single" w:color="auto" w:sz="4" w:space="0"/>
            </w:tcBorders>
            <w:vAlign w:val="center"/>
          </w:tcPr>
          <w:p>
            <w:pPr>
              <w:widowControl/>
              <w:adjustRightInd w:val="0"/>
              <w:snapToGrid w:val="0"/>
              <w:jc w:val="left"/>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3.《南航中转免费住宿旅客结算单》</w:t>
            </w:r>
          </w:p>
        </w:tc>
        <w:tc>
          <w:tcPr>
            <w:tcW w:w="1239" w:type="dxa"/>
            <w:tcBorders>
              <w:top w:val="single" w:color="auto" w:sz="12" w:space="0"/>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酒店</w:t>
            </w:r>
          </w:p>
        </w:tc>
        <w:tc>
          <w:tcPr>
            <w:tcW w:w="2595" w:type="dxa"/>
            <w:vMerge w:val="continue"/>
            <w:tcBorders>
              <w:left w:val="nil"/>
              <w:right w:val="single" w:color="auto" w:sz="12" w:space="0"/>
            </w:tcBorders>
            <w:vAlign w:val="center"/>
          </w:tcPr>
          <w:p>
            <w:pPr>
              <w:widowControl/>
              <w:adjustRightInd w:val="0"/>
              <w:snapToGrid w:val="0"/>
              <w:jc w:val="center"/>
              <w:rPr>
                <w:rFonts w:hint="eastAsia" w:ascii="宋体" w:hAnsi="宋体" w:cs="宋体"/>
                <w:b/>
                <w:bCs/>
                <w:kern w:val="0"/>
                <w:sz w:val="20"/>
                <w:szCs w:val="20"/>
                <w:highlight w:val="none"/>
                <w:u w:val="single"/>
              </w:rPr>
            </w:pPr>
          </w:p>
        </w:tc>
      </w:tr>
      <w:tr>
        <w:tblPrEx>
          <w:tblCellMar>
            <w:top w:w="0" w:type="dxa"/>
            <w:left w:w="108" w:type="dxa"/>
            <w:bottom w:w="0" w:type="dxa"/>
            <w:right w:w="108" w:type="dxa"/>
          </w:tblCellMar>
        </w:tblPrEx>
        <w:trPr>
          <w:trHeight w:val="489" w:hRule="atLeast"/>
          <w:jc w:val="center"/>
        </w:trPr>
        <w:tc>
          <w:tcPr>
            <w:tcW w:w="1557" w:type="dxa"/>
            <w:vMerge w:val="continue"/>
            <w:tcBorders>
              <w:left w:val="single" w:color="auto" w:sz="12" w:space="0"/>
              <w:bottom w:val="single" w:color="auto" w:sz="4" w:space="0"/>
              <w:right w:val="single" w:color="auto" w:sz="4" w:space="0"/>
            </w:tcBorders>
            <w:vAlign w:val="center"/>
          </w:tcPr>
          <w:p>
            <w:pPr>
              <w:widowControl/>
              <w:adjustRightInd w:val="0"/>
              <w:snapToGrid w:val="0"/>
              <w:jc w:val="center"/>
              <w:rPr>
                <w:rFonts w:hint="eastAsia" w:ascii="宋体" w:hAnsi="宋体" w:cs="宋体"/>
                <w:b/>
                <w:bCs/>
                <w:kern w:val="0"/>
                <w:sz w:val="20"/>
                <w:szCs w:val="20"/>
                <w:highlight w:val="none"/>
                <w:u w:val="single"/>
              </w:rPr>
            </w:pPr>
          </w:p>
        </w:tc>
        <w:tc>
          <w:tcPr>
            <w:tcW w:w="3809" w:type="dxa"/>
            <w:tcBorders>
              <w:top w:val="single" w:color="auto" w:sz="12" w:space="0"/>
              <w:left w:val="nil"/>
              <w:bottom w:val="single" w:color="auto" w:sz="4" w:space="0"/>
              <w:right w:val="single" w:color="auto" w:sz="4" w:space="0"/>
            </w:tcBorders>
            <w:vAlign w:val="center"/>
          </w:tcPr>
          <w:p>
            <w:pPr>
              <w:widowControl/>
              <w:adjustRightInd w:val="0"/>
              <w:snapToGrid w:val="0"/>
              <w:jc w:val="left"/>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4.手工结算请提供旅客登机牌复印件+身份证件复印件+手工结算明细表</w:t>
            </w:r>
          </w:p>
        </w:tc>
        <w:tc>
          <w:tcPr>
            <w:tcW w:w="1239" w:type="dxa"/>
            <w:tcBorders>
              <w:top w:val="single" w:color="auto" w:sz="12" w:space="0"/>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酒店</w:t>
            </w:r>
          </w:p>
        </w:tc>
        <w:tc>
          <w:tcPr>
            <w:tcW w:w="2595" w:type="dxa"/>
            <w:vMerge w:val="continue"/>
            <w:tcBorders>
              <w:left w:val="nil"/>
              <w:bottom w:val="single" w:color="auto" w:sz="4" w:space="0"/>
              <w:right w:val="single" w:color="auto" w:sz="12" w:space="0"/>
            </w:tcBorders>
            <w:vAlign w:val="center"/>
          </w:tcPr>
          <w:p>
            <w:pPr>
              <w:widowControl/>
              <w:adjustRightInd w:val="0"/>
              <w:snapToGrid w:val="0"/>
              <w:jc w:val="center"/>
              <w:rPr>
                <w:rFonts w:hint="eastAsia" w:ascii="宋体" w:hAnsi="宋体" w:cs="宋体"/>
                <w:b/>
                <w:bCs/>
                <w:kern w:val="0"/>
                <w:sz w:val="20"/>
                <w:szCs w:val="20"/>
                <w:highlight w:val="none"/>
                <w:u w:val="single"/>
              </w:rPr>
            </w:pPr>
          </w:p>
        </w:tc>
      </w:tr>
      <w:tr>
        <w:tblPrEx>
          <w:tblCellMar>
            <w:top w:w="0" w:type="dxa"/>
            <w:left w:w="108" w:type="dxa"/>
            <w:bottom w:w="0" w:type="dxa"/>
            <w:right w:w="108" w:type="dxa"/>
          </w:tblCellMar>
        </w:tblPrEx>
        <w:trPr>
          <w:trHeight w:val="232" w:hRule="atLeast"/>
          <w:jc w:val="center"/>
        </w:trPr>
        <w:tc>
          <w:tcPr>
            <w:tcW w:w="1557" w:type="dxa"/>
            <w:vMerge w:val="restart"/>
            <w:tcBorders>
              <w:top w:val="nil"/>
              <w:left w:val="single" w:color="auto" w:sz="12" w:space="0"/>
              <w:bottom w:val="single" w:color="auto" w:sz="4"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 xml:space="preserve">航延旅客住宿 </w:t>
            </w:r>
          </w:p>
        </w:tc>
        <w:tc>
          <w:tcPr>
            <w:tcW w:w="3809" w:type="dxa"/>
            <w:tcBorders>
              <w:top w:val="nil"/>
              <w:left w:val="nil"/>
              <w:bottom w:val="single" w:color="auto" w:sz="4" w:space="0"/>
              <w:right w:val="single" w:color="auto" w:sz="4" w:space="0"/>
            </w:tcBorders>
          </w:tcPr>
          <w:p>
            <w:pPr>
              <w:widowControl/>
              <w:adjustRightInd w:val="0"/>
              <w:snapToGrid w:val="0"/>
              <w:jc w:val="left"/>
              <w:rPr>
                <w:rFonts w:hint="eastAsia" w:ascii="宋体" w:hAnsi="宋体" w:cs="宋体"/>
                <w:b/>
                <w:kern w:val="0"/>
                <w:sz w:val="20"/>
                <w:szCs w:val="20"/>
                <w:highlight w:val="none"/>
                <w:u w:val="single"/>
              </w:rPr>
            </w:pPr>
            <w:r>
              <w:rPr>
                <w:rFonts w:hint="eastAsia" w:ascii="宋体" w:hAnsi="宋体" w:cs="宋体"/>
                <w:b/>
                <w:kern w:val="0"/>
                <w:sz w:val="20"/>
                <w:szCs w:val="20"/>
                <w:highlight w:val="none"/>
                <w:u w:val="single"/>
              </w:rPr>
              <w:t>（一）坤翔系统能生成旅客信息时</w:t>
            </w:r>
          </w:p>
        </w:tc>
        <w:tc>
          <w:tcPr>
            <w:tcW w:w="1239"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p>
        </w:tc>
        <w:tc>
          <w:tcPr>
            <w:tcW w:w="2595" w:type="dxa"/>
            <w:vMerge w:val="restart"/>
            <w:tcBorders>
              <w:top w:val="nil"/>
              <w:left w:val="single" w:color="auto" w:sz="4" w:space="0"/>
              <w:bottom w:val="single" w:color="auto" w:sz="4" w:space="0"/>
              <w:right w:val="single" w:color="auto" w:sz="12"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每月</w:t>
            </w:r>
            <w:r>
              <w:rPr>
                <w:rFonts w:hint="eastAsia" w:ascii="宋体" w:hAnsi="宋体" w:cs="宋体"/>
                <w:b/>
                <w:bCs/>
                <w:kern w:val="0"/>
                <w:sz w:val="20"/>
                <w:szCs w:val="20"/>
                <w:highlight w:val="none"/>
                <w:u w:val="single"/>
              </w:rPr>
              <w:t>8</w:t>
            </w:r>
            <w:r>
              <w:rPr>
                <w:rFonts w:hint="eastAsia" w:ascii="宋体" w:hAnsi="宋体" w:cs="宋体"/>
                <w:kern w:val="0"/>
                <w:sz w:val="20"/>
                <w:szCs w:val="20"/>
                <w:highlight w:val="none"/>
                <w:u w:val="single"/>
              </w:rPr>
              <w:t>号前完成坤翔系统退房手续，接收到南航账单通知后，三个工作日提供</w:t>
            </w:r>
            <w:r>
              <w:rPr>
                <w:rFonts w:hint="eastAsia" w:ascii="宋体" w:hAnsi="宋体" w:cs="宋体"/>
                <w:b/>
                <w:bCs/>
                <w:kern w:val="0"/>
                <w:sz w:val="20"/>
                <w:szCs w:val="20"/>
                <w:highlight w:val="none"/>
                <w:u w:val="single"/>
              </w:rPr>
              <w:t>结算汇总表</w:t>
            </w:r>
            <w:r>
              <w:rPr>
                <w:rFonts w:hint="eastAsia" w:ascii="宋体" w:hAnsi="宋体" w:cs="宋体"/>
                <w:kern w:val="0"/>
                <w:sz w:val="20"/>
                <w:szCs w:val="20"/>
                <w:highlight w:val="none"/>
                <w:u w:val="single"/>
              </w:rPr>
              <w:t>以及相应发票。</w:t>
            </w:r>
          </w:p>
        </w:tc>
      </w:tr>
      <w:tr>
        <w:tblPrEx>
          <w:tblCellMar>
            <w:top w:w="0" w:type="dxa"/>
            <w:left w:w="108" w:type="dxa"/>
            <w:bottom w:w="0" w:type="dxa"/>
            <w:right w:w="108" w:type="dxa"/>
          </w:tblCellMar>
        </w:tblPrEx>
        <w:trPr>
          <w:trHeight w:val="232" w:hRule="atLeast"/>
          <w:jc w:val="center"/>
        </w:trPr>
        <w:tc>
          <w:tcPr>
            <w:tcW w:w="1557" w:type="dxa"/>
            <w:vMerge w:val="continue"/>
            <w:tcBorders>
              <w:top w:val="nil"/>
              <w:left w:val="single" w:color="auto" w:sz="12" w:space="0"/>
              <w:bottom w:val="single" w:color="auto" w:sz="4" w:space="0"/>
              <w:right w:val="single" w:color="auto" w:sz="4" w:space="0"/>
            </w:tcBorders>
            <w:vAlign w:val="center"/>
          </w:tcPr>
          <w:p>
            <w:pPr>
              <w:widowControl/>
              <w:adjustRightInd w:val="0"/>
              <w:snapToGrid w:val="0"/>
              <w:jc w:val="left"/>
              <w:rPr>
                <w:rFonts w:hint="eastAsia" w:ascii="宋体" w:hAnsi="宋体" w:cs="宋体"/>
                <w:kern w:val="0"/>
                <w:sz w:val="20"/>
                <w:szCs w:val="20"/>
                <w:highlight w:val="none"/>
                <w:u w:val="single"/>
              </w:rPr>
            </w:pPr>
          </w:p>
        </w:tc>
        <w:tc>
          <w:tcPr>
            <w:tcW w:w="3809" w:type="dxa"/>
            <w:tcBorders>
              <w:top w:val="nil"/>
              <w:left w:val="nil"/>
              <w:bottom w:val="single" w:color="auto" w:sz="4" w:space="0"/>
              <w:right w:val="single" w:color="auto" w:sz="4" w:space="0"/>
            </w:tcBorders>
          </w:tcPr>
          <w:p>
            <w:pPr>
              <w:widowControl/>
              <w:adjustRightInd w:val="0"/>
              <w:snapToGrid w:val="0"/>
              <w:jc w:val="left"/>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 xml:space="preserve">1.打印旅客信息表（自动生成） </w:t>
            </w:r>
          </w:p>
        </w:tc>
        <w:tc>
          <w:tcPr>
            <w:tcW w:w="1239"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酒店</w:t>
            </w:r>
          </w:p>
        </w:tc>
        <w:tc>
          <w:tcPr>
            <w:tcW w:w="2595" w:type="dxa"/>
            <w:vMerge w:val="continue"/>
            <w:tcBorders>
              <w:top w:val="nil"/>
              <w:left w:val="single" w:color="auto" w:sz="4" w:space="0"/>
              <w:bottom w:val="single" w:color="auto" w:sz="4" w:space="0"/>
              <w:right w:val="single" w:color="auto" w:sz="12" w:space="0"/>
            </w:tcBorders>
            <w:vAlign w:val="center"/>
          </w:tcPr>
          <w:p>
            <w:pPr>
              <w:widowControl/>
              <w:adjustRightInd w:val="0"/>
              <w:snapToGrid w:val="0"/>
              <w:jc w:val="left"/>
              <w:rPr>
                <w:rFonts w:hint="eastAsia" w:ascii="宋体" w:hAnsi="宋体" w:cs="宋体"/>
                <w:kern w:val="0"/>
                <w:sz w:val="20"/>
                <w:szCs w:val="20"/>
                <w:highlight w:val="none"/>
                <w:u w:val="single"/>
              </w:rPr>
            </w:pPr>
          </w:p>
        </w:tc>
      </w:tr>
      <w:tr>
        <w:tblPrEx>
          <w:tblCellMar>
            <w:top w:w="0" w:type="dxa"/>
            <w:left w:w="108" w:type="dxa"/>
            <w:bottom w:w="0" w:type="dxa"/>
            <w:right w:w="108" w:type="dxa"/>
          </w:tblCellMar>
        </w:tblPrEx>
        <w:trPr>
          <w:trHeight w:val="232" w:hRule="atLeast"/>
          <w:jc w:val="center"/>
        </w:trPr>
        <w:tc>
          <w:tcPr>
            <w:tcW w:w="1557" w:type="dxa"/>
            <w:vMerge w:val="continue"/>
            <w:tcBorders>
              <w:top w:val="nil"/>
              <w:left w:val="single" w:color="auto" w:sz="12" w:space="0"/>
              <w:bottom w:val="single" w:color="auto" w:sz="4" w:space="0"/>
              <w:right w:val="single" w:color="auto" w:sz="4" w:space="0"/>
            </w:tcBorders>
            <w:vAlign w:val="center"/>
          </w:tcPr>
          <w:p>
            <w:pPr>
              <w:widowControl/>
              <w:adjustRightInd w:val="0"/>
              <w:snapToGrid w:val="0"/>
              <w:jc w:val="left"/>
              <w:rPr>
                <w:rFonts w:hint="eastAsia" w:ascii="宋体" w:hAnsi="宋体" w:cs="宋体"/>
                <w:kern w:val="0"/>
                <w:sz w:val="20"/>
                <w:szCs w:val="20"/>
                <w:highlight w:val="none"/>
                <w:u w:val="single"/>
              </w:rPr>
            </w:pPr>
          </w:p>
        </w:tc>
        <w:tc>
          <w:tcPr>
            <w:tcW w:w="3809" w:type="dxa"/>
            <w:tcBorders>
              <w:top w:val="nil"/>
              <w:left w:val="nil"/>
              <w:bottom w:val="single" w:color="auto" w:sz="4" w:space="0"/>
              <w:right w:val="single" w:color="auto" w:sz="4" w:space="0"/>
            </w:tcBorders>
          </w:tcPr>
          <w:p>
            <w:pPr>
              <w:widowControl/>
              <w:adjustRightInd w:val="0"/>
              <w:snapToGrid w:val="0"/>
              <w:jc w:val="left"/>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2.旅客身份证件复印件上传/系统扫描</w:t>
            </w:r>
          </w:p>
        </w:tc>
        <w:tc>
          <w:tcPr>
            <w:tcW w:w="1239"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酒店</w:t>
            </w:r>
          </w:p>
        </w:tc>
        <w:tc>
          <w:tcPr>
            <w:tcW w:w="2595" w:type="dxa"/>
            <w:vMerge w:val="continue"/>
            <w:tcBorders>
              <w:top w:val="nil"/>
              <w:left w:val="single" w:color="auto" w:sz="4" w:space="0"/>
              <w:bottom w:val="single" w:color="auto" w:sz="4" w:space="0"/>
              <w:right w:val="single" w:color="auto" w:sz="12" w:space="0"/>
            </w:tcBorders>
            <w:vAlign w:val="center"/>
          </w:tcPr>
          <w:p>
            <w:pPr>
              <w:widowControl/>
              <w:adjustRightInd w:val="0"/>
              <w:snapToGrid w:val="0"/>
              <w:jc w:val="left"/>
              <w:rPr>
                <w:rFonts w:hint="eastAsia" w:ascii="宋体" w:hAnsi="宋体" w:cs="宋体"/>
                <w:kern w:val="0"/>
                <w:sz w:val="20"/>
                <w:szCs w:val="20"/>
                <w:highlight w:val="none"/>
                <w:u w:val="single"/>
              </w:rPr>
            </w:pPr>
          </w:p>
        </w:tc>
      </w:tr>
      <w:tr>
        <w:tblPrEx>
          <w:tblCellMar>
            <w:top w:w="0" w:type="dxa"/>
            <w:left w:w="108" w:type="dxa"/>
            <w:bottom w:w="0" w:type="dxa"/>
            <w:right w:w="108" w:type="dxa"/>
          </w:tblCellMar>
        </w:tblPrEx>
        <w:trPr>
          <w:trHeight w:val="232" w:hRule="atLeast"/>
          <w:jc w:val="center"/>
        </w:trPr>
        <w:tc>
          <w:tcPr>
            <w:tcW w:w="1557" w:type="dxa"/>
            <w:vMerge w:val="continue"/>
            <w:tcBorders>
              <w:top w:val="nil"/>
              <w:left w:val="single" w:color="auto" w:sz="12" w:space="0"/>
              <w:bottom w:val="single" w:color="auto" w:sz="4" w:space="0"/>
              <w:right w:val="single" w:color="auto" w:sz="4" w:space="0"/>
            </w:tcBorders>
            <w:vAlign w:val="center"/>
          </w:tcPr>
          <w:p>
            <w:pPr>
              <w:widowControl/>
              <w:adjustRightInd w:val="0"/>
              <w:snapToGrid w:val="0"/>
              <w:jc w:val="left"/>
              <w:rPr>
                <w:rFonts w:hint="eastAsia" w:ascii="宋体" w:hAnsi="宋体" w:cs="宋体"/>
                <w:kern w:val="0"/>
                <w:sz w:val="20"/>
                <w:szCs w:val="20"/>
                <w:highlight w:val="none"/>
                <w:u w:val="single"/>
              </w:rPr>
            </w:pPr>
          </w:p>
        </w:tc>
        <w:tc>
          <w:tcPr>
            <w:tcW w:w="3809" w:type="dxa"/>
            <w:tcBorders>
              <w:top w:val="nil"/>
              <w:left w:val="nil"/>
              <w:bottom w:val="single" w:color="auto" w:sz="4" w:space="0"/>
              <w:right w:val="single" w:color="auto" w:sz="4" w:space="0"/>
            </w:tcBorders>
          </w:tcPr>
          <w:p>
            <w:pPr>
              <w:widowControl/>
              <w:adjustRightInd w:val="0"/>
              <w:snapToGrid w:val="0"/>
              <w:jc w:val="left"/>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3.《旅客食宿安排通知单》 /系统选择</w:t>
            </w:r>
          </w:p>
        </w:tc>
        <w:tc>
          <w:tcPr>
            <w:tcW w:w="1239"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南航</w:t>
            </w:r>
          </w:p>
        </w:tc>
        <w:tc>
          <w:tcPr>
            <w:tcW w:w="2595" w:type="dxa"/>
            <w:vMerge w:val="continue"/>
            <w:tcBorders>
              <w:top w:val="nil"/>
              <w:left w:val="single" w:color="auto" w:sz="4" w:space="0"/>
              <w:bottom w:val="single" w:color="auto" w:sz="4" w:space="0"/>
              <w:right w:val="single" w:color="auto" w:sz="12" w:space="0"/>
            </w:tcBorders>
            <w:vAlign w:val="center"/>
          </w:tcPr>
          <w:p>
            <w:pPr>
              <w:widowControl/>
              <w:adjustRightInd w:val="0"/>
              <w:snapToGrid w:val="0"/>
              <w:jc w:val="left"/>
              <w:rPr>
                <w:rFonts w:hint="eastAsia" w:ascii="宋体" w:hAnsi="宋体" w:cs="宋体"/>
                <w:kern w:val="0"/>
                <w:sz w:val="20"/>
                <w:szCs w:val="20"/>
                <w:highlight w:val="none"/>
                <w:u w:val="single"/>
              </w:rPr>
            </w:pPr>
          </w:p>
        </w:tc>
      </w:tr>
      <w:tr>
        <w:tblPrEx>
          <w:tblCellMar>
            <w:top w:w="0" w:type="dxa"/>
            <w:left w:w="108" w:type="dxa"/>
            <w:bottom w:w="0" w:type="dxa"/>
            <w:right w:w="108" w:type="dxa"/>
          </w:tblCellMar>
        </w:tblPrEx>
        <w:trPr>
          <w:trHeight w:val="457" w:hRule="atLeast"/>
          <w:jc w:val="center"/>
        </w:trPr>
        <w:tc>
          <w:tcPr>
            <w:tcW w:w="1557" w:type="dxa"/>
            <w:vMerge w:val="continue"/>
            <w:tcBorders>
              <w:top w:val="nil"/>
              <w:left w:val="single" w:color="auto" w:sz="12" w:space="0"/>
              <w:bottom w:val="single" w:color="auto" w:sz="4" w:space="0"/>
              <w:right w:val="single" w:color="auto" w:sz="4" w:space="0"/>
            </w:tcBorders>
            <w:vAlign w:val="center"/>
          </w:tcPr>
          <w:p>
            <w:pPr>
              <w:widowControl/>
              <w:adjustRightInd w:val="0"/>
              <w:snapToGrid w:val="0"/>
              <w:jc w:val="left"/>
              <w:rPr>
                <w:rFonts w:hint="eastAsia" w:ascii="宋体" w:hAnsi="宋体" w:cs="宋体"/>
                <w:kern w:val="0"/>
                <w:sz w:val="20"/>
                <w:szCs w:val="20"/>
                <w:highlight w:val="none"/>
                <w:u w:val="single"/>
              </w:rPr>
            </w:pPr>
          </w:p>
        </w:tc>
        <w:tc>
          <w:tcPr>
            <w:tcW w:w="3809" w:type="dxa"/>
            <w:tcBorders>
              <w:top w:val="nil"/>
              <w:left w:val="nil"/>
              <w:bottom w:val="single" w:color="auto" w:sz="4" w:space="0"/>
              <w:right w:val="single" w:color="auto" w:sz="4" w:space="0"/>
            </w:tcBorders>
          </w:tcPr>
          <w:p>
            <w:pPr>
              <w:widowControl/>
              <w:adjustRightInd w:val="0"/>
              <w:snapToGrid w:val="0"/>
              <w:jc w:val="left"/>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4.《航延酒店结算明细表》/《航延旅客酒店住宿结算汇总表》</w:t>
            </w:r>
          </w:p>
        </w:tc>
        <w:tc>
          <w:tcPr>
            <w:tcW w:w="1239"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酒店</w:t>
            </w:r>
          </w:p>
        </w:tc>
        <w:tc>
          <w:tcPr>
            <w:tcW w:w="2595" w:type="dxa"/>
            <w:vMerge w:val="continue"/>
            <w:tcBorders>
              <w:top w:val="nil"/>
              <w:left w:val="single" w:color="auto" w:sz="4" w:space="0"/>
              <w:bottom w:val="single" w:color="auto" w:sz="4" w:space="0"/>
              <w:right w:val="single" w:color="auto" w:sz="12" w:space="0"/>
            </w:tcBorders>
            <w:vAlign w:val="center"/>
          </w:tcPr>
          <w:p>
            <w:pPr>
              <w:widowControl/>
              <w:adjustRightInd w:val="0"/>
              <w:snapToGrid w:val="0"/>
              <w:jc w:val="left"/>
              <w:rPr>
                <w:rFonts w:hint="eastAsia" w:ascii="宋体" w:hAnsi="宋体" w:cs="宋体"/>
                <w:kern w:val="0"/>
                <w:sz w:val="20"/>
                <w:szCs w:val="20"/>
                <w:highlight w:val="none"/>
                <w:u w:val="single"/>
              </w:rPr>
            </w:pPr>
          </w:p>
        </w:tc>
      </w:tr>
      <w:tr>
        <w:tblPrEx>
          <w:tblCellMar>
            <w:top w:w="0" w:type="dxa"/>
            <w:left w:w="108" w:type="dxa"/>
            <w:bottom w:w="0" w:type="dxa"/>
            <w:right w:w="108" w:type="dxa"/>
          </w:tblCellMar>
        </w:tblPrEx>
        <w:trPr>
          <w:trHeight w:val="232" w:hRule="atLeast"/>
          <w:jc w:val="center"/>
        </w:trPr>
        <w:tc>
          <w:tcPr>
            <w:tcW w:w="1557" w:type="dxa"/>
            <w:vMerge w:val="continue"/>
            <w:tcBorders>
              <w:top w:val="nil"/>
              <w:left w:val="single" w:color="auto" w:sz="12" w:space="0"/>
              <w:bottom w:val="single" w:color="auto" w:sz="4" w:space="0"/>
              <w:right w:val="single" w:color="auto" w:sz="4" w:space="0"/>
            </w:tcBorders>
            <w:vAlign w:val="center"/>
          </w:tcPr>
          <w:p>
            <w:pPr>
              <w:widowControl/>
              <w:adjustRightInd w:val="0"/>
              <w:snapToGrid w:val="0"/>
              <w:jc w:val="left"/>
              <w:rPr>
                <w:rFonts w:hint="eastAsia" w:ascii="宋体" w:hAnsi="宋体" w:cs="宋体"/>
                <w:kern w:val="0"/>
                <w:sz w:val="20"/>
                <w:szCs w:val="20"/>
                <w:highlight w:val="none"/>
                <w:u w:val="single"/>
              </w:rPr>
            </w:pPr>
          </w:p>
        </w:tc>
        <w:tc>
          <w:tcPr>
            <w:tcW w:w="3809" w:type="dxa"/>
            <w:tcBorders>
              <w:top w:val="nil"/>
              <w:left w:val="nil"/>
              <w:bottom w:val="single" w:color="auto" w:sz="4" w:space="0"/>
              <w:right w:val="single" w:color="auto" w:sz="4" w:space="0"/>
            </w:tcBorders>
          </w:tcPr>
          <w:p>
            <w:pPr>
              <w:widowControl/>
              <w:adjustRightInd w:val="0"/>
              <w:snapToGrid w:val="0"/>
              <w:jc w:val="left"/>
              <w:rPr>
                <w:rFonts w:hint="eastAsia" w:ascii="宋体" w:hAnsi="宋体" w:cs="宋体"/>
                <w:b/>
                <w:kern w:val="0"/>
                <w:sz w:val="20"/>
                <w:szCs w:val="20"/>
                <w:highlight w:val="none"/>
                <w:u w:val="single"/>
              </w:rPr>
            </w:pPr>
            <w:r>
              <w:rPr>
                <w:rFonts w:hint="eastAsia" w:ascii="宋体" w:hAnsi="宋体" w:cs="宋体"/>
                <w:b/>
                <w:kern w:val="0"/>
                <w:sz w:val="20"/>
                <w:szCs w:val="20"/>
                <w:highlight w:val="none"/>
                <w:u w:val="single"/>
              </w:rPr>
              <w:t xml:space="preserve">（二）坤翔系统无法生成旅客信息时 </w:t>
            </w:r>
          </w:p>
        </w:tc>
        <w:tc>
          <w:tcPr>
            <w:tcW w:w="1239"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p>
        </w:tc>
        <w:tc>
          <w:tcPr>
            <w:tcW w:w="2595" w:type="dxa"/>
            <w:vMerge w:val="continue"/>
            <w:tcBorders>
              <w:top w:val="nil"/>
              <w:left w:val="single" w:color="auto" w:sz="4" w:space="0"/>
              <w:bottom w:val="single" w:color="auto" w:sz="4" w:space="0"/>
              <w:right w:val="single" w:color="auto" w:sz="12" w:space="0"/>
            </w:tcBorders>
            <w:vAlign w:val="center"/>
          </w:tcPr>
          <w:p>
            <w:pPr>
              <w:widowControl/>
              <w:adjustRightInd w:val="0"/>
              <w:snapToGrid w:val="0"/>
              <w:jc w:val="left"/>
              <w:rPr>
                <w:rFonts w:hint="eastAsia" w:ascii="宋体" w:hAnsi="宋体" w:cs="宋体"/>
                <w:kern w:val="0"/>
                <w:sz w:val="20"/>
                <w:szCs w:val="20"/>
                <w:highlight w:val="none"/>
                <w:u w:val="single"/>
              </w:rPr>
            </w:pPr>
          </w:p>
        </w:tc>
      </w:tr>
      <w:tr>
        <w:tblPrEx>
          <w:tblCellMar>
            <w:top w:w="0" w:type="dxa"/>
            <w:left w:w="108" w:type="dxa"/>
            <w:bottom w:w="0" w:type="dxa"/>
            <w:right w:w="108" w:type="dxa"/>
          </w:tblCellMar>
        </w:tblPrEx>
        <w:trPr>
          <w:trHeight w:val="232" w:hRule="atLeast"/>
          <w:jc w:val="center"/>
        </w:trPr>
        <w:tc>
          <w:tcPr>
            <w:tcW w:w="1557" w:type="dxa"/>
            <w:vMerge w:val="continue"/>
            <w:tcBorders>
              <w:top w:val="nil"/>
              <w:left w:val="single" w:color="auto" w:sz="12" w:space="0"/>
              <w:bottom w:val="single" w:color="auto" w:sz="4" w:space="0"/>
              <w:right w:val="single" w:color="auto" w:sz="4" w:space="0"/>
            </w:tcBorders>
            <w:vAlign w:val="center"/>
          </w:tcPr>
          <w:p>
            <w:pPr>
              <w:widowControl/>
              <w:adjustRightInd w:val="0"/>
              <w:snapToGrid w:val="0"/>
              <w:jc w:val="left"/>
              <w:rPr>
                <w:rFonts w:hint="eastAsia" w:ascii="宋体" w:hAnsi="宋体" w:cs="宋体"/>
                <w:kern w:val="0"/>
                <w:sz w:val="20"/>
                <w:szCs w:val="20"/>
                <w:highlight w:val="none"/>
                <w:u w:val="single"/>
              </w:rPr>
            </w:pPr>
          </w:p>
        </w:tc>
        <w:tc>
          <w:tcPr>
            <w:tcW w:w="3809" w:type="dxa"/>
            <w:tcBorders>
              <w:top w:val="nil"/>
              <w:left w:val="nil"/>
              <w:bottom w:val="single" w:color="auto" w:sz="4" w:space="0"/>
              <w:right w:val="single" w:color="auto" w:sz="4" w:space="0"/>
            </w:tcBorders>
          </w:tcPr>
          <w:p>
            <w:pPr>
              <w:widowControl/>
              <w:adjustRightInd w:val="0"/>
              <w:snapToGrid w:val="0"/>
              <w:jc w:val="left"/>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 xml:space="preserve">1.手工填制旅客入住信息表（手工填制） </w:t>
            </w:r>
          </w:p>
        </w:tc>
        <w:tc>
          <w:tcPr>
            <w:tcW w:w="1239"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酒店</w:t>
            </w:r>
          </w:p>
        </w:tc>
        <w:tc>
          <w:tcPr>
            <w:tcW w:w="2595" w:type="dxa"/>
            <w:vMerge w:val="continue"/>
            <w:tcBorders>
              <w:top w:val="nil"/>
              <w:left w:val="single" w:color="auto" w:sz="4" w:space="0"/>
              <w:bottom w:val="single" w:color="auto" w:sz="4" w:space="0"/>
              <w:right w:val="single" w:color="auto" w:sz="12" w:space="0"/>
            </w:tcBorders>
            <w:vAlign w:val="center"/>
          </w:tcPr>
          <w:p>
            <w:pPr>
              <w:widowControl/>
              <w:adjustRightInd w:val="0"/>
              <w:snapToGrid w:val="0"/>
              <w:jc w:val="left"/>
              <w:rPr>
                <w:rFonts w:hint="eastAsia" w:ascii="宋体" w:hAnsi="宋体" w:cs="宋体"/>
                <w:kern w:val="0"/>
                <w:sz w:val="20"/>
                <w:szCs w:val="20"/>
                <w:highlight w:val="none"/>
                <w:u w:val="single"/>
              </w:rPr>
            </w:pPr>
          </w:p>
        </w:tc>
      </w:tr>
      <w:tr>
        <w:tblPrEx>
          <w:tblCellMar>
            <w:top w:w="0" w:type="dxa"/>
            <w:left w:w="108" w:type="dxa"/>
            <w:bottom w:w="0" w:type="dxa"/>
            <w:right w:w="108" w:type="dxa"/>
          </w:tblCellMar>
        </w:tblPrEx>
        <w:trPr>
          <w:trHeight w:val="457" w:hRule="atLeast"/>
          <w:jc w:val="center"/>
        </w:trPr>
        <w:tc>
          <w:tcPr>
            <w:tcW w:w="1557" w:type="dxa"/>
            <w:vMerge w:val="continue"/>
            <w:tcBorders>
              <w:top w:val="nil"/>
              <w:left w:val="single" w:color="auto" w:sz="12" w:space="0"/>
              <w:bottom w:val="single" w:color="auto" w:sz="4" w:space="0"/>
              <w:right w:val="single" w:color="auto" w:sz="4" w:space="0"/>
            </w:tcBorders>
            <w:vAlign w:val="center"/>
          </w:tcPr>
          <w:p>
            <w:pPr>
              <w:widowControl/>
              <w:adjustRightInd w:val="0"/>
              <w:snapToGrid w:val="0"/>
              <w:jc w:val="left"/>
              <w:rPr>
                <w:rFonts w:hint="eastAsia" w:ascii="宋体" w:hAnsi="宋体" w:cs="宋体"/>
                <w:kern w:val="0"/>
                <w:sz w:val="20"/>
                <w:szCs w:val="20"/>
                <w:highlight w:val="none"/>
                <w:u w:val="single"/>
              </w:rPr>
            </w:pPr>
          </w:p>
        </w:tc>
        <w:tc>
          <w:tcPr>
            <w:tcW w:w="3809" w:type="dxa"/>
            <w:tcBorders>
              <w:top w:val="nil"/>
              <w:left w:val="nil"/>
              <w:bottom w:val="single" w:color="auto" w:sz="4" w:space="0"/>
              <w:right w:val="single" w:color="auto" w:sz="4" w:space="0"/>
            </w:tcBorders>
          </w:tcPr>
          <w:p>
            <w:pPr>
              <w:widowControl/>
              <w:adjustRightInd w:val="0"/>
              <w:snapToGrid w:val="0"/>
              <w:jc w:val="left"/>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 xml:space="preserve">2.旅客机票、登机牌或旅客订座记录单（三选一） </w:t>
            </w:r>
          </w:p>
        </w:tc>
        <w:tc>
          <w:tcPr>
            <w:tcW w:w="1239"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南航</w:t>
            </w:r>
          </w:p>
        </w:tc>
        <w:tc>
          <w:tcPr>
            <w:tcW w:w="2595" w:type="dxa"/>
            <w:vMerge w:val="continue"/>
            <w:tcBorders>
              <w:top w:val="nil"/>
              <w:left w:val="single" w:color="auto" w:sz="4" w:space="0"/>
              <w:bottom w:val="single" w:color="auto" w:sz="4" w:space="0"/>
              <w:right w:val="single" w:color="auto" w:sz="12" w:space="0"/>
            </w:tcBorders>
            <w:vAlign w:val="center"/>
          </w:tcPr>
          <w:p>
            <w:pPr>
              <w:widowControl/>
              <w:adjustRightInd w:val="0"/>
              <w:snapToGrid w:val="0"/>
              <w:jc w:val="left"/>
              <w:rPr>
                <w:rFonts w:hint="eastAsia" w:ascii="宋体" w:hAnsi="宋体" w:cs="宋体"/>
                <w:kern w:val="0"/>
                <w:sz w:val="20"/>
                <w:szCs w:val="20"/>
                <w:highlight w:val="none"/>
                <w:u w:val="single"/>
              </w:rPr>
            </w:pPr>
          </w:p>
        </w:tc>
      </w:tr>
      <w:tr>
        <w:tblPrEx>
          <w:tblCellMar>
            <w:top w:w="0" w:type="dxa"/>
            <w:left w:w="108" w:type="dxa"/>
            <w:bottom w:w="0" w:type="dxa"/>
            <w:right w:w="108" w:type="dxa"/>
          </w:tblCellMar>
        </w:tblPrEx>
        <w:trPr>
          <w:trHeight w:val="232" w:hRule="atLeast"/>
          <w:jc w:val="center"/>
        </w:trPr>
        <w:tc>
          <w:tcPr>
            <w:tcW w:w="1557" w:type="dxa"/>
            <w:vMerge w:val="continue"/>
            <w:tcBorders>
              <w:top w:val="nil"/>
              <w:left w:val="single" w:color="auto" w:sz="12" w:space="0"/>
              <w:bottom w:val="single" w:color="auto" w:sz="4" w:space="0"/>
              <w:right w:val="single" w:color="auto" w:sz="4" w:space="0"/>
            </w:tcBorders>
            <w:vAlign w:val="center"/>
          </w:tcPr>
          <w:p>
            <w:pPr>
              <w:widowControl/>
              <w:adjustRightInd w:val="0"/>
              <w:snapToGrid w:val="0"/>
              <w:jc w:val="left"/>
              <w:rPr>
                <w:rFonts w:hint="eastAsia" w:ascii="宋体" w:hAnsi="宋体" w:cs="宋体"/>
                <w:kern w:val="0"/>
                <w:sz w:val="20"/>
                <w:szCs w:val="20"/>
                <w:highlight w:val="none"/>
                <w:u w:val="single"/>
              </w:rPr>
            </w:pPr>
          </w:p>
        </w:tc>
        <w:tc>
          <w:tcPr>
            <w:tcW w:w="3809" w:type="dxa"/>
            <w:tcBorders>
              <w:top w:val="nil"/>
              <w:left w:val="nil"/>
              <w:bottom w:val="single" w:color="auto" w:sz="4" w:space="0"/>
              <w:right w:val="single" w:color="auto" w:sz="4" w:space="0"/>
            </w:tcBorders>
          </w:tcPr>
          <w:p>
            <w:pPr>
              <w:widowControl/>
              <w:adjustRightInd w:val="0"/>
              <w:snapToGrid w:val="0"/>
              <w:jc w:val="left"/>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 xml:space="preserve">3.旅客身份证件复印件 </w:t>
            </w:r>
          </w:p>
        </w:tc>
        <w:tc>
          <w:tcPr>
            <w:tcW w:w="1239"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酒店</w:t>
            </w:r>
          </w:p>
        </w:tc>
        <w:tc>
          <w:tcPr>
            <w:tcW w:w="2595" w:type="dxa"/>
            <w:vMerge w:val="continue"/>
            <w:tcBorders>
              <w:top w:val="nil"/>
              <w:left w:val="single" w:color="auto" w:sz="4" w:space="0"/>
              <w:bottom w:val="single" w:color="auto" w:sz="4" w:space="0"/>
              <w:right w:val="single" w:color="auto" w:sz="12" w:space="0"/>
            </w:tcBorders>
            <w:vAlign w:val="center"/>
          </w:tcPr>
          <w:p>
            <w:pPr>
              <w:widowControl/>
              <w:adjustRightInd w:val="0"/>
              <w:snapToGrid w:val="0"/>
              <w:jc w:val="left"/>
              <w:rPr>
                <w:rFonts w:hint="eastAsia" w:ascii="宋体" w:hAnsi="宋体" w:cs="宋体"/>
                <w:kern w:val="0"/>
                <w:sz w:val="20"/>
                <w:szCs w:val="20"/>
                <w:highlight w:val="none"/>
                <w:u w:val="single"/>
              </w:rPr>
            </w:pPr>
          </w:p>
        </w:tc>
      </w:tr>
      <w:tr>
        <w:tblPrEx>
          <w:tblCellMar>
            <w:top w:w="0" w:type="dxa"/>
            <w:left w:w="108" w:type="dxa"/>
            <w:bottom w:w="0" w:type="dxa"/>
            <w:right w:w="108" w:type="dxa"/>
          </w:tblCellMar>
        </w:tblPrEx>
        <w:trPr>
          <w:trHeight w:val="232" w:hRule="atLeast"/>
          <w:jc w:val="center"/>
        </w:trPr>
        <w:tc>
          <w:tcPr>
            <w:tcW w:w="1557" w:type="dxa"/>
            <w:vMerge w:val="continue"/>
            <w:tcBorders>
              <w:top w:val="nil"/>
              <w:left w:val="single" w:color="auto" w:sz="12" w:space="0"/>
              <w:bottom w:val="single" w:color="auto" w:sz="4" w:space="0"/>
              <w:right w:val="single" w:color="auto" w:sz="4" w:space="0"/>
            </w:tcBorders>
            <w:vAlign w:val="center"/>
          </w:tcPr>
          <w:p>
            <w:pPr>
              <w:widowControl/>
              <w:adjustRightInd w:val="0"/>
              <w:snapToGrid w:val="0"/>
              <w:jc w:val="left"/>
              <w:rPr>
                <w:rFonts w:hint="eastAsia" w:ascii="宋体" w:hAnsi="宋体" w:cs="宋体"/>
                <w:kern w:val="0"/>
                <w:sz w:val="20"/>
                <w:szCs w:val="20"/>
                <w:highlight w:val="none"/>
                <w:u w:val="single"/>
              </w:rPr>
            </w:pPr>
          </w:p>
        </w:tc>
        <w:tc>
          <w:tcPr>
            <w:tcW w:w="3809" w:type="dxa"/>
            <w:tcBorders>
              <w:top w:val="nil"/>
              <w:left w:val="nil"/>
              <w:bottom w:val="single" w:color="auto" w:sz="4" w:space="0"/>
              <w:right w:val="single" w:color="auto" w:sz="4" w:space="0"/>
            </w:tcBorders>
          </w:tcPr>
          <w:p>
            <w:pPr>
              <w:widowControl/>
              <w:adjustRightInd w:val="0"/>
              <w:snapToGrid w:val="0"/>
              <w:jc w:val="left"/>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 xml:space="preserve">4.《旅客食宿安排通知单》 </w:t>
            </w:r>
          </w:p>
        </w:tc>
        <w:tc>
          <w:tcPr>
            <w:tcW w:w="1239"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南航</w:t>
            </w:r>
          </w:p>
        </w:tc>
        <w:tc>
          <w:tcPr>
            <w:tcW w:w="2595" w:type="dxa"/>
            <w:vMerge w:val="continue"/>
            <w:tcBorders>
              <w:top w:val="nil"/>
              <w:left w:val="single" w:color="auto" w:sz="4" w:space="0"/>
              <w:bottom w:val="single" w:color="auto" w:sz="4" w:space="0"/>
              <w:right w:val="single" w:color="auto" w:sz="12" w:space="0"/>
            </w:tcBorders>
            <w:vAlign w:val="center"/>
          </w:tcPr>
          <w:p>
            <w:pPr>
              <w:widowControl/>
              <w:adjustRightInd w:val="0"/>
              <w:snapToGrid w:val="0"/>
              <w:jc w:val="left"/>
              <w:rPr>
                <w:rFonts w:hint="eastAsia" w:ascii="宋体" w:hAnsi="宋体" w:cs="宋体"/>
                <w:kern w:val="0"/>
                <w:sz w:val="20"/>
                <w:szCs w:val="20"/>
                <w:highlight w:val="none"/>
                <w:u w:val="single"/>
              </w:rPr>
            </w:pPr>
          </w:p>
        </w:tc>
      </w:tr>
      <w:tr>
        <w:tblPrEx>
          <w:tblCellMar>
            <w:top w:w="0" w:type="dxa"/>
            <w:left w:w="108" w:type="dxa"/>
            <w:bottom w:w="0" w:type="dxa"/>
            <w:right w:w="108" w:type="dxa"/>
          </w:tblCellMar>
        </w:tblPrEx>
        <w:trPr>
          <w:trHeight w:val="232" w:hRule="atLeast"/>
          <w:jc w:val="center"/>
        </w:trPr>
        <w:tc>
          <w:tcPr>
            <w:tcW w:w="1557" w:type="dxa"/>
            <w:vMerge w:val="continue"/>
            <w:tcBorders>
              <w:top w:val="nil"/>
              <w:left w:val="single" w:color="auto" w:sz="12" w:space="0"/>
              <w:bottom w:val="single" w:color="auto" w:sz="4" w:space="0"/>
              <w:right w:val="single" w:color="auto" w:sz="4" w:space="0"/>
            </w:tcBorders>
            <w:vAlign w:val="center"/>
          </w:tcPr>
          <w:p>
            <w:pPr>
              <w:widowControl/>
              <w:adjustRightInd w:val="0"/>
              <w:snapToGrid w:val="0"/>
              <w:jc w:val="left"/>
              <w:rPr>
                <w:rFonts w:hint="eastAsia" w:ascii="宋体" w:hAnsi="宋体" w:cs="宋体"/>
                <w:kern w:val="0"/>
                <w:sz w:val="20"/>
                <w:szCs w:val="20"/>
                <w:highlight w:val="none"/>
                <w:u w:val="single"/>
              </w:rPr>
            </w:pPr>
          </w:p>
        </w:tc>
        <w:tc>
          <w:tcPr>
            <w:tcW w:w="3809" w:type="dxa"/>
            <w:tcBorders>
              <w:top w:val="nil"/>
              <w:left w:val="nil"/>
              <w:bottom w:val="single" w:color="auto" w:sz="4" w:space="0"/>
              <w:right w:val="single" w:color="auto" w:sz="4" w:space="0"/>
            </w:tcBorders>
          </w:tcPr>
          <w:p>
            <w:pPr>
              <w:widowControl/>
              <w:adjustRightInd w:val="0"/>
              <w:snapToGrid w:val="0"/>
              <w:jc w:val="left"/>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5.《航延酒店结算明细表》（手工补充）</w:t>
            </w:r>
          </w:p>
        </w:tc>
        <w:tc>
          <w:tcPr>
            <w:tcW w:w="1239"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酒店</w:t>
            </w:r>
          </w:p>
        </w:tc>
        <w:tc>
          <w:tcPr>
            <w:tcW w:w="2595" w:type="dxa"/>
            <w:vMerge w:val="continue"/>
            <w:tcBorders>
              <w:top w:val="nil"/>
              <w:left w:val="single" w:color="auto" w:sz="4" w:space="0"/>
              <w:bottom w:val="single" w:color="auto" w:sz="4" w:space="0"/>
              <w:right w:val="single" w:color="auto" w:sz="12" w:space="0"/>
            </w:tcBorders>
            <w:vAlign w:val="center"/>
          </w:tcPr>
          <w:p>
            <w:pPr>
              <w:widowControl/>
              <w:adjustRightInd w:val="0"/>
              <w:snapToGrid w:val="0"/>
              <w:jc w:val="left"/>
              <w:rPr>
                <w:rFonts w:hint="eastAsia" w:ascii="宋体" w:hAnsi="宋体" w:cs="宋体"/>
                <w:kern w:val="0"/>
                <w:sz w:val="20"/>
                <w:szCs w:val="20"/>
                <w:highlight w:val="none"/>
                <w:u w:val="single"/>
              </w:rPr>
            </w:pPr>
          </w:p>
        </w:tc>
      </w:tr>
      <w:tr>
        <w:tblPrEx>
          <w:tblCellMar>
            <w:top w:w="0" w:type="dxa"/>
            <w:left w:w="108" w:type="dxa"/>
            <w:bottom w:w="0" w:type="dxa"/>
            <w:right w:w="108" w:type="dxa"/>
          </w:tblCellMar>
        </w:tblPrEx>
        <w:trPr>
          <w:trHeight w:val="457" w:hRule="atLeast"/>
          <w:jc w:val="center"/>
        </w:trPr>
        <w:tc>
          <w:tcPr>
            <w:tcW w:w="1557" w:type="dxa"/>
            <w:vMerge w:val="restart"/>
            <w:tcBorders>
              <w:top w:val="nil"/>
              <w:left w:val="single" w:color="auto" w:sz="12" w:space="0"/>
              <w:bottom w:val="single" w:color="auto" w:sz="4"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超售、</w:t>
            </w:r>
            <w:r>
              <w:rPr>
                <w:rFonts w:hint="eastAsia" w:ascii="宋体" w:hAnsi="宋体" w:cs="宋体"/>
                <w:b/>
                <w:bCs/>
                <w:kern w:val="0"/>
                <w:sz w:val="20"/>
                <w:szCs w:val="20"/>
                <w:highlight w:val="none"/>
                <w:u w:val="single"/>
              </w:rPr>
              <w:t>溢出、授权</w:t>
            </w:r>
            <w:r>
              <w:rPr>
                <w:rFonts w:hint="eastAsia" w:ascii="宋体" w:hAnsi="宋体" w:cs="宋体"/>
                <w:kern w:val="0"/>
                <w:sz w:val="20"/>
                <w:szCs w:val="20"/>
                <w:highlight w:val="none"/>
                <w:u w:val="single"/>
              </w:rPr>
              <w:t>旅客住宿</w:t>
            </w:r>
          </w:p>
        </w:tc>
        <w:tc>
          <w:tcPr>
            <w:tcW w:w="3809" w:type="dxa"/>
            <w:tcBorders>
              <w:top w:val="nil"/>
              <w:left w:val="nil"/>
              <w:bottom w:val="single" w:color="auto" w:sz="4" w:space="0"/>
              <w:right w:val="single" w:color="auto" w:sz="4" w:space="0"/>
            </w:tcBorders>
          </w:tcPr>
          <w:p>
            <w:pPr>
              <w:widowControl/>
              <w:adjustRightInd w:val="0"/>
              <w:snapToGrid w:val="0"/>
              <w:jc w:val="left"/>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1.住宿旅客的机票、登机牌或打印旅客订座记录单（三者任选其一）</w:t>
            </w:r>
          </w:p>
        </w:tc>
        <w:tc>
          <w:tcPr>
            <w:tcW w:w="1239"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南航</w:t>
            </w:r>
          </w:p>
        </w:tc>
        <w:tc>
          <w:tcPr>
            <w:tcW w:w="2595" w:type="dxa"/>
            <w:vMerge w:val="continue"/>
            <w:tcBorders>
              <w:top w:val="nil"/>
              <w:left w:val="single" w:color="auto" w:sz="4" w:space="0"/>
              <w:bottom w:val="single" w:color="auto" w:sz="4" w:space="0"/>
              <w:right w:val="single" w:color="auto" w:sz="12" w:space="0"/>
            </w:tcBorders>
            <w:vAlign w:val="center"/>
          </w:tcPr>
          <w:p>
            <w:pPr>
              <w:widowControl/>
              <w:adjustRightInd w:val="0"/>
              <w:snapToGrid w:val="0"/>
              <w:jc w:val="left"/>
              <w:rPr>
                <w:rFonts w:hint="eastAsia" w:ascii="宋体" w:hAnsi="宋体" w:cs="宋体"/>
                <w:kern w:val="0"/>
                <w:sz w:val="20"/>
                <w:szCs w:val="20"/>
                <w:highlight w:val="none"/>
                <w:u w:val="single"/>
              </w:rPr>
            </w:pPr>
          </w:p>
        </w:tc>
      </w:tr>
      <w:tr>
        <w:tblPrEx>
          <w:tblCellMar>
            <w:top w:w="0" w:type="dxa"/>
            <w:left w:w="108" w:type="dxa"/>
            <w:bottom w:w="0" w:type="dxa"/>
            <w:right w:w="108" w:type="dxa"/>
          </w:tblCellMar>
        </w:tblPrEx>
        <w:trPr>
          <w:trHeight w:val="232" w:hRule="atLeast"/>
          <w:jc w:val="center"/>
        </w:trPr>
        <w:tc>
          <w:tcPr>
            <w:tcW w:w="1557" w:type="dxa"/>
            <w:vMerge w:val="continue"/>
            <w:tcBorders>
              <w:top w:val="nil"/>
              <w:left w:val="single" w:color="auto" w:sz="12" w:space="0"/>
              <w:bottom w:val="single" w:color="auto" w:sz="4" w:space="0"/>
              <w:right w:val="single" w:color="auto" w:sz="4" w:space="0"/>
            </w:tcBorders>
            <w:vAlign w:val="center"/>
          </w:tcPr>
          <w:p>
            <w:pPr>
              <w:widowControl/>
              <w:adjustRightInd w:val="0"/>
              <w:snapToGrid w:val="0"/>
              <w:jc w:val="left"/>
              <w:rPr>
                <w:rFonts w:hint="eastAsia" w:ascii="宋体" w:hAnsi="宋体" w:cs="宋体"/>
                <w:kern w:val="0"/>
                <w:sz w:val="20"/>
                <w:szCs w:val="20"/>
                <w:highlight w:val="none"/>
                <w:u w:val="single"/>
              </w:rPr>
            </w:pPr>
          </w:p>
        </w:tc>
        <w:tc>
          <w:tcPr>
            <w:tcW w:w="3809" w:type="dxa"/>
            <w:tcBorders>
              <w:top w:val="nil"/>
              <w:left w:val="nil"/>
              <w:bottom w:val="single" w:color="auto" w:sz="4" w:space="0"/>
              <w:right w:val="single" w:color="auto" w:sz="4" w:space="0"/>
            </w:tcBorders>
          </w:tcPr>
          <w:p>
            <w:pPr>
              <w:widowControl/>
              <w:adjustRightInd w:val="0"/>
              <w:snapToGrid w:val="0"/>
              <w:jc w:val="left"/>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2.《旅客食宿安排通知单》/系统选择</w:t>
            </w:r>
          </w:p>
        </w:tc>
        <w:tc>
          <w:tcPr>
            <w:tcW w:w="1239"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南航</w:t>
            </w:r>
          </w:p>
        </w:tc>
        <w:tc>
          <w:tcPr>
            <w:tcW w:w="2595" w:type="dxa"/>
            <w:vMerge w:val="continue"/>
            <w:tcBorders>
              <w:top w:val="nil"/>
              <w:left w:val="single" w:color="auto" w:sz="4" w:space="0"/>
              <w:bottom w:val="single" w:color="auto" w:sz="4" w:space="0"/>
              <w:right w:val="single" w:color="auto" w:sz="12" w:space="0"/>
            </w:tcBorders>
            <w:vAlign w:val="center"/>
          </w:tcPr>
          <w:p>
            <w:pPr>
              <w:widowControl/>
              <w:adjustRightInd w:val="0"/>
              <w:snapToGrid w:val="0"/>
              <w:jc w:val="left"/>
              <w:rPr>
                <w:rFonts w:hint="eastAsia" w:ascii="宋体" w:hAnsi="宋体" w:cs="宋体"/>
                <w:kern w:val="0"/>
                <w:sz w:val="20"/>
                <w:szCs w:val="20"/>
                <w:highlight w:val="none"/>
                <w:u w:val="single"/>
              </w:rPr>
            </w:pPr>
          </w:p>
        </w:tc>
      </w:tr>
      <w:tr>
        <w:tblPrEx>
          <w:tblCellMar>
            <w:top w:w="0" w:type="dxa"/>
            <w:left w:w="108" w:type="dxa"/>
            <w:bottom w:w="0" w:type="dxa"/>
            <w:right w:w="108" w:type="dxa"/>
          </w:tblCellMar>
        </w:tblPrEx>
        <w:trPr>
          <w:trHeight w:val="232" w:hRule="atLeast"/>
          <w:jc w:val="center"/>
        </w:trPr>
        <w:tc>
          <w:tcPr>
            <w:tcW w:w="1557" w:type="dxa"/>
            <w:vMerge w:val="continue"/>
            <w:tcBorders>
              <w:top w:val="nil"/>
              <w:left w:val="single" w:color="auto" w:sz="12" w:space="0"/>
              <w:bottom w:val="single" w:color="auto" w:sz="4" w:space="0"/>
              <w:right w:val="single" w:color="auto" w:sz="4" w:space="0"/>
            </w:tcBorders>
            <w:vAlign w:val="center"/>
          </w:tcPr>
          <w:p>
            <w:pPr>
              <w:widowControl/>
              <w:adjustRightInd w:val="0"/>
              <w:snapToGrid w:val="0"/>
              <w:jc w:val="left"/>
              <w:rPr>
                <w:rFonts w:hint="eastAsia" w:ascii="宋体" w:hAnsi="宋体" w:cs="宋体"/>
                <w:kern w:val="0"/>
                <w:sz w:val="20"/>
                <w:szCs w:val="20"/>
                <w:highlight w:val="none"/>
                <w:u w:val="single"/>
              </w:rPr>
            </w:pPr>
          </w:p>
        </w:tc>
        <w:tc>
          <w:tcPr>
            <w:tcW w:w="3809" w:type="dxa"/>
            <w:tcBorders>
              <w:top w:val="nil"/>
              <w:left w:val="nil"/>
              <w:bottom w:val="single" w:color="auto" w:sz="4" w:space="0"/>
              <w:right w:val="single" w:color="auto" w:sz="4" w:space="0"/>
            </w:tcBorders>
          </w:tcPr>
          <w:p>
            <w:pPr>
              <w:widowControl/>
              <w:adjustRightInd w:val="0"/>
              <w:snapToGrid w:val="0"/>
              <w:jc w:val="left"/>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3.旅客身份证件复印件</w:t>
            </w:r>
          </w:p>
        </w:tc>
        <w:tc>
          <w:tcPr>
            <w:tcW w:w="1239"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酒店</w:t>
            </w:r>
          </w:p>
        </w:tc>
        <w:tc>
          <w:tcPr>
            <w:tcW w:w="2595" w:type="dxa"/>
            <w:vMerge w:val="continue"/>
            <w:tcBorders>
              <w:top w:val="nil"/>
              <w:left w:val="single" w:color="auto" w:sz="4" w:space="0"/>
              <w:bottom w:val="single" w:color="auto" w:sz="4" w:space="0"/>
              <w:right w:val="single" w:color="auto" w:sz="12" w:space="0"/>
            </w:tcBorders>
            <w:vAlign w:val="center"/>
          </w:tcPr>
          <w:p>
            <w:pPr>
              <w:widowControl/>
              <w:adjustRightInd w:val="0"/>
              <w:snapToGrid w:val="0"/>
              <w:jc w:val="left"/>
              <w:rPr>
                <w:rFonts w:hint="eastAsia" w:ascii="宋体" w:hAnsi="宋体" w:cs="宋体"/>
                <w:kern w:val="0"/>
                <w:sz w:val="20"/>
                <w:szCs w:val="20"/>
                <w:highlight w:val="none"/>
                <w:u w:val="single"/>
              </w:rPr>
            </w:pPr>
          </w:p>
        </w:tc>
      </w:tr>
      <w:tr>
        <w:tblPrEx>
          <w:tblCellMar>
            <w:top w:w="0" w:type="dxa"/>
            <w:left w:w="108" w:type="dxa"/>
            <w:bottom w:w="0" w:type="dxa"/>
            <w:right w:w="108" w:type="dxa"/>
          </w:tblCellMar>
        </w:tblPrEx>
        <w:trPr>
          <w:trHeight w:val="232" w:hRule="atLeast"/>
          <w:jc w:val="center"/>
        </w:trPr>
        <w:tc>
          <w:tcPr>
            <w:tcW w:w="1557" w:type="dxa"/>
            <w:vMerge w:val="continue"/>
            <w:tcBorders>
              <w:top w:val="nil"/>
              <w:left w:val="single" w:color="auto" w:sz="12" w:space="0"/>
              <w:bottom w:val="single" w:color="auto" w:sz="4" w:space="0"/>
              <w:right w:val="single" w:color="auto" w:sz="4" w:space="0"/>
            </w:tcBorders>
            <w:vAlign w:val="center"/>
          </w:tcPr>
          <w:p>
            <w:pPr>
              <w:widowControl/>
              <w:adjustRightInd w:val="0"/>
              <w:snapToGrid w:val="0"/>
              <w:jc w:val="left"/>
              <w:rPr>
                <w:rFonts w:hint="eastAsia" w:ascii="宋体" w:hAnsi="宋体" w:cs="宋体"/>
                <w:kern w:val="0"/>
                <w:sz w:val="20"/>
                <w:szCs w:val="20"/>
                <w:highlight w:val="none"/>
                <w:u w:val="single"/>
              </w:rPr>
            </w:pPr>
          </w:p>
        </w:tc>
        <w:tc>
          <w:tcPr>
            <w:tcW w:w="3809" w:type="dxa"/>
            <w:tcBorders>
              <w:top w:val="nil"/>
              <w:left w:val="nil"/>
              <w:bottom w:val="single" w:color="auto" w:sz="4" w:space="0"/>
              <w:right w:val="single" w:color="auto" w:sz="4" w:space="0"/>
            </w:tcBorders>
          </w:tcPr>
          <w:p>
            <w:pPr>
              <w:widowControl/>
              <w:adjustRightInd w:val="0"/>
              <w:snapToGrid w:val="0"/>
              <w:jc w:val="left"/>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4.超售、溢出证明、授权书</w:t>
            </w:r>
          </w:p>
        </w:tc>
        <w:tc>
          <w:tcPr>
            <w:tcW w:w="1239"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南航</w:t>
            </w:r>
          </w:p>
        </w:tc>
        <w:tc>
          <w:tcPr>
            <w:tcW w:w="2595" w:type="dxa"/>
            <w:vMerge w:val="continue"/>
            <w:tcBorders>
              <w:top w:val="nil"/>
              <w:left w:val="single" w:color="auto" w:sz="4" w:space="0"/>
              <w:bottom w:val="single" w:color="auto" w:sz="4" w:space="0"/>
              <w:right w:val="single" w:color="auto" w:sz="12" w:space="0"/>
            </w:tcBorders>
            <w:vAlign w:val="center"/>
          </w:tcPr>
          <w:p>
            <w:pPr>
              <w:widowControl/>
              <w:adjustRightInd w:val="0"/>
              <w:snapToGrid w:val="0"/>
              <w:jc w:val="left"/>
              <w:rPr>
                <w:rFonts w:hint="eastAsia" w:ascii="宋体" w:hAnsi="宋体" w:cs="宋体"/>
                <w:kern w:val="0"/>
                <w:sz w:val="20"/>
                <w:szCs w:val="20"/>
                <w:highlight w:val="none"/>
                <w:u w:val="single"/>
              </w:rPr>
            </w:pPr>
          </w:p>
        </w:tc>
      </w:tr>
      <w:tr>
        <w:tblPrEx>
          <w:tblCellMar>
            <w:top w:w="0" w:type="dxa"/>
            <w:left w:w="108" w:type="dxa"/>
            <w:bottom w:w="0" w:type="dxa"/>
            <w:right w:w="108" w:type="dxa"/>
          </w:tblCellMar>
        </w:tblPrEx>
        <w:trPr>
          <w:trHeight w:val="232" w:hRule="atLeast"/>
          <w:jc w:val="center"/>
        </w:trPr>
        <w:tc>
          <w:tcPr>
            <w:tcW w:w="1557" w:type="dxa"/>
            <w:vMerge w:val="continue"/>
            <w:tcBorders>
              <w:top w:val="nil"/>
              <w:left w:val="single" w:color="auto" w:sz="12" w:space="0"/>
              <w:bottom w:val="single" w:color="auto" w:sz="4" w:space="0"/>
              <w:right w:val="single" w:color="auto" w:sz="4" w:space="0"/>
            </w:tcBorders>
            <w:vAlign w:val="center"/>
          </w:tcPr>
          <w:p>
            <w:pPr>
              <w:widowControl/>
              <w:adjustRightInd w:val="0"/>
              <w:snapToGrid w:val="0"/>
              <w:jc w:val="left"/>
              <w:rPr>
                <w:rFonts w:hint="eastAsia" w:ascii="宋体" w:hAnsi="宋体" w:cs="宋体"/>
                <w:kern w:val="0"/>
                <w:sz w:val="20"/>
                <w:szCs w:val="20"/>
                <w:highlight w:val="none"/>
                <w:u w:val="single"/>
              </w:rPr>
            </w:pPr>
          </w:p>
        </w:tc>
        <w:tc>
          <w:tcPr>
            <w:tcW w:w="3809" w:type="dxa"/>
            <w:tcBorders>
              <w:top w:val="nil"/>
              <w:left w:val="nil"/>
              <w:bottom w:val="single" w:color="auto" w:sz="4" w:space="0"/>
              <w:right w:val="single" w:color="auto" w:sz="4" w:space="0"/>
            </w:tcBorders>
          </w:tcPr>
          <w:p>
            <w:pPr>
              <w:widowControl/>
              <w:adjustRightInd w:val="0"/>
              <w:snapToGrid w:val="0"/>
              <w:jc w:val="left"/>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5.《超售住宿酒店结算明细表》</w:t>
            </w:r>
          </w:p>
        </w:tc>
        <w:tc>
          <w:tcPr>
            <w:tcW w:w="1239"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酒店</w:t>
            </w:r>
          </w:p>
        </w:tc>
        <w:tc>
          <w:tcPr>
            <w:tcW w:w="2595" w:type="dxa"/>
            <w:vMerge w:val="continue"/>
            <w:tcBorders>
              <w:top w:val="nil"/>
              <w:left w:val="single" w:color="auto" w:sz="4" w:space="0"/>
              <w:bottom w:val="single" w:color="auto" w:sz="4" w:space="0"/>
              <w:right w:val="single" w:color="auto" w:sz="12" w:space="0"/>
            </w:tcBorders>
            <w:vAlign w:val="center"/>
          </w:tcPr>
          <w:p>
            <w:pPr>
              <w:widowControl/>
              <w:adjustRightInd w:val="0"/>
              <w:snapToGrid w:val="0"/>
              <w:jc w:val="left"/>
              <w:rPr>
                <w:rFonts w:hint="eastAsia" w:ascii="宋体" w:hAnsi="宋体" w:cs="宋体"/>
                <w:kern w:val="0"/>
                <w:sz w:val="20"/>
                <w:szCs w:val="20"/>
                <w:highlight w:val="none"/>
                <w:u w:val="single"/>
              </w:rPr>
            </w:pPr>
          </w:p>
        </w:tc>
      </w:tr>
      <w:tr>
        <w:tblPrEx>
          <w:tblCellMar>
            <w:top w:w="0" w:type="dxa"/>
            <w:left w:w="108" w:type="dxa"/>
            <w:bottom w:w="0" w:type="dxa"/>
            <w:right w:w="108" w:type="dxa"/>
          </w:tblCellMar>
        </w:tblPrEx>
        <w:trPr>
          <w:trHeight w:val="1130" w:hRule="atLeast"/>
          <w:jc w:val="center"/>
        </w:trPr>
        <w:tc>
          <w:tcPr>
            <w:tcW w:w="1557" w:type="dxa"/>
            <w:vMerge w:val="restart"/>
            <w:tcBorders>
              <w:top w:val="nil"/>
              <w:left w:val="single" w:color="auto" w:sz="12" w:space="0"/>
              <w:bottom w:val="single" w:color="auto" w:sz="4"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 xml:space="preserve">中转衔接错失旅客住宿 </w:t>
            </w:r>
          </w:p>
        </w:tc>
        <w:tc>
          <w:tcPr>
            <w:tcW w:w="3809" w:type="dxa"/>
            <w:tcBorders>
              <w:top w:val="nil"/>
              <w:left w:val="nil"/>
              <w:bottom w:val="single" w:color="auto" w:sz="4" w:space="0"/>
              <w:right w:val="single" w:color="auto" w:sz="4" w:space="0"/>
            </w:tcBorders>
          </w:tcPr>
          <w:p>
            <w:pPr>
              <w:widowControl/>
              <w:adjustRightInd w:val="0"/>
              <w:snapToGrid w:val="0"/>
              <w:jc w:val="left"/>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1.住宿旅客的机票、登机牌或打印旅客订座记录单（中转前段延误旅客须打印至少三段订座记录；中转后段延误旅客须打印至少两段订座记录）/系统原文保存三段记录</w:t>
            </w:r>
          </w:p>
        </w:tc>
        <w:tc>
          <w:tcPr>
            <w:tcW w:w="1239"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南航</w:t>
            </w:r>
          </w:p>
        </w:tc>
        <w:tc>
          <w:tcPr>
            <w:tcW w:w="2595" w:type="dxa"/>
            <w:vMerge w:val="restart"/>
            <w:tcBorders>
              <w:top w:val="nil"/>
              <w:left w:val="single" w:color="auto" w:sz="4" w:space="0"/>
              <w:bottom w:val="single" w:color="000000" w:sz="12" w:space="0"/>
              <w:right w:val="single" w:color="auto" w:sz="12"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每月</w:t>
            </w:r>
            <w:r>
              <w:rPr>
                <w:rFonts w:hint="eastAsia" w:ascii="宋体" w:hAnsi="宋体" w:cs="宋体"/>
                <w:b/>
                <w:bCs/>
                <w:kern w:val="0"/>
                <w:sz w:val="20"/>
                <w:szCs w:val="20"/>
                <w:highlight w:val="none"/>
                <w:u w:val="single"/>
              </w:rPr>
              <w:t>8</w:t>
            </w:r>
            <w:r>
              <w:rPr>
                <w:rFonts w:hint="eastAsia" w:ascii="宋体" w:hAnsi="宋体" w:cs="宋体"/>
                <w:kern w:val="0"/>
                <w:sz w:val="20"/>
                <w:szCs w:val="20"/>
                <w:highlight w:val="none"/>
                <w:u w:val="single"/>
              </w:rPr>
              <w:t>号前完成坤翔系统退房手续，接收到南航账单通知后，三个工作日提供</w:t>
            </w:r>
            <w:r>
              <w:rPr>
                <w:rFonts w:hint="eastAsia" w:ascii="宋体" w:hAnsi="宋体" w:cs="宋体"/>
                <w:b/>
                <w:bCs/>
                <w:kern w:val="0"/>
                <w:sz w:val="20"/>
                <w:szCs w:val="20"/>
                <w:highlight w:val="none"/>
                <w:u w:val="single"/>
              </w:rPr>
              <w:t>结算汇总表</w:t>
            </w:r>
            <w:r>
              <w:rPr>
                <w:rFonts w:hint="eastAsia" w:ascii="宋体" w:hAnsi="宋体" w:cs="宋体"/>
                <w:kern w:val="0"/>
                <w:sz w:val="20"/>
                <w:szCs w:val="20"/>
                <w:highlight w:val="none"/>
                <w:u w:val="single"/>
              </w:rPr>
              <w:t>以及相应发票。</w:t>
            </w:r>
          </w:p>
        </w:tc>
      </w:tr>
      <w:tr>
        <w:tblPrEx>
          <w:tblCellMar>
            <w:top w:w="0" w:type="dxa"/>
            <w:left w:w="108" w:type="dxa"/>
            <w:bottom w:w="0" w:type="dxa"/>
            <w:right w:w="108" w:type="dxa"/>
          </w:tblCellMar>
        </w:tblPrEx>
        <w:trPr>
          <w:trHeight w:val="246" w:hRule="atLeast"/>
          <w:jc w:val="center"/>
        </w:trPr>
        <w:tc>
          <w:tcPr>
            <w:tcW w:w="1557" w:type="dxa"/>
            <w:vMerge w:val="continue"/>
            <w:tcBorders>
              <w:top w:val="nil"/>
              <w:left w:val="single" w:color="auto" w:sz="12" w:space="0"/>
              <w:bottom w:val="single" w:color="auto" w:sz="4" w:space="0"/>
              <w:right w:val="single" w:color="auto" w:sz="4" w:space="0"/>
            </w:tcBorders>
            <w:vAlign w:val="center"/>
          </w:tcPr>
          <w:p>
            <w:pPr>
              <w:widowControl/>
              <w:adjustRightInd w:val="0"/>
              <w:snapToGrid w:val="0"/>
              <w:jc w:val="left"/>
              <w:rPr>
                <w:rFonts w:hint="eastAsia" w:ascii="宋体" w:hAnsi="宋体" w:cs="宋体"/>
                <w:kern w:val="0"/>
                <w:sz w:val="20"/>
                <w:szCs w:val="20"/>
                <w:highlight w:val="none"/>
                <w:u w:val="single"/>
              </w:rPr>
            </w:pPr>
          </w:p>
        </w:tc>
        <w:tc>
          <w:tcPr>
            <w:tcW w:w="3809" w:type="dxa"/>
            <w:tcBorders>
              <w:top w:val="nil"/>
              <w:left w:val="nil"/>
              <w:bottom w:val="single" w:color="auto" w:sz="4" w:space="0"/>
              <w:right w:val="single" w:color="auto" w:sz="4" w:space="0"/>
            </w:tcBorders>
          </w:tcPr>
          <w:p>
            <w:pPr>
              <w:widowControl/>
              <w:adjustRightInd w:val="0"/>
              <w:snapToGrid w:val="0"/>
              <w:jc w:val="left"/>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2.旅客身份证件复印件上传/系统扫描</w:t>
            </w:r>
          </w:p>
        </w:tc>
        <w:tc>
          <w:tcPr>
            <w:tcW w:w="1239"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酒店</w:t>
            </w:r>
          </w:p>
        </w:tc>
        <w:tc>
          <w:tcPr>
            <w:tcW w:w="2595" w:type="dxa"/>
            <w:vMerge w:val="continue"/>
            <w:tcBorders>
              <w:top w:val="nil"/>
              <w:left w:val="single" w:color="auto" w:sz="4" w:space="0"/>
              <w:bottom w:val="single" w:color="000000" w:sz="12" w:space="0"/>
              <w:right w:val="single" w:color="auto" w:sz="12" w:space="0"/>
            </w:tcBorders>
            <w:vAlign w:val="center"/>
          </w:tcPr>
          <w:p>
            <w:pPr>
              <w:widowControl/>
              <w:adjustRightInd w:val="0"/>
              <w:snapToGrid w:val="0"/>
              <w:jc w:val="left"/>
              <w:rPr>
                <w:rFonts w:hint="eastAsia" w:ascii="宋体" w:hAnsi="宋体" w:cs="宋体"/>
                <w:kern w:val="0"/>
                <w:sz w:val="20"/>
                <w:szCs w:val="20"/>
                <w:highlight w:val="none"/>
                <w:u w:val="single"/>
              </w:rPr>
            </w:pPr>
          </w:p>
        </w:tc>
      </w:tr>
      <w:tr>
        <w:tblPrEx>
          <w:tblCellMar>
            <w:top w:w="0" w:type="dxa"/>
            <w:left w:w="108" w:type="dxa"/>
            <w:bottom w:w="0" w:type="dxa"/>
            <w:right w:w="108" w:type="dxa"/>
          </w:tblCellMar>
        </w:tblPrEx>
        <w:trPr>
          <w:trHeight w:val="367" w:hRule="atLeast"/>
          <w:jc w:val="center"/>
        </w:trPr>
        <w:tc>
          <w:tcPr>
            <w:tcW w:w="1557" w:type="dxa"/>
            <w:vMerge w:val="continue"/>
            <w:tcBorders>
              <w:top w:val="nil"/>
              <w:left w:val="single" w:color="auto" w:sz="12" w:space="0"/>
              <w:bottom w:val="single" w:color="auto" w:sz="4" w:space="0"/>
              <w:right w:val="single" w:color="auto" w:sz="4" w:space="0"/>
            </w:tcBorders>
            <w:vAlign w:val="center"/>
          </w:tcPr>
          <w:p>
            <w:pPr>
              <w:widowControl/>
              <w:adjustRightInd w:val="0"/>
              <w:snapToGrid w:val="0"/>
              <w:jc w:val="left"/>
              <w:rPr>
                <w:rFonts w:hint="eastAsia" w:ascii="宋体" w:hAnsi="宋体" w:cs="宋体"/>
                <w:kern w:val="0"/>
                <w:sz w:val="20"/>
                <w:szCs w:val="20"/>
                <w:highlight w:val="none"/>
                <w:u w:val="single"/>
              </w:rPr>
            </w:pPr>
          </w:p>
        </w:tc>
        <w:tc>
          <w:tcPr>
            <w:tcW w:w="3809" w:type="dxa"/>
            <w:tcBorders>
              <w:top w:val="nil"/>
              <w:left w:val="nil"/>
              <w:bottom w:val="single" w:color="auto" w:sz="4" w:space="0"/>
              <w:right w:val="single" w:color="auto" w:sz="4" w:space="0"/>
            </w:tcBorders>
          </w:tcPr>
          <w:p>
            <w:pPr>
              <w:widowControl/>
              <w:adjustRightInd w:val="0"/>
              <w:snapToGrid w:val="0"/>
              <w:jc w:val="left"/>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3.《中转延误酒店结算明细表》</w:t>
            </w:r>
          </w:p>
        </w:tc>
        <w:tc>
          <w:tcPr>
            <w:tcW w:w="1239"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酒店</w:t>
            </w:r>
          </w:p>
        </w:tc>
        <w:tc>
          <w:tcPr>
            <w:tcW w:w="2595" w:type="dxa"/>
            <w:vMerge w:val="continue"/>
            <w:tcBorders>
              <w:top w:val="nil"/>
              <w:left w:val="single" w:color="auto" w:sz="4" w:space="0"/>
              <w:bottom w:val="single" w:color="000000" w:sz="12" w:space="0"/>
              <w:right w:val="single" w:color="auto" w:sz="12" w:space="0"/>
            </w:tcBorders>
            <w:vAlign w:val="center"/>
          </w:tcPr>
          <w:p>
            <w:pPr>
              <w:widowControl/>
              <w:adjustRightInd w:val="0"/>
              <w:snapToGrid w:val="0"/>
              <w:jc w:val="left"/>
              <w:rPr>
                <w:rFonts w:hint="eastAsia" w:ascii="宋体" w:hAnsi="宋体" w:cs="宋体"/>
                <w:kern w:val="0"/>
                <w:sz w:val="20"/>
                <w:szCs w:val="20"/>
                <w:highlight w:val="none"/>
                <w:u w:val="single"/>
              </w:rPr>
            </w:pPr>
          </w:p>
        </w:tc>
      </w:tr>
      <w:tr>
        <w:tblPrEx>
          <w:tblCellMar>
            <w:top w:w="0" w:type="dxa"/>
            <w:left w:w="108" w:type="dxa"/>
            <w:bottom w:w="0" w:type="dxa"/>
            <w:right w:w="108" w:type="dxa"/>
          </w:tblCellMar>
        </w:tblPrEx>
        <w:trPr>
          <w:trHeight w:val="471" w:hRule="atLeast"/>
          <w:jc w:val="center"/>
        </w:trPr>
        <w:tc>
          <w:tcPr>
            <w:tcW w:w="1557" w:type="dxa"/>
            <w:vMerge w:val="restart"/>
            <w:tcBorders>
              <w:top w:val="nil"/>
              <w:left w:val="single" w:color="auto" w:sz="12" w:space="0"/>
              <w:bottom w:val="single" w:color="000000" w:sz="12"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 xml:space="preserve">遣返旅客住宿 </w:t>
            </w:r>
          </w:p>
        </w:tc>
        <w:tc>
          <w:tcPr>
            <w:tcW w:w="3809" w:type="dxa"/>
            <w:tcBorders>
              <w:top w:val="nil"/>
              <w:left w:val="nil"/>
              <w:bottom w:val="single" w:color="auto" w:sz="4" w:space="0"/>
              <w:right w:val="single" w:color="auto" w:sz="4" w:space="0"/>
            </w:tcBorders>
          </w:tcPr>
          <w:p>
            <w:pPr>
              <w:widowControl/>
              <w:adjustRightInd w:val="0"/>
              <w:snapToGrid w:val="0"/>
              <w:jc w:val="left"/>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1.遣返旅客的机票、登机牌或打印旅客订座记录单（三者任选其一）</w:t>
            </w:r>
          </w:p>
        </w:tc>
        <w:tc>
          <w:tcPr>
            <w:tcW w:w="1239" w:type="dxa"/>
            <w:tcBorders>
              <w:top w:val="nil"/>
              <w:left w:val="nil"/>
              <w:bottom w:val="single" w:color="auto" w:sz="4"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南航</w:t>
            </w:r>
          </w:p>
        </w:tc>
        <w:tc>
          <w:tcPr>
            <w:tcW w:w="2595" w:type="dxa"/>
            <w:vMerge w:val="continue"/>
            <w:tcBorders>
              <w:top w:val="nil"/>
              <w:left w:val="single" w:color="auto" w:sz="4" w:space="0"/>
              <w:bottom w:val="single" w:color="000000" w:sz="12" w:space="0"/>
              <w:right w:val="single" w:color="auto" w:sz="12" w:space="0"/>
            </w:tcBorders>
            <w:vAlign w:val="center"/>
          </w:tcPr>
          <w:p>
            <w:pPr>
              <w:widowControl/>
              <w:adjustRightInd w:val="0"/>
              <w:snapToGrid w:val="0"/>
              <w:jc w:val="left"/>
              <w:rPr>
                <w:rFonts w:hint="eastAsia" w:ascii="宋体" w:hAnsi="宋体" w:cs="宋体"/>
                <w:kern w:val="0"/>
                <w:sz w:val="20"/>
                <w:szCs w:val="20"/>
                <w:highlight w:val="none"/>
                <w:u w:val="single"/>
              </w:rPr>
            </w:pPr>
          </w:p>
        </w:tc>
      </w:tr>
      <w:tr>
        <w:tblPrEx>
          <w:tblCellMar>
            <w:top w:w="0" w:type="dxa"/>
            <w:left w:w="108" w:type="dxa"/>
            <w:bottom w:w="0" w:type="dxa"/>
            <w:right w:w="108" w:type="dxa"/>
          </w:tblCellMar>
        </w:tblPrEx>
        <w:trPr>
          <w:trHeight w:val="492" w:hRule="atLeast"/>
          <w:jc w:val="center"/>
        </w:trPr>
        <w:tc>
          <w:tcPr>
            <w:tcW w:w="1557" w:type="dxa"/>
            <w:vMerge w:val="continue"/>
            <w:tcBorders>
              <w:top w:val="nil"/>
              <w:left w:val="single" w:color="auto" w:sz="12" w:space="0"/>
              <w:bottom w:val="single" w:color="000000" w:sz="12" w:space="0"/>
              <w:right w:val="single" w:color="auto" w:sz="4" w:space="0"/>
            </w:tcBorders>
            <w:vAlign w:val="center"/>
          </w:tcPr>
          <w:p>
            <w:pPr>
              <w:widowControl/>
              <w:adjustRightInd w:val="0"/>
              <w:snapToGrid w:val="0"/>
              <w:jc w:val="left"/>
              <w:rPr>
                <w:rFonts w:hint="eastAsia" w:ascii="宋体" w:hAnsi="宋体" w:cs="宋体"/>
                <w:kern w:val="0"/>
                <w:sz w:val="20"/>
                <w:szCs w:val="20"/>
                <w:highlight w:val="none"/>
                <w:u w:val="single"/>
              </w:rPr>
            </w:pPr>
          </w:p>
        </w:tc>
        <w:tc>
          <w:tcPr>
            <w:tcW w:w="3809" w:type="dxa"/>
            <w:tcBorders>
              <w:top w:val="nil"/>
              <w:left w:val="nil"/>
              <w:bottom w:val="single" w:color="auto" w:sz="12" w:space="0"/>
              <w:right w:val="single" w:color="auto" w:sz="4" w:space="0"/>
            </w:tcBorders>
          </w:tcPr>
          <w:p>
            <w:pPr>
              <w:widowControl/>
              <w:adjustRightInd w:val="0"/>
              <w:snapToGrid w:val="0"/>
              <w:jc w:val="left"/>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2.旅客、边防陪住工作人员的身份证件复印件</w:t>
            </w:r>
          </w:p>
        </w:tc>
        <w:tc>
          <w:tcPr>
            <w:tcW w:w="1239" w:type="dxa"/>
            <w:tcBorders>
              <w:top w:val="nil"/>
              <w:left w:val="nil"/>
              <w:bottom w:val="single" w:color="auto" w:sz="12" w:space="0"/>
              <w:right w:val="single" w:color="auto" w:sz="4" w:space="0"/>
            </w:tcBorders>
            <w:vAlign w:val="center"/>
          </w:tcPr>
          <w:p>
            <w:pPr>
              <w:widowControl/>
              <w:adjustRightInd w:val="0"/>
              <w:snapToGrid w:val="0"/>
              <w:jc w:val="center"/>
              <w:rPr>
                <w:rFonts w:hint="eastAsia" w:ascii="宋体" w:hAnsi="宋体" w:cs="宋体"/>
                <w:kern w:val="0"/>
                <w:sz w:val="20"/>
                <w:szCs w:val="20"/>
                <w:highlight w:val="none"/>
                <w:u w:val="single"/>
              </w:rPr>
            </w:pPr>
            <w:r>
              <w:rPr>
                <w:rFonts w:hint="eastAsia" w:ascii="宋体" w:hAnsi="宋体" w:cs="宋体"/>
                <w:kern w:val="0"/>
                <w:sz w:val="20"/>
                <w:szCs w:val="20"/>
                <w:highlight w:val="none"/>
                <w:u w:val="single"/>
              </w:rPr>
              <w:t>酒店</w:t>
            </w:r>
          </w:p>
        </w:tc>
        <w:tc>
          <w:tcPr>
            <w:tcW w:w="2595" w:type="dxa"/>
            <w:vMerge w:val="continue"/>
            <w:tcBorders>
              <w:top w:val="nil"/>
              <w:left w:val="single" w:color="auto" w:sz="4" w:space="0"/>
              <w:bottom w:val="single" w:color="000000" w:sz="12" w:space="0"/>
              <w:right w:val="single" w:color="auto" w:sz="12" w:space="0"/>
            </w:tcBorders>
            <w:vAlign w:val="center"/>
          </w:tcPr>
          <w:p>
            <w:pPr>
              <w:widowControl/>
              <w:adjustRightInd w:val="0"/>
              <w:snapToGrid w:val="0"/>
              <w:jc w:val="left"/>
              <w:rPr>
                <w:rFonts w:hint="eastAsia" w:ascii="宋体" w:hAnsi="宋体" w:cs="宋体"/>
                <w:kern w:val="0"/>
                <w:sz w:val="20"/>
                <w:szCs w:val="20"/>
                <w:highlight w:val="none"/>
                <w:u w:val="single"/>
              </w:rPr>
            </w:pPr>
          </w:p>
        </w:tc>
      </w:tr>
    </w:tbl>
    <w:p>
      <w:pPr>
        <w:spacing w:line="360" w:lineRule="auto"/>
        <w:ind w:firstLine="15"/>
        <w:rPr>
          <w:rFonts w:hint="eastAsia" w:ascii="宋体" w:hAnsi="宋体" w:cs="宋体"/>
          <w:szCs w:val="21"/>
          <w:highlight w:val="none"/>
        </w:rPr>
      </w:pPr>
    </w:p>
    <w:p>
      <w:pPr>
        <w:spacing w:line="360" w:lineRule="auto"/>
        <w:ind w:firstLine="15"/>
        <w:rPr>
          <w:rFonts w:hint="eastAsia" w:ascii="宋体" w:hAnsi="宋体" w:cs="宋体"/>
          <w:szCs w:val="21"/>
          <w:highlight w:val="none"/>
        </w:rPr>
      </w:pPr>
    </w:p>
    <w:p>
      <w:pPr>
        <w:spacing w:line="360" w:lineRule="auto"/>
        <w:ind w:firstLine="15"/>
        <w:rPr>
          <w:rFonts w:hint="eastAsia" w:ascii="宋体" w:hAnsi="宋体" w:cs="宋体"/>
          <w:szCs w:val="21"/>
          <w:highlight w:val="none"/>
        </w:rPr>
      </w:pPr>
    </w:p>
    <w:p>
      <w:pPr>
        <w:spacing w:line="360" w:lineRule="auto"/>
        <w:ind w:firstLine="15"/>
        <w:rPr>
          <w:rFonts w:hint="eastAsia" w:ascii="宋体" w:hAnsi="宋体" w:cs="宋体"/>
          <w:szCs w:val="21"/>
          <w:highlight w:val="none"/>
        </w:rPr>
      </w:pPr>
    </w:p>
    <w:p>
      <w:pPr>
        <w:adjustRightInd w:val="0"/>
        <w:snapToGrid w:val="0"/>
        <w:spacing w:line="420" w:lineRule="exact"/>
        <w:ind w:firstLine="15"/>
        <w:rPr>
          <w:rFonts w:hint="eastAsia" w:ascii="宋体" w:hAnsi="宋体" w:cs="宋体"/>
          <w:szCs w:val="21"/>
          <w:highlight w:val="none"/>
        </w:rPr>
        <w:sectPr>
          <w:footerReference r:id="rId5" w:type="default"/>
          <w:pgSz w:w="11906" w:h="16838"/>
          <w:pgMar w:top="1440" w:right="1519" w:bottom="1383" w:left="1519" w:header="851" w:footer="992" w:gutter="0"/>
          <w:cols w:space="720" w:num="1"/>
          <w:docGrid w:type="lines" w:linePitch="312" w:charSpace="0"/>
        </w:sectPr>
      </w:pPr>
    </w:p>
    <w:p>
      <w:pPr>
        <w:widowControl/>
        <w:rPr>
          <w:highlight w:val="none"/>
        </w:rPr>
      </w:pPr>
      <w:r>
        <w:rPr>
          <w:rFonts w:hint="eastAsia"/>
          <w:highlight w:val="none"/>
        </w:rPr>
        <w:t>附件2：</w:t>
      </w:r>
    </w:p>
    <w:p>
      <w:pPr>
        <w:adjustRightInd w:val="0"/>
        <w:snapToGrid w:val="0"/>
        <w:spacing w:line="360" w:lineRule="exact"/>
        <w:jc w:val="center"/>
        <w:rPr>
          <w:rFonts w:hint="eastAsia" w:ascii="宋体" w:hAnsi="宋体" w:cs="宋体"/>
          <w:sz w:val="20"/>
          <w:szCs w:val="20"/>
          <w:highlight w:val="none"/>
        </w:rPr>
      </w:pPr>
      <w:r>
        <w:rPr>
          <w:rFonts w:hint="eastAsia" w:ascii="宋体" w:hAnsi="宋体" w:cs="宋体"/>
          <w:b/>
          <w:bCs/>
          <w:sz w:val="24"/>
          <w:highlight w:val="none"/>
        </w:rPr>
        <w:t>廉洁合作约定书</w:t>
      </w:r>
      <w:r>
        <w:rPr>
          <w:rFonts w:hint="eastAsia" w:ascii="宋体" w:hAnsi="宋体" w:cs="宋体"/>
          <w:sz w:val="28"/>
          <w:szCs w:val="28"/>
          <w:highlight w:val="none"/>
        </w:rPr>
        <w:br w:type="textWrapping"/>
      </w:r>
    </w:p>
    <w:p>
      <w:pPr>
        <w:adjustRightInd w:val="0"/>
        <w:snapToGrid w:val="0"/>
        <w:spacing w:line="360" w:lineRule="exact"/>
        <w:ind w:left="350" w:hanging="350" w:hangingChars="175"/>
        <w:rPr>
          <w:rFonts w:hint="eastAsia" w:ascii="宋体" w:hAnsi="宋体" w:cs="宋体"/>
          <w:sz w:val="20"/>
          <w:szCs w:val="20"/>
          <w:highlight w:val="none"/>
        </w:rPr>
      </w:pPr>
      <w:r>
        <w:rPr>
          <w:rFonts w:hint="eastAsia" w:ascii="宋体" w:hAnsi="宋体" w:cs="宋体"/>
          <w:sz w:val="20"/>
          <w:szCs w:val="20"/>
          <w:highlight w:val="none"/>
        </w:rPr>
        <w:t>甲方：【中国南方航空股份有限公司】</w:t>
      </w:r>
    </w:p>
    <w:p>
      <w:pPr>
        <w:adjustRightInd w:val="0"/>
        <w:snapToGrid w:val="0"/>
        <w:spacing w:line="360" w:lineRule="exact"/>
        <w:ind w:left="350" w:hanging="350" w:hangingChars="175"/>
        <w:rPr>
          <w:rFonts w:hint="eastAsia" w:ascii="宋体" w:hAnsi="宋体" w:cs="宋体"/>
          <w:sz w:val="20"/>
          <w:szCs w:val="20"/>
          <w:highlight w:val="none"/>
        </w:rPr>
      </w:pPr>
      <w:r>
        <w:rPr>
          <w:rFonts w:hint="eastAsia" w:ascii="宋体" w:hAnsi="宋体" w:cs="宋体"/>
          <w:sz w:val="20"/>
          <w:szCs w:val="20"/>
          <w:highlight w:val="none"/>
        </w:rPr>
        <w:t>乙方：</w:t>
      </w:r>
      <w:r>
        <w:rPr>
          <w:rFonts w:hint="eastAsia" w:ascii="宋体" w:hAnsi="宋体" w:cs="宋体"/>
          <w:sz w:val="20"/>
          <w:szCs w:val="20"/>
          <w:highlight w:val="none"/>
          <w:u w:val="single"/>
        </w:rPr>
        <w:t>【                        】</w:t>
      </w:r>
    </w:p>
    <w:p>
      <w:pPr>
        <w:adjustRightInd w:val="0"/>
        <w:snapToGrid w:val="0"/>
        <w:spacing w:line="360" w:lineRule="exact"/>
        <w:rPr>
          <w:rFonts w:hint="eastAsia" w:ascii="宋体" w:hAnsi="宋体" w:cs="宋体"/>
          <w:sz w:val="20"/>
          <w:szCs w:val="20"/>
          <w:highlight w:val="none"/>
        </w:rPr>
      </w:pPr>
    </w:p>
    <w:p>
      <w:pPr>
        <w:adjustRightInd w:val="0"/>
        <w:snapToGrid w:val="0"/>
        <w:spacing w:line="360" w:lineRule="exact"/>
        <w:ind w:firstLine="384" w:firstLineChars="192"/>
        <w:rPr>
          <w:rFonts w:hint="eastAsia" w:ascii="宋体" w:hAnsi="宋体" w:cs="宋体"/>
          <w:sz w:val="20"/>
          <w:szCs w:val="20"/>
          <w:highlight w:val="none"/>
        </w:rPr>
      </w:pPr>
      <w:r>
        <w:rPr>
          <w:rFonts w:hint="eastAsia" w:ascii="宋体" w:hAnsi="宋体" w:cs="宋体"/>
          <w:sz w:val="20"/>
          <w:szCs w:val="20"/>
          <w:highlight w:val="none"/>
        </w:rPr>
        <w:t>本着合法交易、公平公正、互利共赢原则，为建立并巩固长期合作关系，保障合作的规范与廉洁，双方就廉洁合作相关事宜达成如下一致：</w:t>
      </w:r>
    </w:p>
    <w:p>
      <w:pPr>
        <w:adjustRightInd w:val="0"/>
        <w:snapToGrid w:val="0"/>
        <w:spacing w:line="360" w:lineRule="exact"/>
        <w:ind w:firstLine="386" w:firstLineChars="192"/>
        <w:rPr>
          <w:rFonts w:hint="eastAsia" w:ascii="宋体" w:hAnsi="宋体" w:cs="宋体"/>
          <w:b/>
          <w:bCs/>
          <w:sz w:val="20"/>
          <w:szCs w:val="20"/>
          <w:highlight w:val="none"/>
        </w:rPr>
      </w:pPr>
      <w:r>
        <w:rPr>
          <w:rFonts w:hint="eastAsia" w:ascii="宋体" w:hAnsi="宋体" w:cs="宋体"/>
          <w:b/>
          <w:bCs/>
          <w:sz w:val="20"/>
          <w:szCs w:val="20"/>
          <w:highlight w:val="none"/>
        </w:rPr>
        <w:t>一、定义与名词解释：</w:t>
      </w:r>
    </w:p>
    <w:p>
      <w:pPr>
        <w:adjustRightInd w:val="0"/>
        <w:snapToGrid w:val="0"/>
        <w:spacing w:line="360" w:lineRule="exact"/>
        <w:ind w:firstLine="384" w:firstLineChars="192"/>
        <w:rPr>
          <w:rFonts w:hint="eastAsia" w:ascii="宋体" w:hAnsi="宋体" w:cs="宋体"/>
          <w:sz w:val="20"/>
          <w:szCs w:val="20"/>
          <w:highlight w:val="none"/>
        </w:rPr>
      </w:pPr>
      <w:r>
        <w:rPr>
          <w:rFonts w:hint="eastAsia" w:ascii="宋体" w:hAnsi="宋体" w:cs="宋体"/>
          <w:sz w:val="20"/>
          <w:szCs w:val="20"/>
          <w:highlight w:val="none"/>
        </w:rPr>
        <w:t>下列用于本约定书的文字，除依据其文义需做另外的解释外，均依本条要求解释：</w:t>
      </w:r>
    </w:p>
    <w:p>
      <w:pPr>
        <w:numPr>
          <w:ilvl w:val="0"/>
          <w:numId w:val="5"/>
        </w:numPr>
        <w:adjustRightInd w:val="0"/>
        <w:snapToGrid w:val="0"/>
        <w:spacing w:line="360" w:lineRule="exact"/>
        <w:ind w:firstLine="384" w:firstLineChars="192"/>
        <w:rPr>
          <w:rFonts w:hint="eastAsia" w:ascii="宋体" w:hAnsi="宋体" w:cs="宋体"/>
          <w:sz w:val="20"/>
          <w:szCs w:val="20"/>
          <w:highlight w:val="none"/>
        </w:rPr>
      </w:pPr>
      <w:r>
        <w:rPr>
          <w:rFonts w:hint="eastAsia" w:ascii="宋体" w:hAnsi="宋体" w:cs="宋体"/>
          <w:sz w:val="20"/>
          <w:szCs w:val="20"/>
          <w:highlight w:val="none"/>
        </w:rPr>
        <w:t>甲方：除作为本约定书主体外，本约定书所指甲方包含甲方及其关联企业；</w:t>
      </w:r>
    </w:p>
    <w:p>
      <w:pPr>
        <w:numPr>
          <w:ilvl w:val="0"/>
          <w:numId w:val="5"/>
        </w:numPr>
        <w:adjustRightInd w:val="0"/>
        <w:snapToGrid w:val="0"/>
        <w:spacing w:line="360" w:lineRule="exact"/>
        <w:ind w:firstLine="384" w:firstLineChars="192"/>
        <w:rPr>
          <w:rFonts w:hint="eastAsia" w:ascii="宋体" w:hAnsi="宋体" w:cs="宋体"/>
          <w:sz w:val="20"/>
          <w:szCs w:val="20"/>
          <w:highlight w:val="none"/>
        </w:rPr>
      </w:pPr>
      <w:r>
        <w:rPr>
          <w:rFonts w:hint="eastAsia" w:ascii="宋体" w:hAnsi="宋体" w:cs="宋体"/>
          <w:sz w:val="20"/>
          <w:szCs w:val="20"/>
          <w:highlight w:val="none"/>
        </w:rPr>
        <w:t>乙方：除作为本约定书主体外，本约定书所指乙方包含乙方及其关联企业；</w:t>
      </w:r>
    </w:p>
    <w:p>
      <w:pPr>
        <w:numPr>
          <w:ilvl w:val="0"/>
          <w:numId w:val="5"/>
        </w:numPr>
        <w:adjustRightInd w:val="0"/>
        <w:snapToGrid w:val="0"/>
        <w:spacing w:line="360" w:lineRule="exact"/>
        <w:ind w:firstLine="384" w:firstLineChars="192"/>
        <w:rPr>
          <w:rFonts w:hint="eastAsia" w:ascii="宋体" w:hAnsi="宋体" w:cs="宋体"/>
          <w:sz w:val="20"/>
          <w:szCs w:val="20"/>
          <w:highlight w:val="none"/>
        </w:rPr>
      </w:pPr>
      <w:r>
        <w:rPr>
          <w:rFonts w:hint="eastAsia" w:ascii="宋体" w:hAnsi="宋体" w:cs="宋体"/>
          <w:sz w:val="20"/>
          <w:szCs w:val="20"/>
          <w:highlight w:val="none"/>
        </w:rPr>
        <w:t>利害关系人：指一方员工近亲属及其他关系密切或有利益往来的亲友；</w:t>
      </w:r>
    </w:p>
    <w:p>
      <w:pPr>
        <w:numPr>
          <w:ilvl w:val="0"/>
          <w:numId w:val="5"/>
        </w:numPr>
        <w:adjustRightInd w:val="0"/>
        <w:snapToGrid w:val="0"/>
        <w:spacing w:line="360" w:lineRule="exact"/>
        <w:ind w:firstLine="384" w:firstLineChars="192"/>
        <w:rPr>
          <w:rFonts w:hint="eastAsia" w:ascii="宋体" w:hAnsi="宋体" w:cs="宋体"/>
          <w:sz w:val="20"/>
          <w:szCs w:val="20"/>
          <w:highlight w:val="none"/>
        </w:rPr>
      </w:pPr>
      <w:r>
        <w:rPr>
          <w:rFonts w:hint="eastAsia" w:ascii="宋体" w:hAnsi="宋体" w:cs="宋体"/>
          <w:sz w:val="20"/>
          <w:szCs w:val="20"/>
          <w:highlight w:val="none"/>
        </w:rPr>
        <w:t>关联企业：如一方与另一公司、企业和其他经济组织（以下统称为另一企业）至少存在一种或多种如下关联关系的，则该两个企业互为关联企业。“关联关系”是指一方与另一企业存在如下关系的一种或多种：</w:t>
      </w:r>
    </w:p>
    <w:p>
      <w:pPr>
        <w:numPr>
          <w:ilvl w:val="0"/>
          <w:numId w:val="6"/>
        </w:num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相互间直接或间接持有其中一方的股份总和达到5%或以上的；</w:t>
      </w:r>
    </w:p>
    <w:p>
      <w:pPr>
        <w:numPr>
          <w:ilvl w:val="0"/>
          <w:numId w:val="6"/>
        </w:num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直接或间接同为第三者拥有或控制股份达到5%或以上的；</w:t>
      </w:r>
    </w:p>
    <w:p>
      <w:pPr>
        <w:numPr>
          <w:ilvl w:val="0"/>
          <w:numId w:val="6"/>
        </w:num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一方与另一企业之间借贷资金占自有资金50%或以上或一方借贷资金总额的10%或以上是由另一企业担保的，或者相反情况；</w:t>
      </w:r>
    </w:p>
    <w:p>
      <w:pPr>
        <w:numPr>
          <w:ilvl w:val="0"/>
          <w:numId w:val="6"/>
        </w:num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一方董事或经理等高级管理人是由另一企业所委派的，或者相反情况；</w:t>
      </w:r>
    </w:p>
    <w:p>
      <w:pPr>
        <w:numPr>
          <w:ilvl w:val="0"/>
          <w:numId w:val="6"/>
        </w:num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一方的生产经营活动必须由另一企业提供特许权利（包括工业产权、专有技术等）才能正常进行的；</w:t>
      </w:r>
    </w:p>
    <w:p>
      <w:pPr>
        <w:numPr>
          <w:ilvl w:val="0"/>
          <w:numId w:val="6"/>
        </w:num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一方生产经营购进的原材料、零配件等（包括价格及交易条件等）是由另一企业所控制或供应的，或者相反情况；</w:t>
      </w:r>
    </w:p>
    <w:p>
      <w:pPr>
        <w:numPr>
          <w:ilvl w:val="0"/>
          <w:numId w:val="6"/>
        </w:num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一方生产的产品或商品的销售（包括价格及交易条件等）是由另一企业控制的，或者相反情况；</w:t>
      </w:r>
    </w:p>
    <w:p>
      <w:pPr>
        <w:numPr>
          <w:ilvl w:val="0"/>
          <w:numId w:val="6"/>
        </w:num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对一方生产经营、交易具有实际控制的其他利益上相关联的关系（包括但不限于家族、亲属关系等）；</w:t>
      </w:r>
    </w:p>
    <w:p>
      <w:pPr>
        <w:numPr>
          <w:ilvl w:val="0"/>
          <w:numId w:val="6"/>
        </w:num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持有上述第1-8项所述企业5%以上（含）股份的股东、出资人，或者为员工激励、持股计划、股权投资而设立的直接或间接持有上述第1-8项企业股权的股东；</w:t>
      </w:r>
    </w:p>
    <w:p>
      <w:pPr>
        <w:adjustRightInd w:val="0"/>
        <w:snapToGrid w:val="0"/>
        <w:spacing w:line="360" w:lineRule="exact"/>
        <w:rPr>
          <w:rFonts w:hint="eastAsia" w:ascii="宋体" w:hAnsi="宋体" w:cs="宋体"/>
          <w:sz w:val="20"/>
          <w:szCs w:val="20"/>
          <w:highlight w:val="none"/>
        </w:rPr>
      </w:pPr>
      <w:r>
        <w:rPr>
          <w:rFonts w:hint="eastAsia" w:ascii="宋体" w:hAnsi="宋体" w:cs="宋体"/>
          <w:sz w:val="20"/>
          <w:szCs w:val="20"/>
          <w:highlight w:val="none"/>
        </w:rPr>
        <w:t xml:space="preserve">  （五）不正当利益：指违反国家法律、法规以及甲方公司制度的利益，以及要求甲方提供违反国家法律、法规及甲方公司制度的帮助或便利条件，包括但不限于以下情形：</w:t>
      </w:r>
    </w:p>
    <w:p>
      <w:pPr>
        <w:numPr>
          <w:ilvl w:val="0"/>
          <w:numId w:val="7"/>
        </w:num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向甲方员工或利害关系人提供、承诺或给予“酬金”、“回扣”等任何形式的现金、有价物品或应由其个人自付的各种费用，包括但不限于住宅装修、婚丧嫁娶、旅游度假及其它娱乐活动、食宿、健身、购物、学费、子女出国留学等；</w:t>
      </w:r>
    </w:p>
    <w:p>
      <w:pPr>
        <w:numPr>
          <w:ilvl w:val="0"/>
          <w:numId w:val="7"/>
        </w:num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向甲方员工或利害关系人提供各种形式劳务报酬、提成、经营分红等；</w:t>
      </w:r>
    </w:p>
    <w:p>
      <w:pPr>
        <w:numPr>
          <w:ilvl w:val="0"/>
          <w:numId w:val="7"/>
        </w:num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向甲方员工或利害关系人以结婚、生日、丧葬等名义赠送礼金；</w:t>
      </w:r>
    </w:p>
    <w:p>
      <w:pPr>
        <w:numPr>
          <w:ilvl w:val="0"/>
          <w:numId w:val="7"/>
        </w:num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向甲方员工或利害关系人以不合理的低价或免费借用金钱、汽车、房屋等财物，或以不合理的高价从甲方借/租入金钱、汽车、房屋等财物；</w:t>
      </w:r>
    </w:p>
    <w:p>
      <w:pPr>
        <w:numPr>
          <w:ilvl w:val="0"/>
          <w:numId w:val="7"/>
        </w:num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与甲方员工或利害关系人进行含金钱性质的棋牌娱乐类活动、赌博性活动；</w:t>
      </w:r>
    </w:p>
    <w:p>
      <w:pPr>
        <w:numPr>
          <w:ilvl w:val="0"/>
          <w:numId w:val="7"/>
        </w:num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为甲方员工或利害关系人提供持股（含干股、暗股，不含证券市场小宗交易）、顾问、直接或间接参与经营等机会或便利；</w:t>
      </w:r>
    </w:p>
    <w:p>
      <w:pPr>
        <w:numPr>
          <w:ilvl w:val="0"/>
          <w:numId w:val="7"/>
        </w:num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利用甲方或其利害关系人的便利为乙方谋取交易机会；</w:t>
      </w:r>
    </w:p>
    <w:p>
      <w:pPr>
        <w:numPr>
          <w:ilvl w:val="0"/>
          <w:numId w:val="7"/>
        </w:num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其他违背诚信原则、职业道德从甲方或通过甲方获取利益的情形。</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（六）限制交易供应商名单：是指南航集团记录重大违规违法行为企业的汇总名单，被列入限制交易供应商名单的企业及其关联企业依据限制交易认定等级在相应限制期内不得与南航集团各单位进行业务合作。</w:t>
      </w:r>
    </w:p>
    <w:p>
      <w:pPr>
        <w:adjustRightInd w:val="0"/>
        <w:snapToGrid w:val="0"/>
        <w:spacing w:line="360" w:lineRule="exact"/>
        <w:ind w:firstLine="402" w:firstLineChars="200"/>
        <w:rPr>
          <w:rFonts w:hint="eastAsia" w:ascii="宋体" w:hAnsi="宋体" w:cs="宋体"/>
          <w:b/>
          <w:bCs/>
          <w:sz w:val="20"/>
          <w:szCs w:val="20"/>
          <w:highlight w:val="none"/>
        </w:rPr>
      </w:pPr>
      <w:r>
        <w:rPr>
          <w:rFonts w:hint="eastAsia" w:ascii="宋体" w:hAnsi="宋体" w:cs="宋体"/>
          <w:b/>
          <w:bCs/>
          <w:sz w:val="20"/>
          <w:szCs w:val="20"/>
          <w:highlight w:val="none"/>
        </w:rPr>
        <w:t>二、乙方违反以下行为要求时，甲方有权按照本约定书第五条违约责任进行处理：</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1、乙方声明并保证因与甲方签署或履行协议而提供给甲方的全部信息、材料是真实、完整、正确、合法、有效的，不存在虚假、欺瞒、伪造。</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2、乙方保证依法开展经营活动，尤其不得进行任何形式的商业贿赂行为。一旦发现有任何涉及甲方的商业贿赂行为，乙方应立即通知甲方，并进行查处和整改。</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3、乙方不得以任何方式直接或间接允诺向甲方员工或其利害关系人发生任何不正当利益往来。</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4、乙方承诺不恶意诽谤、诬告、陷害甲方员工或其它竞争对手。</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5、乙方在与甲方合作过程中不得发生其他形式的违反法律法规、社会公序良俗，或违背诚实信用、公平交易原则的行为，或其它可能造成甲方员工被司法机关认定为职务犯罪或被行政执法机关处罚的行为。</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6、乙方声明在双方业务往来期间及合作终止后3年内不对甲方的员工（包括但不限于董事、经理、员工等）采取任何手段使其离开甲方到乙方或乙方关联企业、乙方客户单位工作或任职。</w:t>
      </w:r>
    </w:p>
    <w:p>
      <w:pPr>
        <w:adjustRightInd w:val="0"/>
        <w:snapToGrid w:val="0"/>
        <w:spacing w:line="360" w:lineRule="exact"/>
        <w:ind w:firstLine="402" w:firstLineChars="200"/>
        <w:rPr>
          <w:rFonts w:hint="eastAsia" w:ascii="宋体" w:hAnsi="宋体" w:cs="宋体"/>
          <w:b/>
          <w:bCs/>
          <w:sz w:val="20"/>
          <w:szCs w:val="20"/>
          <w:highlight w:val="none"/>
        </w:rPr>
      </w:pPr>
      <w:r>
        <w:rPr>
          <w:rFonts w:hint="eastAsia" w:ascii="宋体" w:hAnsi="宋体" w:cs="宋体"/>
          <w:b/>
          <w:bCs/>
          <w:sz w:val="20"/>
          <w:szCs w:val="20"/>
          <w:highlight w:val="none"/>
        </w:rPr>
        <w:t>三、甲方权利义务</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1、禁止甲方员工与乙方发生任何不正当利益往来，如发现此类问题，甲方有权按照乙方提供的举报方式进行举报。</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2、甲方鼓励乙方举报甲方员工违规行为，甲方承诺对乙方的举报严格保密，并及时予以查实和处理。</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3、甲方有权对不正当利益行为进行调查，情节严重的，有权移送司法机关。</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4、若甲方发现乙方或其业务合作伙伴可能存在已违反或将违反本约定书的情形，甲方有权对乙方就该特定事项进行审计、检查；同时甲方有权就双方之间的交易进行定期审计、检查。具体措施包括但不限于：就合规政策、培训和监督进行问卷调查；监测交易以发现可能的商业贿赂迹象；检查乙方与甲方之间业务协议中涉及的活动和/或因此开展的活动的政策方针、流程、账簿和记录等。</w:t>
      </w:r>
    </w:p>
    <w:p>
      <w:pPr>
        <w:adjustRightInd w:val="0"/>
        <w:snapToGrid w:val="0"/>
        <w:spacing w:line="360" w:lineRule="exact"/>
        <w:ind w:firstLine="402" w:firstLineChars="200"/>
        <w:rPr>
          <w:rFonts w:hint="eastAsia" w:ascii="宋体" w:hAnsi="宋体" w:cs="宋体"/>
          <w:b/>
          <w:bCs/>
          <w:sz w:val="20"/>
          <w:szCs w:val="20"/>
          <w:highlight w:val="none"/>
        </w:rPr>
      </w:pPr>
      <w:r>
        <w:rPr>
          <w:rFonts w:hint="eastAsia" w:ascii="宋体" w:hAnsi="宋体" w:cs="宋体"/>
          <w:b/>
          <w:bCs/>
          <w:sz w:val="20"/>
          <w:szCs w:val="20"/>
          <w:highlight w:val="none"/>
        </w:rPr>
        <w:t>四、乙方权利义务</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1、乙方确认知晓双方签署本约定书的目的，理解甲方对双方廉洁合作的重大关切，明白违反廉洁行为的后果，同意定期向乙方公司员工宣传贯彻，并遵照执行本约定书。</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2、乙方承诺严格依照法律规定、协议约定履行义务，不向甲方及其关联企业员工提供任何不正当利益。</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3、如乙方员工为甲方员工的利害关系人，乙方应将该事实立即披露给甲方。</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4、乙方应当拒绝甲方员工任何形式的向乙方谋求、索取不正当利益的要求，并及时向甲方举报甲方员工的违规行为。</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5、乙方在接受甲方调查和审计时，不得隐瞒事实真相，不提供虚假材料。调查后，不得推翻已经认可的调查事实。</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6、乙方承诺对甲方调查和审计的内容进行保密，在未经甲方允许的情况下，乙方不得就调查事件对外发表言论。乙方更不得应非甲方外的第三人要求出庭作证（法院采取强制措施要求出庭除外）。</w:t>
      </w:r>
    </w:p>
    <w:p>
      <w:pPr>
        <w:adjustRightInd w:val="0"/>
        <w:snapToGrid w:val="0"/>
        <w:spacing w:line="360" w:lineRule="exact"/>
        <w:ind w:firstLine="402" w:firstLineChars="200"/>
        <w:rPr>
          <w:rFonts w:hint="eastAsia" w:ascii="宋体" w:hAnsi="宋体" w:cs="宋体"/>
          <w:sz w:val="20"/>
          <w:szCs w:val="20"/>
          <w:highlight w:val="none"/>
        </w:rPr>
      </w:pPr>
      <w:r>
        <w:rPr>
          <w:rFonts w:hint="eastAsia" w:ascii="宋体" w:hAnsi="宋体" w:cs="宋体"/>
          <w:b/>
          <w:bCs/>
          <w:sz w:val="20"/>
          <w:szCs w:val="20"/>
          <w:highlight w:val="none"/>
        </w:rPr>
        <w:t>7、乙方深刻理解违反廉洁合作行为的危害性，在此确认本约定书条款已经过审慎阅读，认可本约定书约定的赔偿金额合理，不会以任何理由向任何机构申请调整。</w:t>
      </w:r>
    </w:p>
    <w:p>
      <w:pPr>
        <w:adjustRightInd w:val="0"/>
        <w:snapToGrid w:val="0"/>
        <w:spacing w:line="360" w:lineRule="exact"/>
        <w:ind w:firstLine="402" w:firstLineChars="200"/>
        <w:rPr>
          <w:rFonts w:hint="eastAsia" w:ascii="宋体" w:hAnsi="宋体" w:cs="宋体"/>
          <w:b/>
          <w:bCs/>
          <w:sz w:val="20"/>
          <w:szCs w:val="20"/>
          <w:highlight w:val="none"/>
        </w:rPr>
      </w:pPr>
      <w:r>
        <w:rPr>
          <w:rFonts w:hint="eastAsia" w:ascii="宋体" w:hAnsi="宋体" w:cs="宋体"/>
          <w:b/>
          <w:bCs/>
          <w:sz w:val="20"/>
          <w:szCs w:val="20"/>
          <w:highlight w:val="none"/>
        </w:rPr>
        <w:t>五、违约责任</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1、若乙方违反本约定书任一约定的，乙方同意按不正当利益的十倍，或上一年度（即从甲方发现乙方违反本约定书约定之日起的前12个月）交易金额的20%向甲方支付赔偿金（以金额高者为准），但是最低不少于人民币10万元（大写：壹拾万元）。甲方及其关联企业有权直接从应付给乙方的款项中扣除上述赔偿金。</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2、若乙方违反本约定书任一约定的，甲方及其关联企业有权解除与乙方的相关交易协议，将乙方纳入南航集团限制交易供应商名单且不承担任何责任。</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3、乙方基于本约定书约定承担的违约责任，并不影响乙方依相关具体交易协议而承担的责任。</w:t>
      </w:r>
    </w:p>
    <w:p>
      <w:pPr>
        <w:adjustRightInd w:val="0"/>
        <w:snapToGrid w:val="0"/>
        <w:spacing w:line="360" w:lineRule="exact"/>
        <w:ind w:firstLine="402" w:firstLineChars="200"/>
        <w:rPr>
          <w:rFonts w:hint="eastAsia" w:ascii="宋体" w:hAnsi="宋体" w:cs="宋体"/>
          <w:b/>
          <w:bCs/>
          <w:sz w:val="20"/>
          <w:szCs w:val="20"/>
          <w:highlight w:val="none"/>
        </w:rPr>
      </w:pPr>
      <w:r>
        <w:rPr>
          <w:rFonts w:hint="eastAsia" w:ascii="宋体" w:hAnsi="宋体" w:cs="宋体"/>
          <w:b/>
          <w:bCs/>
          <w:sz w:val="20"/>
          <w:szCs w:val="20"/>
          <w:highlight w:val="none"/>
        </w:rPr>
        <w:t>六、举报方式</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乙方可通过以下方式直接向甲方举报：</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邮寄地址：</w:t>
      </w:r>
      <w:r>
        <w:rPr>
          <w:rFonts w:hint="eastAsia" w:ascii="宋体" w:hAnsi="宋体" w:cs="宋体"/>
          <w:sz w:val="20"/>
          <w:szCs w:val="20"/>
          <w:highlight w:val="none"/>
          <w:u w:val="single"/>
        </w:rPr>
        <w:t>广州新白云国际机场南工作区空港五路南航明珠大酒店</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甲方可通过以下方式直接向乙方举报（以下内容乙方自愿填写）：</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举报电话：</w:t>
      </w:r>
      <w:r>
        <w:rPr>
          <w:rFonts w:hint="eastAsia" w:ascii="宋体" w:hAnsi="宋体" w:cs="宋体"/>
          <w:sz w:val="20"/>
          <w:szCs w:val="20"/>
          <w:highlight w:val="none"/>
          <w:u w:val="single"/>
        </w:rPr>
        <w:t>【  】</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举报邮箱：</w:t>
      </w:r>
      <w:r>
        <w:rPr>
          <w:rFonts w:hint="eastAsia" w:ascii="宋体" w:hAnsi="宋体" w:cs="宋体"/>
          <w:sz w:val="20"/>
          <w:szCs w:val="20"/>
          <w:highlight w:val="none"/>
          <w:u w:val="single"/>
        </w:rPr>
        <w:t>【  】</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邮寄地址：</w:t>
      </w:r>
      <w:r>
        <w:rPr>
          <w:rFonts w:hint="eastAsia" w:ascii="宋体" w:hAnsi="宋体" w:cs="宋体"/>
          <w:sz w:val="20"/>
          <w:szCs w:val="20"/>
          <w:highlight w:val="none"/>
          <w:u w:val="single"/>
        </w:rPr>
        <w:t>【  】</w:t>
      </w:r>
    </w:p>
    <w:p>
      <w:pPr>
        <w:adjustRightInd w:val="0"/>
        <w:snapToGrid w:val="0"/>
        <w:spacing w:line="360" w:lineRule="exact"/>
        <w:ind w:firstLine="402" w:firstLineChars="200"/>
        <w:rPr>
          <w:rFonts w:hint="eastAsia" w:ascii="宋体" w:hAnsi="宋体" w:cs="宋体"/>
          <w:b/>
          <w:bCs/>
          <w:sz w:val="20"/>
          <w:szCs w:val="20"/>
          <w:highlight w:val="none"/>
        </w:rPr>
      </w:pPr>
      <w:r>
        <w:rPr>
          <w:rFonts w:hint="eastAsia" w:ascii="宋体" w:hAnsi="宋体" w:cs="宋体"/>
          <w:b/>
          <w:bCs/>
          <w:sz w:val="20"/>
          <w:szCs w:val="20"/>
          <w:highlight w:val="none"/>
        </w:rPr>
        <w:t>七、其它约定</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1、本约定书系双方之间因具体业务所签订的合作或业务协议（下称“主协议”）附件之一，无需双方另行签字盖章。本约定书自主协议签字盖章之日起生效，效力追溯至双方合作开始之日，不因双方业务合作终止、协议终止或解除而失效。</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2、本约定书独立于主协议存在，不因合作或主协议的无效、终止、解除而无效、终止、解除。主协议的相关约定与本约定书约定不一致的，以本约定书为准。</w:t>
      </w:r>
    </w:p>
    <w:p>
      <w:pPr>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3、双方应协商解决因本约定书导致的争议，协商不成，提交</w:t>
      </w:r>
      <w:r>
        <w:rPr>
          <w:rFonts w:hint="eastAsia" w:ascii="宋体" w:hAnsi="宋体" w:cs="宋体"/>
          <w:sz w:val="20"/>
          <w:szCs w:val="20"/>
          <w:highlight w:val="none"/>
          <w:u w:val="single"/>
        </w:rPr>
        <w:t>主协议约定所在地</w:t>
      </w:r>
      <w:r>
        <w:rPr>
          <w:rFonts w:hint="eastAsia" w:ascii="宋体" w:hAnsi="宋体" w:cs="宋体"/>
          <w:sz w:val="20"/>
          <w:szCs w:val="20"/>
          <w:highlight w:val="none"/>
        </w:rPr>
        <w:t>有管辖权的人民法院解决。</w:t>
      </w:r>
    </w:p>
    <w:p>
      <w:pPr>
        <w:widowControl/>
        <w:jc w:val="left"/>
        <w:rPr>
          <w:rFonts w:hint="eastAsia" w:ascii="宋体" w:hAnsi="宋体" w:cs="宋体"/>
          <w:szCs w:val="21"/>
          <w:highlight w:val="none"/>
        </w:rPr>
      </w:pPr>
    </w:p>
    <w:p>
      <w:pPr>
        <w:spacing w:line="492" w:lineRule="exact"/>
        <w:rPr>
          <w:rFonts w:hint="eastAsia" w:ascii="宋体" w:hAnsi="宋体" w:cs="宋体"/>
          <w:szCs w:val="21"/>
          <w:highlight w:val="none"/>
        </w:rPr>
      </w:pPr>
    </w:p>
    <w:p>
      <w:pPr>
        <w:adjustRightInd w:val="0"/>
        <w:snapToGrid w:val="0"/>
        <w:spacing w:line="400" w:lineRule="exact"/>
        <w:rPr>
          <w:rFonts w:hint="eastAsia" w:ascii="宋体" w:hAnsi="宋体" w:cs="宋体"/>
          <w:sz w:val="18"/>
          <w:szCs w:val="18"/>
          <w:highlight w:val="none"/>
        </w:rPr>
        <w:sectPr>
          <w:pgSz w:w="11906" w:h="16838"/>
          <w:pgMar w:top="1440" w:right="1519" w:bottom="1383" w:left="1519" w:header="851" w:footer="992" w:gutter="0"/>
          <w:cols w:space="720" w:num="1"/>
          <w:docGrid w:type="lines" w:linePitch="312" w:charSpace="0"/>
        </w:sectPr>
      </w:pPr>
    </w:p>
    <w:p>
      <w:pPr>
        <w:rPr>
          <w:rFonts w:hint="eastAsia" w:ascii="宋体" w:hAnsi="宋体" w:cs="宋体"/>
          <w:szCs w:val="21"/>
          <w:highlight w:val="none"/>
        </w:rPr>
      </w:pPr>
      <w:r>
        <w:rPr>
          <w:rFonts w:hint="eastAsia" w:ascii="宋体" w:hAnsi="宋体" w:cs="宋体"/>
          <w:szCs w:val="21"/>
          <w:highlight w:val="none"/>
        </w:rPr>
        <w:t>附件3：</w:t>
      </w:r>
    </w:p>
    <w:p>
      <w:pPr>
        <w:adjustRightInd w:val="0"/>
        <w:snapToGrid w:val="0"/>
        <w:jc w:val="center"/>
        <w:rPr>
          <w:rFonts w:hint="eastAsia" w:ascii="方正小标宋简体" w:hAnsi="方正小标宋简体" w:eastAsia="方正小标宋简体" w:cs="方正小标宋简体"/>
          <w:szCs w:val="22"/>
          <w:highlight w:val="none"/>
        </w:rPr>
      </w:pPr>
      <w:r>
        <w:rPr>
          <w:rFonts w:hint="eastAsia" w:ascii="方正小标宋简体" w:hAnsi="方正小标宋简体" w:eastAsia="方正小标宋简体" w:cs="方正小标宋简体"/>
          <w:szCs w:val="22"/>
          <w:highlight w:val="none"/>
        </w:rPr>
        <w:t>保密协议</w:t>
      </w:r>
    </w:p>
    <w:p>
      <w:pPr>
        <w:adjustRightInd w:val="0"/>
        <w:snapToGrid w:val="0"/>
        <w:rPr>
          <w:rFonts w:hint="eastAsia" w:ascii="宋体" w:hAnsi="宋体" w:cs="宋体"/>
          <w:sz w:val="20"/>
          <w:szCs w:val="21"/>
          <w:highlight w:val="none"/>
        </w:rPr>
      </w:pPr>
    </w:p>
    <w:p>
      <w:pPr>
        <w:adjustRightInd w:val="0"/>
        <w:snapToGrid w:val="0"/>
        <w:rPr>
          <w:rFonts w:hint="eastAsia" w:ascii="宋体" w:hAnsi="宋体" w:cs="宋体"/>
          <w:b/>
          <w:bCs/>
          <w:sz w:val="20"/>
          <w:szCs w:val="20"/>
          <w:highlight w:val="none"/>
        </w:rPr>
      </w:pPr>
      <w:r>
        <w:rPr>
          <w:rFonts w:hint="eastAsia" w:ascii="宋体" w:hAnsi="宋体" w:cs="宋体"/>
          <w:b/>
          <w:bCs/>
          <w:sz w:val="20"/>
          <w:szCs w:val="20"/>
          <w:highlight w:val="none"/>
        </w:rPr>
        <w:t>甲方：</w:t>
      </w:r>
      <w:r>
        <w:rPr>
          <w:rFonts w:hint="eastAsia" w:ascii="宋体" w:hAnsi="宋体" w:cs="宋体"/>
          <w:b/>
          <w:bCs/>
          <w:sz w:val="20"/>
          <w:szCs w:val="20"/>
          <w:highlight w:val="none"/>
          <w:u w:val="single"/>
        </w:rPr>
        <w:t xml:space="preserve">                        </w:t>
      </w:r>
    </w:p>
    <w:p>
      <w:pPr>
        <w:pStyle w:val="46"/>
        <w:adjustRightInd w:val="0"/>
        <w:snapToGrid w:val="0"/>
        <w:spacing w:line="240" w:lineRule="auto"/>
        <w:rPr>
          <w:rFonts w:hint="eastAsia" w:ascii="宋体" w:hAnsi="宋体" w:cs="宋体"/>
          <w:b/>
          <w:bCs/>
          <w:sz w:val="20"/>
          <w:szCs w:val="20"/>
          <w:highlight w:val="none"/>
        </w:rPr>
      </w:pPr>
      <w:r>
        <w:rPr>
          <w:rFonts w:hint="eastAsia" w:ascii="宋体" w:hAnsi="宋体" w:cs="宋体"/>
          <w:b/>
          <w:bCs/>
          <w:sz w:val="20"/>
          <w:szCs w:val="20"/>
          <w:highlight w:val="none"/>
        </w:rPr>
        <w:t>乙方：</w:t>
      </w:r>
      <w:r>
        <w:rPr>
          <w:rFonts w:hint="eastAsia" w:ascii="宋体" w:hAnsi="宋体" w:cs="宋体"/>
          <w:b/>
          <w:bCs/>
          <w:sz w:val="20"/>
          <w:szCs w:val="20"/>
          <w:highlight w:val="none"/>
          <w:u w:val="single"/>
        </w:rPr>
        <w:t xml:space="preserve">                        </w:t>
      </w:r>
      <w:r>
        <w:rPr>
          <w:rFonts w:hint="eastAsia" w:ascii="宋体" w:hAnsi="宋体" w:cs="宋体"/>
          <w:b/>
          <w:bCs/>
          <w:sz w:val="20"/>
          <w:szCs w:val="20"/>
          <w:highlight w:val="none"/>
        </w:rPr>
        <w:t xml:space="preserve"> </w:t>
      </w:r>
    </w:p>
    <w:p>
      <w:pPr>
        <w:pStyle w:val="46"/>
        <w:adjustRightInd w:val="0"/>
        <w:snapToGrid w:val="0"/>
        <w:spacing w:line="240" w:lineRule="auto"/>
        <w:ind w:firstLine="402" w:firstLineChars="200"/>
        <w:rPr>
          <w:rFonts w:hint="eastAsia" w:ascii="宋体" w:hAnsi="宋体" w:cs="宋体"/>
          <w:b/>
          <w:bCs/>
          <w:sz w:val="20"/>
          <w:szCs w:val="20"/>
          <w:highlight w:val="none"/>
        </w:rPr>
      </w:pPr>
    </w:p>
    <w:p>
      <w:pPr>
        <w:adjustRightInd w:val="0"/>
        <w:snapToGrid w:val="0"/>
        <w:spacing w:line="300" w:lineRule="exact"/>
        <w:ind w:firstLine="400" w:firstLineChars="200"/>
        <w:textAlignment w:val="baseline"/>
        <w:rPr>
          <w:rFonts w:hint="eastAsia" w:ascii="宋体" w:hAnsi="宋体" w:cs="宋体"/>
          <w:sz w:val="20"/>
          <w:szCs w:val="20"/>
          <w:highlight w:val="none"/>
        </w:rPr>
      </w:pPr>
      <w:r>
        <w:rPr>
          <w:rFonts w:hint="eastAsia" w:ascii="宋体" w:hAnsi="宋体" w:cs="宋体"/>
          <w:sz w:val="20"/>
          <w:szCs w:val="20"/>
          <w:highlight w:val="none"/>
        </w:rPr>
        <w:t>鉴于甲、乙双方在合作交流过程中，可能接触或知悉对方未予公开的涉密信息及其载体。现为保护双方的权益，根据《中华人民共和国反垄断法》《中华人民共和国反不正当竞争法》等法律法规及合作双方关于商业秘密、工作秘密保护方面的相关规定，经充分协商一致，签订本协议。</w:t>
      </w:r>
    </w:p>
    <w:p>
      <w:pPr>
        <w:adjustRightInd w:val="0"/>
        <w:snapToGrid w:val="0"/>
        <w:spacing w:line="300" w:lineRule="exact"/>
        <w:ind w:firstLine="402" w:firstLineChars="200"/>
        <w:textAlignment w:val="baseline"/>
        <w:rPr>
          <w:rFonts w:hint="eastAsia" w:ascii="宋体" w:hAnsi="宋体" w:cs="宋体"/>
          <w:b/>
          <w:sz w:val="20"/>
          <w:szCs w:val="20"/>
          <w:highlight w:val="none"/>
          <w:lang w:eastAsia="zh-TW"/>
        </w:rPr>
      </w:pPr>
      <w:r>
        <w:rPr>
          <w:rFonts w:hint="eastAsia" w:ascii="宋体" w:hAnsi="宋体" w:cs="宋体"/>
          <w:b/>
          <w:sz w:val="20"/>
          <w:szCs w:val="20"/>
          <w:highlight w:val="none"/>
        </w:rPr>
        <w:t>一、涉</w:t>
      </w:r>
      <w:r>
        <w:rPr>
          <w:rFonts w:hint="eastAsia" w:ascii="宋体" w:hAnsi="宋体" w:cs="宋体"/>
          <w:b/>
          <w:sz w:val="20"/>
          <w:szCs w:val="20"/>
          <w:highlight w:val="none"/>
          <w:lang w:eastAsia="zh-TW"/>
        </w:rPr>
        <w:t>密信息的定义</w:t>
      </w:r>
    </w:p>
    <w:p>
      <w:pPr>
        <w:adjustRightInd w:val="0"/>
        <w:snapToGrid w:val="0"/>
        <w:spacing w:line="300" w:lineRule="exact"/>
        <w:ind w:firstLine="400" w:firstLineChars="200"/>
        <w:textAlignment w:val="baseline"/>
        <w:rPr>
          <w:rFonts w:hint="eastAsia" w:ascii="宋体" w:hAnsi="宋体" w:cs="宋体"/>
          <w:sz w:val="20"/>
          <w:szCs w:val="20"/>
          <w:highlight w:val="none"/>
        </w:rPr>
      </w:pPr>
      <w:r>
        <w:rPr>
          <w:rFonts w:hint="eastAsia" w:ascii="宋体" w:hAnsi="宋体" w:cs="宋体"/>
          <w:sz w:val="20"/>
          <w:szCs w:val="20"/>
          <w:highlight w:val="none"/>
        </w:rPr>
        <w:t>本协议所指的涉密信息是指不为公众所知悉、具有商业价值、实用价值的技术信息、经营信息等商业信息，属合作方的商业秘密，包括但不限于以下各项：（1）战略规划、管理方法、商业模式、改制上市、并购重组、产权交易、财务信息、投融资决策、产购销策略、资源储备、客户信息、招投标事项等经营信息。（2）设计、程序、产品配方、制作工艺、制作方法、技术诀窍等技术信息。（3）涉及公司生产经营中的关键及核心数据信息。（4）任何含有或源于其他涉密信息的材料和信息，或在涉密信息基础上加工处理后形成的材料和信息。（5）其他根据法律规定属于商业秘密、工作秘密的信息。</w:t>
      </w:r>
    </w:p>
    <w:p>
      <w:pPr>
        <w:adjustRightInd w:val="0"/>
        <w:snapToGrid w:val="0"/>
        <w:spacing w:line="300" w:lineRule="exact"/>
        <w:ind w:firstLine="400" w:firstLineChars="200"/>
        <w:textAlignment w:val="baseline"/>
        <w:rPr>
          <w:rFonts w:hint="eastAsia" w:ascii="宋体" w:hAnsi="宋体" w:cs="宋体"/>
          <w:sz w:val="20"/>
          <w:szCs w:val="20"/>
          <w:highlight w:val="none"/>
        </w:rPr>
      </w:pPr>
      <w:r>
        <w:rPr>
          <w:rFonts w:hint="eastAsia" w:ascii="宋体" w:hAnsi="宋体" w:cs="宋体"/>
          <w:sz w:val="20"/>
          <w:szCs w:val="20"/>
          <w:highlight w:val="none"/>
        </w:rPr>
        <w:t>如涉及国家秘密信息则严格按照国家法律法规要求办理。</w:t>
      </w:r>
    </w:p>
    <w:p>
      <w:pPr>
        <w:adjustRightInd w:val="0"/>
        <w:snapToGrid w:val="0"/>
        <w:spacing w:line="300" w:lineRule="exact"/>
        <w:ind w:firstLine="402" w:firstLineChars="200"/>
        <w:textAlignment w:val="baseline"/>
        <w:rPr>
          <w:rFonts w:hint="eastAsia" w:ascii="宋体" w:hAnsi="宋体" w:cs="宋体"/>
          <w:b/>
          <w:sz w:val="20"/>
          <w:szCs w:val="20"/>
          <w:highlight w:val="none"/>
          <w:lang w:eastAsia="zh-TW"/>
        </w:rPr>
      </w:pPr>
      <w:r>
        <w:rPr>
          <w:rFonts w:hint="eastAsia" w:ascii="宋体" w:hAnsi="宋体" w:cs="宋体"/>
          <w:b/>
          <w:sz w:val="20"/>
          <w:szCs w:val="20"/>
          <w:highlight w:val="none"/>
        </w:rPr>
        <w:t>二、涉</w:t>
      </w:r>
      <w:r>
        <w:rPr>
          <w:rFonts w:hint="eastAsia" w:ascii="宋体" w:hAnsi="宋体" w:cs="宋体"/>
          <w:b/>
          <w:sz w:val="20"/>
          <w:szCs w:val="20"/>
          <w:highlight w:val="none"/>
          <w:lang w:eastAsia="zh-TW"/>
        </w:rPr>
        <w:t>密信息的</w:t>
      </w:r>
      <w:r>
        <w:rPr>
          <w:rFonts w:hint="eastAsia" w:ascii="宋体" w:hAnsi="宋体" w:cs="宋体"/>
          <w:b/>
          <w:sz w:val="20"/>
          <w:szCs w:val="20"/>
          <w:highlight w:val="none"/>
        </w:rPr>
        <w:t>提供</w:t>
      </w:r>
    </w:p>
    <w:p>
      <w:pPr>
        <w:adjustRightInd w:val="0"/>
        <w:snapToGrid w:val="0"/>
        <w:spacing w:line="300" w:lineRule="exact"/>
        <w:ind w:firstLine="400" w:firstLineChars="200"/>
        <w:textAlignment w:val="baseline"/>
        <w:rPr>
          <w:rFonts w:hint="eastAsia" w:ascii="宋体" w:hAnsi="宋体" w:cs="宋体"/>
          <w:sz w:val="20"/>
          <w:szCs w:val="20"/>
          <w:highlight w:val="none"/>
        </w:rPr>
      </w:pPr>
      <w:r>
        <w:rPr>
          <w:rFonts w:hint="eastAsia" w:ascii="宋体" w:hAnsi="宋体" w:cs="宋体"/>
          <w:sz w:val="20"/>
          <w:szCs w:val="20"/>
          <w:highlight w:val="none"/>
        </w:rPr>
        <w:t>合作双方在提供涉密信息前，须签订本保密协议，明确双方的保密权利义务及违约责任。由合作双方指定专人负责涉密信息的提供及保管，并做好交接记录。记录时要对涉密信息的明显特征做好登记，如涉密信息的标题、编号、数量、页数、提供日期等。</w:t>
      </w:r>
    </w:p>
    <w:p>
      <w:pPr>
        <w:adjustRightInd w:val="0"/>
        <w:snapToGrid w:val="0"/>
        <w:spacing w:line="300" w:lineRule="exact"/>
        <w:ind w:firstLine="402" w:firstLineChars="200"/>
        <w:textAlignment w:val="baseline"/>
        <w:rPr>
          <w:rFonts w:hint="eastAsia" w:ascii="宋体" w:hAnsi="宋体" w:cs="宋体"/>
          <w:b/>
          <w:sz w:val="20"/>
          <w:szCs w:val="20"/>
          <w:highlight w:val="none"/>
          <w:lang w:eastAsia="zh-TW"/>
        </w:rPr>
      </w:pPr>
      <w:r>
        <w:rPr>
          <w:rFonts w:hint="eastAsia" w:ascii="宋体" w:hAnsi="宋体" w:cs="宋体"/>
          <w:b/>
          <w:sz w:val="20"/>
          <w:szCs w:val="20"/>
          <w:highlight w:val="none"/>
        </w:rPr>
        <w:t>三、涉密信息</w:t>
      </w:r>
      <w:r>
        <w:rPr>
          <w:rFonts w:hint="eastAsia" w:ascii="宋体" w:hAnsi="宋体" w:cs="宋体"/>
          <w:b/>
          <w:sz w:val="20"/>
          <w:szCs w:val="20"/>
          <w:highlight w:val="none"/>
          <w:lang w:eastAsia="zh-TW"/>
        </w:rPr>
        <w:t>的使用</w:t>
      </w:r>
    </w:p>
    <w:p>
      <w:pPr>
        <w:adjustRightInd w:val="0"/>
        <w:snapToGrid w:val="0"/>
        <w:spacing w:line="300" w:lineRule="exact"/>
        <w:ind w:firstLine="400" w:firstLineChars="200"/>
        <w:textAlignment w:val="baseline"/>
        <w:rPr>
          <w:rFonts w:hint="eastAsia" w:ascii="宋体" w:hAnsi="宋体" w:cs="宋体"/>
          <w:sz w:val="20"/>
          <w:szCs w:val="20"/>
          <w:highlight w:val="none"/>
        </w:rPr>
      </w:pPr>
      <w:r>
        <w:rPr>
          <w:rFonts w:hint="eastAsia" w:ascii="宋体" w:hAnsi="宋体" w:cs="宋体"/>
          <w:sz w:val="20"/>
          <w:szCs w:val="20"/>
          <w:highlight w:val="none"/>
        </w:rPr>
        <w:t>1.未经书面同意，乙方严禁擅自复制、留存甲方提供的涉密信息。</w:t>
      </w:r>
    </w:p>
    <w:p>
      <w:pPr>
        <w:adjustRightInd w:val="0"/>
        <w:snapToGrid w:val="0"/>
        <w:spacing w:line="300" w:lineRule="exact"/>
        <w:ind w:firstLine="400" w:firstLineChars="200"/>
        <w:textAlignment w:val="baseline"/>
        <w:rPr>
          <w:rFonts w:hint="eastAsia" w:ascii="宋体" w:hAnsi="宋体" w:cs="宋体"/>
          <w:sz w:val="20"/>
          <w:szCs w:val="20"/>
          <w:highlight w:val="none"/>
        </w:rPr>
      </w:pPr>
      <w:r>
        <w:rPr>
          <w:rFonts w:hint="eastAsia" w:ascii="宋体" w:hAnsi="宋体" w:cs="宋体"/>
          <w:sz w:val="20"/>
          <w:szCs w:val="20"/>
          <w:highlight w:val="none"/>
        </w:rPr>
        <w:t>2.乙方应向甲方提供涉密信息的知悉人员名单，知悉人员范围增加或变更须经甲方同意，无特殊情况不得擅自突破名单范围。</w:t>
      </w:r>
    </w:p>
    <w:p>
      <w:pPr>
        <w:adjustRightInd w:val="0"/>
        <w:snapToGrid w:val="0"/>
        <w:spacing w:line="300" w:lineRule="exact"/>
        <w:ind w:firstLine="400" w:firstLineChars="200"/>
        <w:textAlignment w:val="baseline"/>
        <w:rPr>
          <w:rFonts w:hint="eastAsia" w:ascii="宋体" w:hAnsi="宋体" w:cs="宋体"/>
          <w:sz w:val="20"/>
          <w:szCs w:val="20"/>
          <w:highlight w:val="none"/>
        </w:rPr>
      </w:pPr>
      <w:r>
        <w:rPr>
          <w:rFonts w:hint="eastAsia" w:ascii="宋体" w:hAnsi="宋体" w:cs="宋体"/>
          <w:sz w:val="20"/>
          <w:szCs w:val="20"/>
          <w:highlight w:val="none"/>
        </w:rPr>
        <w:t>3.获取合作方的涉密信息仅限于本次合作项目使用，不得用于其他用途或被无关人员知悉。</w:t>
      </w:r>
    </w:p>
    <w:p>
      <w:pPr>
        <w:adjustRightInd w:val="0"/>
        <w:snapToGrid w:val="0"/>
        <w:spacing w:line="300" w:lineRule="exact"/>
        <w:ind w:firstLine="400" w:firstLineChars="200"/>
        <w:textAlignment w:val="baseline"/>
        <w:rPr>
          <w:rFonts w:hint="eastAsia" w:ascii="宋体" w:hAnsi="宋体" w:cs="宋体"/>
          <w:sz w:val="20"/>
          <w:szCs w:val="20"/>
          <w:highlight w:val="none"/>
        </w:rPr>
      </w:pPr>
      <w:r>
        <w:rPr>
          <w:rFonts w:hint="eastAsia" w:ascii="宋体" w:hAnsi="宋体" w:cs="宋体"/>
          <w:sz w:val="20"/>
          <w:szCs w:val="20"/>
          <w:highlight w:val="none"/>
        </w:rPr>
        <w:t>4.获取的涉密信息应存放在安全的场所，妥善保管。</w:t>
      </w:r>
    </w:p>
    <w:p>
      <w:pPr>
        <w:adjustRightInd w:val="0"/>
        <w:snapToGrid w:val="0"/>
        <w:spacing w:line="300" w:lineRule="exact"/>
        <w:ind w:firstLine="402" w:firstLineChars="200"/>
        <w:textAlignment w:val="baseline"/>
        <w:rPr>
          <w:rFonts w:hint="eastAsia" w:ascii="宋体" w:hAnsi="宋体" w:cs="宋体"/>
          <w:b/>
          <w:sz w:val="20"/>
          <w:szCs w:val="20"/>
          <w:highlight w:val="none"/>
          <w:lang w:eastAsia="zh-TW"/>
        </w:rPr>
      </w:pPr>
      <w:r>
        <w:rPr>
          <w:rFonts w:hint="eastAsia" w:ascii="宋体" w:hAnsi="宋体" w:cs="宋体"/>
          <w:b/>
          <w:sz w:val="20"/>
          <w:szCs w:val="20"/>
          <w:highlight w:val="none"/>
        </w:rPr>
        <w:t>四、涉密信息</w:t>
      </w:r>
      <w:r>
        <w:rPr>
          <w:rFonts w:hint="eastAsia" w:ascii="宋体" w:hAnsi="宋体" w:cs="宋体"/>
          <w:b/>
          <w:sz w:val="20"/>
          <w:szCs w:val="20"/>
          <w:highlight w:val="none"/>
          <w:lang w:eastAsia="zh-TW"/>
        </w:rPr>
        <w:t>的归还</w:t>
      </w:r>
    </w:p>
    <w:p>
      <w:pPr>
        <w:adjustRightInd w:val="0"/>
        <w:snapToGrid w:val="0"/>
        <w:spacing w:line="300" w:lineRule="exact"/>
        <w:ind w:firstLine="400" w:firstLineChars="200"/>
        <w:textAlignment w:val="baseline"/>
        <w:rPr>
          <w:rFonts w:hint="eastAsia" w:ascii="宋体" w:hAnsi="宋体" w:cs="宋体"/>
          <w:sz w:val="20"/>
          <w:szCs w:val="20"/>
          <w:highlight w:val="none"/>
        </w:rPr>
      </w:pPr>
      <w:r>
        <w:rPr>
          <w:rFonts w:hint="eastAsia" w:ascii="宋体" w:hAnsi="宋体" w:cs="宋体"/>
          <w:sz w:val="20"/>
          <w:szCs w:val="20"/>
          <w:highlight w:val="none"/>
        </w:rPr>
        <w:t>双方合作结束或终止后，应于十个工作日内，指定专人交接回收涉密信息，并在登记本中逐条核销，登记本交予所在单位保密部门留存备查。</w:t>
      </w:r>
    </w:p>
    <w:p>
      <w:pPr>
        <w:adjustRightInd w:val="0"/>
        <w:snapToGrid w:val="0"/>
        <w:spacing w:line="300" w:lineRule="exact"/>
        <w:ind w:firstLine="402" w:firstLineChars="200"/>
        <w:textAlignment w:val="baseline"/>
        <w:rPr>
          <w:rFonts w:hint="eastAsia" w:ascii="宋体" w:hAnsi="宋体" w:cs="宋体"/>
          <w:b/>
          <w:sz w:val="20"/>
          <w:szCs w:val="20"/>
          <w:highlight w:val="none"/>
        </w:rPr>
      </w:pPr>
      <w:r>
        <w:rPr>
          <w:rFonts w:hint="eastAsia" w:ascii="宋体" w:hAnsi="宋体" w:cs="宋体"/>
          <w:b/>
          <w:sz w:val="20"/>
          <w:szCs w:val="20"/>
          <w:highlight w:val="none"/>
        </w:rPr>
        <w:t>五、涉密工作成果的保护</w:t>
      </w:r>
    </w:p>
    <w:p>
      <w:pPr>
        <w:adjustRightInd w:val="0"/>
        <w:snapToGrid w:val="0"/>
        <w:spacing w:line="300" w:lineRule="exact"/>
        <w:ind w:firstLine="400" w:firstLineChars="200"/>
        <w:textAlignment w:val="baseline"/>
        <w:rPr>
          <w:rFonts w:hint="eastAsia" w:ascii="宋体" w:hAnsi="宋体" w:cs="宋体"/>
          <w:b/>
          <w:sz w:val="20"/>
          <w:szCs w:val="20"/>
          <w:highlight w:val="none"/>
        </w:rPr>
      </w:pPr>
      <w:r>
        <w:rPr>
          <w:rFonts w:hint="eastAsia" w:ascii="宋体" w:hAnsi="宋体" w:cs="宋体"/>
          <w:sz w:val="20"/>
          <w:szCs w:val="20"/>
          <w:highlight w:val="none"/>
        </w:rPr>
        <w:t>合作结束后，因使用涉密信息而产生的工作成果或该工作成果涉及涉密信息，在所依据的涉密信息解密前，乙方要严守保密规定，不得以任何形式泄露或对外公开涉密工作成果。</w:t>
      </w:r>
    </w:p>
    <w:p>
      <w:pPr>
        <w:adjustRightInd w:val="0"/>
        <w:snapToGrid w:val="0"/>
        <w:spacing w:line="300" w:lineRule="exact"/>
        <w:ind w:firstLine="402" w:firstLineChars="200"/>
        <w:textAlignment w:val="baseline"/>
        <w:rPr>
          <w:rFonts w:hint="eastAsia" w:ascii="宋体" w:hAnsi="宋体" w:cs="宋体"/>
          <w:b/>
          <w:sz w:val="20"/>
          <w:szCs w:val="20"/>
          <w:highlight w:val="none"/>
          <w:lang w:eastAsia="zh-TW"/>
        </w:rPr>
      </w:pPr>
      <w:r>
        <w:rPr>
          <w:rFonts w:hint="eastAsia" w:ascii="宋体" w:hAnsi="宋体" w:cs="宋体"/>
          <w:b/>
          <w:sz w:val="20"/>
          <w:szCs w:val="20"/>
          <w:highlight w:val="none"/>
        </w:rPr>
        <w:t>六、义务</w:t>
      </w:r>
      <w:r>
        <w:rPr>
          <w:rFonts w:hint="eastAsia" w:ascii="宋体" w:hAnsi="宋体" w:cs="宋体"/>
          <w:b/>
          <w:sz w:val="20"/>
          <w:szCs w:val="20"/>
          <w:highlight w:val="none"/>
          <w:lang w:eastAsia="zh-TW"/>
        </w:rPr>
        <w:t xml:space="preserve"> </w:t>
      </w:r>
    </w:p>
    <w:p>
      <w:pPr>
        <w:adjustRightInd w:val="0"/>
        <w:snapToGrid w:val="0"/>
        <w:spacing w:line="300" w:lineRule="exact"/>
        <w:ind w:firstLine="400" w:firstLineChars="200"/>
        <w:textAlignment w:val="baseline"/>
        <w:rPr>
          <w:rFonts w:hint="eastAsia" w:ascii="宋体" w:hAnsi="宋体" w:cs="宋体"/>
          <w:sz w:val="20"/>
          <w:szCs w:val="20"/>
          <w:highlight w:val="none"/>
        </w:rPr>
      </w:pPr>
      <w:r>
        <w:rPr>
          <w:rFonts w:hint="eastAsia" w:ascii="宋体" w:hAnsi="宋体" w:cs="宋体"/>
          <w:sz w:val="20"/>
          <w:szCs w:val="20"/>
          <w:highlight w:val="none"/>
        </w:rPr>
        <w:t>乙方应督促涉密信息知悉人员严格遵守本协议的条款，如有人员违反本协议，无论故意或过失，应立即采取有效措施制止正在发生的违约行为，并立即将相关情况通知甲方，防范扩散风险。</w:t>
      </w:r>
    </w:p>
    <w:p>
      <w:pPr>
        <w:adjustRightInd w:val="0"/>
        <w:snapToGrid w:val="0"/>
        <w:spacing w:line="300" w:lineRule="exact"/>
        <w:ind w:firstLine="402" w:firstLineChars="200"/>
        <w:textAlignment w:val="baseline"/>
        <w:rPr>
          <w:rFonts w:hint="eastAsia" w:ascii="宋体" w:hAnsi="宋体" w:cs="宋体"/>
          <w:b/>
          <w:sz w:val="20"/>
          <w:szCs w:val="20"/>
          <w:highlight w:val="none"/>
          <w:lang w:eastAsia="zh-TW"/>
        </w:rPr>
      </w:pPr>
      <w:r>
        <w:rPr>
          <w:rFonts w:hint="eastAsia" w:ascii="宋体" w:hAnsi="宋体" w:cs="宋体"/>
          <w:b/>
          <w:sz w:val="20"/>
          <w:szCs w:val="20"/>
          <w:highlight w:val="none"/>
        </w:rPr>
        <w:t>七、违约责任</w:t>
      </w:r>
    </w:p>
    <w:p>
      <w:pPr>
        <w:adjustRightInd w:val="0"/>
        <w:snapToGrid w:val="0"/>
        <w:spacing w:line="300" w:lineRule="exact"/>
        <w:ind w:firstLine="400" w:firstLineChars="200"/>
        <w:textAlignment w:val="baseline"/>
        <w:rPr>
          <w:rFonts w:hint="eastAsia" w:ascii="宋体" w:hAnsi="宋体" w:cs="宋体"/>
          <w:sz w:val="20"/>
          <w:szCs w:val="20"/>
          <w:highlight w:val="none"/>
        </w:rPr>
      </w:pPr>
      <w:r>
        <w:rPr>
          <w:rFonts w:hint="eastAsia" w:ascii="宋体" w:hAnsi="宋体" w:cs="宋体"/>
          <w:sz w:val="20"/>
          <w:szCs w:val="20"/>
          <w:highlight w:val="none"/>
        </w:rPr>
        <w:t>违反本协议条款造成泄密或潜在泄密后果的，由违约方承担赔偿责任，造成重大经济损失的，应赔偿全部损失，并保留对后续潜在后果追究法律责任的权利。</w:t>
      </w:r>
    </w:p>
    <w:p>
      <w:pPr>
        <w:adjustRightInd w:val="0"/>
        <w:snapToGrid w:val="0"/>
        <w:spacing w:line="300" w:lineRule="exact"/>
        <w:ind w:firstLine="402" w:firstLineChars="200"/>
        <w:textAlignment w:val="baseline"/>
        <w:rPr>
          <w:rFonts w:hint="eastAsia" w:ascii="宋体" w:hAnsi="宋体" w:cs="宋体"/>
          <w:b/>
          <w:sz w:val="20"/>
          <w:szCs w:val="20"/>
          <w:highlight w:val="none"/>
          <w:lang w:eastAsia="zh-TW"/>
        </w:rPr>
      </w:pPr>
      <w:r>
        <w:rPr>
          <w:rFonts w:hint="eastAsia" w:ascii="宋体" w:hAnsi="宋体" w:cs="宋体"/>
          <w:b/>
          <w:sz w:val="20"/>
          <w:szCs w:val="20"/>
          <w:highlight w:val="none"/>
        </w:rPr>
        <w:t>八、后续保密责任</w:t>
      </w:r>
    </w:p>
    <w:p>
      <w:pPr>
        <w:adjustRightInd w:val="0"/>
        <w:snapToGrid w:val="0"/>
        <w:spacing w:line="300" w:lineRule="exact"/>
        <w:ind w:firstLine="400" w:firstLineChars="200"/>
        <w:textAlignment w:val="baseline"/>
        <w:rPr>
          <w:rFonts w:hint="eastAsia" w:ascii="宋体" w:hAnsi="宋体" w:cs="宋体"/>
          <w:sz w:val="20"/>
          <w:szCs w:val="20"/>
          <w:highlight w:val="none"/>
        </w:rPr>
      </w:pPr>
      <w:r>
        <w:rPr>
          <w:rFonts w:hint="eastAsia" w:ascii="宋体" w:hAnsi="宋体" w:cs="宋体"/>
          <w:sz w:val="20"/>
          <w:szCs w:val="20"/>
          <w:highlight w:val="none"/>
          <w:lang w:val="zh-CN"/>
        </w:rPr>
        <w:t>双方</w:t>
      </w:r>
      <w:r>
        <w:rPr>
          <w:rFonts w:hint="eastAsia" w:ascii="宋体" w:hAnsi="宋体" w:cs="宋体"/>
          <w:sz w:val="20"/>
          <w:szCs w:val="20"/>
          <w:highlight w:val="none"/>
        </w:rPr>
        <w:t>合作结束或</w:t>
      </w:r>
      <w:r>
        <w:rPr>
          <w:rFonts w:hint="eastAsia" w:ascii="宋体" w:hAnsi="宋体" w:cs="宋体"/>
          <w:sz w:val="20"/>
          <w:szCs w:val="20"/>
          <w:highlight w:val="none"/>
          <w:lang w:val="zh-CN"/>
        </w:rPr>
        <w:t>终止，</w:t>
      </w:r>
      <w:r>
        <w:rPr>
          <w:rFonts w:hint="eastAsia" w:ascii="宋体" w:hAnsi="宋体" w:cs="宋体"/>
          <w:sz w:val="20"/>
          <w:szCs w:val="20"/>
          <w:highlight w:val="none"/>
        </w:rPr>
        <w:t>在上述涉密信息解密前，乙方</w:t>
      </w:r>
      <w:r>
        <w:rPr>
          <w:rFonts w:hint="eastAsia" w:ascii="宋体" w:hAnsi="宋体" w:cs="宋体"/>
          <w:sz w:val="20"/>
          <w:szCs w:val="20"/>
          <w:highlight w:val="none"/>
          <w:lang w:val="zh-CN"/>
        </w:rPr>
        <w:t>仍</w:t>
      </w:r>
      <w:r>
        <w:rPr>
          <w:rFonts w:hint="eastAsia" w:ascii="宋体" w:hAnsi="宋体" w:cs="宋体"/>
          <w:sz w:val="20"/>
          <w:szCs w:val="20"/>
          <w:highlight w:val="none"/>
        </w:rPr>
        <w:t>需遵守本保密协议条款，履行保密责任和义务。</w:t>
      </w:r>
    </w:p>
    <w:p>
      <w:pPr>
        <w:pStyle w:val="18"/>
        <w:spacing w:before="93" w:beforeLines="30" w:line="360" w:lineRule="exact"/>
        <w:rPr>
          <w:rFonts w:hint="eastAsia" w:ascii="仿宋" w:hAnsi="仿宋" w:eastAsia="仿宋" w:cs="仿宋"/>
          <w:szCs w:val="21"/>
          <w:highlight w:val="none"/>
        </w:rPr>
      </w:pPr>
    </w:p>
    <w:p>
      <w:pPr>
        <w:spacing w:before="93" w:beforeLines="30" w:line="360" w:lineRule="exact"/>
        <w:jc w:val="left"/>
        <w:rPr>
          <w:rFonts w:hint="eastAsia" w:ascii="仿宋" w:hAnsi="仿宋" w:eastAsia="仿宋" w:cs="仿宋"/>
          <w:b/>
          <w:bCs/>
          <w:szCs w:val="21"/>
          <w:highlight w:val="none"/>
        </w:rPr>
        <w:sectPr>
          <w:pgSz w:w="11906" w:h="16838"/>
          <w:pgMar w:top="1440" w:right="1519" w:bottom="1440" w:left="1519" w:header="851" w:footer="992" w:gutter="0"/>
          <w:cols w:space="720" w:num="1"/>
          <w:docGrid w:type="lines" w:linePitch="312" w:charSpace="0"/>
        </w:sectPr>
      </w:pPr>
    </w:p>
    <w:p>
      <w:pPr>
        <w:rPr>
          <w:rFonts w:hint="eastAsia" w:ascii="宋体" w:hAnsi="宋体" w:cs="宋体"/>
          <w:szCs w:val="21"/>
          <w:highlight w:val="none"/>
        </w:rPr>
      </w:pPr>
      <w:r>
        <w:rPr>
          <w:rFonts w:hint="eastAsia" w:ascii="宋体" w:hAnsi="宋体" w:cs="宋体"/>
          <w:szCs w:val="21"/>
          <w:highlight w:val="none"/>
        </w:rPr>
        <w:t>附件4：</w:t>
      </w:r>
    </w:p>
    <w:tbl>
      <w:tblPr>
        <w:tblStyle w:val="25"/>
        <w:tblpPr w:leftFromText="180" w:rightFromText="180" w:vertAnchor="text" w:horzAnchor="margin" w:tblpXSpec="center" w:tblpY="251"/>
        <w:tblW w:w="9711" w:type="dxa"/>
        <w:tblInd w:w="0" w:type="dxa"/>
        <w:tblLayout w:type="fixed"/>
        <w:tblCellMar>
          <w:top w:w="0" w:type="dxa"/>
          <w:left w:w="0" w:type="dxa"/>
          <w:bottom w:w="0" w:type="dxa"/>
          <w:right w:w="0" w:type="dxa"/>
        </w:tblCellMar>
      </w:tblPr>
      <w:tblGrid>
        <w:gridCol w:w="1103"/>
        <w:gridCol w:w="5694"/>
        <w:gridCol w:w="2914"/>
      </w:tblGrid>
      <w:tr>
        <w:tblPrEx>
          <w:tblCellMar>
            <w:top w:w="0" w:type="dxa"/>
            <w:left w:w="0" w:type="dxa"/>
            <w:bottom w:w="0" w:type="dxa"/>
            <w:right w:w="0" w:type="dxa"/>
          </w:tblCellMar>
        </w:tblPrEx>
        <w:trPr>
          <w:trHeight w:val="627" w:hRule="atLeast"/>
        </w:trPr>
        <w:tc>
          <w:tcPr>
            <w:tcW w:w="9711" w:type="dxa"/>
            <w:gridSpan w:val="3"/>
            <w:tcBorders>
              <w:top w:val="nil"/>
              <w:left w:val="nil"/>
              <w:bottom w:val="single" w:color="auto" w:sz="4" w:space="0"/>
              <w:right w:val="nil"/>
            </w:tcBorders>
            <w:vAlign w:val="center"/>
          </w:tcPr>
          <w:p>
            <w:pPr>
              <w:widowControl/>
              <w:jc w:val="center"/>
              <w:rPr>
                <w:rFonts w:hint="eastAsia" w:ascii="宋体" w:hAnsi="宋体" w:cs="宋体"/>
                <w:b/>
                <w:bCs/>
                <w:color w:val="000000"/>
                <w:kern w:val="0"/>
                <w:szCs w:val="21"/>
                <w:highlight w:val="none"/>
              </w:rPr>
            </w:pPr>
            <w:r>
              <w:rPr>
                <w:rFonts w:hint="eastAsia" w:ascii="宋体" w:hAnsi="宋体" w:cs="宋体"/>
                <w:b/>
                <w:bCs/>
                <w:color w:val="000000"/>
                <w:kern w:val="0"/>
                <w:sz w:val="28"/>
                <w:szCs w:val="28"/>
                <w:highlight w:val="none"/>
              </w:rPr>
              <w:t>酒店违约行为处罚办法</w:t>
            </w:r>
          </w:p>
        </w:tc>
      </w:tr>
      <w:tr>
        <w:tblPrEx>
          <w:tblCellMar>
            <w:top w:w="0" w:type="dxa"/>
            <w:left w:w="0" w:type="dxa"/>
            <w:bottom w:w="0" w:type="dxa"/>
            <w:right w:w="0" w:type="dxa"/>
          </w:tblCellMar>
        </w:tblPrEx>
        <w:trPr>
          <w:trHeight w:val="366" w:hRule="atLeast"/>
        </w:trPr>
        <w:tc>
          <w:tcPr>
            <w:tcW w:w="1103" w:type="dxa"/>
            <w:tcBorders>
              <w:top w:val="nil"/>
              <w:left w:val="single" w:color="auto" w:sz="4" w:space="0"/>
              <w:bottom w:val="nil"/>
              <w:right w:val="single" w:color="auto" w:sz="4" w:space="0"/>
            </w:tcBorders>
            <w:shd w:val="clear" w:color="000000" w:fill="F2F2F2"/>
            <w:vAlign w:val="center"/>
          </w:tcPr>
          <w:p>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事件级别</w:t>
            </w:r>
          </w:p>
        </w:tc>
        <w:tc>
          <w:tcPr>
            <w:tcW w:w="5694" w:type="dxa"/>
            <w:tcBorders>
              <w:top w:val="nil"/>
              <w:left w:val="nil"/>
              <w:bottom w:val="nil"/>
              <w:right w:val="single" w:color="auto" w:sz="4" w:space="0"/>
            </w:tcBorders>
            <w:shd w:val="clear" w:color="000000" w:fill="F2F2F2"/>
            <w:vAlign w:val="center"/>
          </w:tcPr>
          <w:p>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违约详情</w:t>
            </w:r>
          </w:p>
        </w:tc>
        <w:tc>
          <w:tcPr>
            <w:tcW w:w="2914" w:type="dxa"/>
            <w:tcBorders>
              <w:top w:val="nil"/>
              <w:left w:val="nil"/>
              <w:bottom w:val="nil"/>
              <w:right w:val="single" w:color="auto" w:sz="4" w:space="0"/>
            </w:tcBorders>
            <w:shd w:val="clear" w:color="000000" w:fill="F2F2F2"/>
            <w:vAlign w:val="center"/>
          </w:tcPr>
          <w:p>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处罚办法</w:t>
            </w:r>
          </w:p>
        </w:tc>
      </w:tr>
      <w:tr>
        <w:tblPrEx>
          <w:tblCellMar>
            <w:top w:w="0" w:type="dxa"/>
            <w:left w:w="0" w:type="dxa"/>
            <w:bottom w:w="0" w:type="dxa"/>
            <w:right w:w="0" w:type="dxa"/>
          </w:tblCellMar>
        </w:tblPrEx>
        <w:trPr>
          <w:trHeight w:val="449" w:hRule="atLeast"/>
        </w:trPr>
        <w:tc>
          <w:tcPr>
            <w:tcW w:w="1103" w:type="dxa"/>
            <w:vMerge w:val="restart"/>
            <w:tcBorders>
              <w:top w:val="single" w:color="auto" w:sz="4" w:space="0"/>
              <w:left w:val="single" w:color="auto" w:sz="4" w:space="0"/>
              <w:right w:val="single" w:color="auto" w:sz="4" w:space="0"/>
            </w:tcBorders>
            <w:vAlign w:val="center"/>
          </w:tcPr>
          <w:p>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一级</w:t>
            </w:r>
          </w:p>
        </w:tc>
        <w:tc>
          <w:tcPr>
            <w:tcW w:w="5694" w:type="dxa"/>
            <w:tcBorders>
              <w:top w:val="single" w:color="auto" w:sz="4" w:space="0"/>
              <w:left w:val="nil"/>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发生餐食、消防、车辆等安全问题，造成不良后果的</w:t>
            </w:r>
          </w:p>
        </w:tc>
        <w:tc>
          <w:tcPr>
            <w:tcW w:w="2914" w:type="dxa"/>
            <w:vMerge w:val="restart"/>
            <w:tcBorders>
              <w:top w:val="single" w:color="auto" w:sz="4" w:space="0"/>
              <w:left w:val="single" w:color="auto" w:sz="4" w:space="0"/>
              <w:right w:val="single" w:color="auto" w:sz="4" w:space="0"/>
            </w:tcBorders>
            <w:vAlign w:val="center"/>
          </w:tcPr>
          <w:p>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乙方应赔偿甲方、旅客所有损失，此外甲方有权视情况要求乙方赔偿20000元/次违约金。甲方有权单方面解除合同。</w:t>
            </w:r>
          </w:p>
        </w:tc>
      </w:tr>
      <w:tr>
        <w:tblPrEx>
          <w:tblCellMar>
            <w:top w:w="0" w:type="dxa"/>
            <w:left w:w="0" w:type="dxa"/>
            <w:bottom w:w="0" w:type="dxa"/>
            <w:right w:w="0" w:type="dxa"/>
          </w:tblCellMar>
        </w:tblPrEx>
        <w:trPr>
          <w:trHeight w:val="449" w:hRule="atLeast"/>
        </w:trPr>
        <w:tc>
          <w:tcPr>
            <w:tcW w:w="1103"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c>
          <w:tcPr>
            <w:tcW w:w="5694" w:type="dxa"/>
            <w:tcBorders>
              <w:top w:val="nil"/>
              <w:left w:val="nil"/>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szCs w:val="21"/>
                <w:highlight w:val="none"/>
              </w:rPr>
              <w:t>乙方责任原因导致重大投诉（包括但不限于涉及高端旅客投诉的；涉及投诉旅客达到5人（含）以上的；导致重大经济损失（超过人民币5000元）的</w:t>
            </w:r>
          </w:p>
        </w:tc>
        <w:tc>
          <w:tcPr>
            <w:tcW w:w="2914"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r>
      <w:tr>
        <w:tblPrEx>
          <w:tblCellMar>
            <w:top w:w="0" w:type="dxa"/>
            <w:left w:w="0" w:type="dxa"/>
            <w:bottom w:w="0" w:type="dxa"/>
            <w:right w:w="0" w:type="dxa"/>
          </w:tblCellMar>
        </w:tblPrEx>
        <w:trPr>
          <w:trHeight w:val="449" w:hRule="atLeast"/>
        </w:trPr>
        <w:tc>
          <w:tcPr>
            <w:tcW w:w="1103"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c>
          <w:tcPr>
            <w:tcW w:w="5694" w:type="dxa"/>
            <w:tcBorders>
              <w:top w:val="nil"/>
              <w:left w:val="nil"/>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导致媒体（含网站）公开报道的，造成负面媒体影响的</w:t>
            </w:r>
          </w:p>
        </w:tc>
        <w:tc>
          <w:tcPr>
            <w:tcW w:w="2914"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r>
      <w:tr>
        <w:tblPrEx>
          <w:tblCellMar>
            <w:top w:w="0" w:type="dxa"/>
            <w:left w:w="0" w:type="dxa"/>
            <w:bottom w:w="0" w:type="dxa"/>
            <w:right w:w="0" w:type="dxa"/>
          </w:tblCellMar>
        </w:tblPrEx>
        <w:trPr>
          <w:trHeight w:val="449" w:hRule="atLeast"/>
        </w:trPr>
        <w:tc>
          <w:tcPr>
            <w:tcW w:w="1103"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c>
          <w:tcPr>
            <w:tcW w:w="5694" w:type="dxa"/>
            <w:tcBorders>
              <w:top w:val="nil"/>
              <w:left w:val="nil"/>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财务结算涉及虚假账目的</w:t>
            </w:r>
          </w:p>
        </w:tc>
        <w:tc>
          <w:tcPr>
            <w:tcW w:w="2914"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r>
      <w:tr>
        <w:tblPrEx>
          <w:tblCellMar>
            <w:top w:w="0" w:type="dxa"/>
            <w:left w:w="0" w:type="dxa"/>
            <w:bottom w:w="0" w:type="dxa"/>
            <w:right w:w="0" w:type="dxa"/>
          </w:tblCellMar>
        </w:tblPrEx>
        <w:trPr>
          <w:trHeight w:val="449" w:hRule="atLeast"/>
        </w:trPr>
        <w:tc>
          <w:tcPr>
            <w:tcW w:w="1103"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c>
          <w:tcPr>
            <w:tcW w:w="5694" w:type="dxa"/>
            <w:tcBorders>
              <w:top w:val="nil"/>
              <w:left w:val="nil"/>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乙方责任原因导致航班延误的</w:t>
            </w:r>
          </w:p>
        </w:tc>
        <w:tc>
          <w:tcPr>
            <w:tcW w:w="2914"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r>
      <w:tr>
        <w:tblPrEx>
          <w:tblCellMar>
            <w:top w:w="0" w:type="dxa"/>
            <w:left w:w="0" w:type="dxa"/>
            <w:bottom w:w="0" w:type="dxa"/>
            <w:right w:w="0" w:type="dxa"/>
          </w:tblCellMar>
        </w:tblPrEx>
        <w:trPr>
          <w:trHeight w:val="449" w:hRule="atLeast"/>
        </w:trPr>
        <w:tc>
          <w:tcPr>
            <w:tcW w:w="1103"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c>
          <w:tcPr>
            <w:tcW w:w="5694" w:type="dxa"/>
            <w:tcBorders>
              <w:top w:val="nil"/>
              <w:left w:val="nil"/>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投诉处理过程中有反馈不及时、推诿责任等情况，导致投诉升级或影响扩大的</w:t>
            </w:r>
          </w:p>
        </w:tc>
        <w:tc>
          <w:tcPr>
            <w:tcW w:w="2914"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r>
      <w:tr>
        <w:tblPrEx>
          <w:tblCellMar>
            <w:top w:w="0" w:type="dxa"/>
            <w:left w:w="0" w:type="dxa"/>
            <w:bottom w:w="0" w:type="dxa"/>
            <w:right w:w="0" w:type="dxa"/>
          </w:tblCellMar>
        </w:tblPrEx>
        <w:trPr>
          <w:trHeight w:val="449" w:hRule="atLeast"/>
        </w:trPr>
        <w:tc>
          <w:tcPr>
            <w:tcW w:w="1103" w:type="dxa"/>
            <w:vMerge w:val="continue"/>
            <w:tcBorders>
              <w:left w:val="single" w:color="auto" w:sz="4" w:space="0"/>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c>
          <w:tcPr>
            <w:tcW w:w="5694" w:type="dxa"/>
            <w:tcBorders>
              <w:top w:val="nil"/>
              <w:left w:val="nil"/>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无正当理由，拒绝甲方中转、航延旅客入住的</w:t>
            </w:r>
          </w:p>
        </w:tc>
        <w:tc>
          <w:tcPr>
            <w:tcW w:w="2914" w:type="dxa"/>
            <w:vMerge w:val="continue"/>
            <w:tcBorders>
              <w:left w:val="single" w:color="auto" w:sz="4" w:space="0"/>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r>
      <w:tr>
        <w:tblPrEx>
          <w:tblCellMar>
            <w:top w:w="0" w:type="dxa"/>
            <w:left w:w="0" w:type="dxa"/>
            <w:bottom w:w="0" w:type="dxa"/>
            <w:right w:w="0" w:type="dxa"/>
          </w:tblCellMar>
        </w:tblPrEx>
        <w:trPr>
          <w:trHeight w:val="532" w:hRule="atLeast"/>
        </w:trPr>
        <w:tc>
          <w:tcPr>
            <w:tcW w:w="1103" w:type="dxa"/>
            <w:vMerge w:val="restar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二级</w:t>
            </w:r>
          </w:p>
        </w:tc>
        <w:tc>
          <w:tcPr>
            <w:tcW w:w="5694" w:type="dxa"/>
            <w:tcBorders>
              <w:top w:val="nil"/>
              <w:left w:val="nil"/>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因未及时通知旅客登机、未及时将旅客运抵目的地或将旅客错拉其他航站楼等原因导致旅客误机的</w:t>
            </w:r>
          </w:p>
        </w:tc>
        <w:tc>
          <w:tcPr>
            <w:tcW w:w="2914" w:type="dxa"/>
            <w:vMerge w:val="restart"/>
            <w:tcBorders>
              <w:top w:val="nil"/>
              <w:left w:val="single" w:color="auto" w:sz="4" w:space="0"/>
              <w:bottom w:val="single" w:color="auto" w:sz="4" w:space="0"/>
              <w:right w:val="single" w:color="auto" w:sz="4" w:space="0"/>
            </w:tcBorders>
            <w:vAlign w:val="center"/>
          </w:tcPr>
          <w:p>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乙方应赔偿甲方、旅客所有损失。此外甲方有权视情况要求乙方赔偿10000元/次违约金，暂停合作3-6个月。合同</w:t>
            </w:r>
            <w:r>
              <w:rPr>
                <w:rFonts w:hint="eastAsia" w:ascii="宋体" w:hAnsi="宋体" w:cs="宋体"/>
                <w:color w:val="000000"/>
                <w:szCs w:val="21"/>
                <w:highlight w:val="none"/>
              </w:rPr>
              <w:t>期内累计发生2次的，</w:t>
            </w:r>
            <w:r>
              <w:rPr>
                <w:rFonts w:hint="eastAsia" w:ascii="宋体" w:hAnsi="宋体" w:cs="宋体"/>
                <w:color w:val="000000"/>
                <w:kern w:val="0"/>
                <w:szCs w:val="21"/>
                <w:highlight w:val="none"/>
              </w:rPr>
              <w:t>乙方</w:t>
            </w:r>
            <w:r>
              <w:rPr>
                <w:rFonts w:hint="eastAsia" w:ascii="宋体" w:hAnsi="宋体" w:cs="宋体"/>
                <w:color w:val="000000"/>
                <w:szCs w:val="21"/>
                <w:highlight w:val="none"/>
              </w:rPr>
              <w:t>除须按次支付违约金外，</w:t>
            </w:r>
            <w:r>
              <w:rPr>
                <w:rFonts w:hint="eastAsia" w:ascii="宋体" w:hAnsi="宋体" w:cs="宋体"/>
                <w:color w:val="000000"/>
                <w:kern w:val="0"/>
                <w:szCs w:val="21"/>
                <w:highlight w:val="none"/>
              </w:rPr>
              <w:t>甲方</w:t>
            </w:r>
            <w:r>
              <w:rPr>
                <w:rFonts w:hint="eastAsia" w:ascii="宋体" w:hAnsi="宋体" w:cs="宋体"/>
                <w:color w:val="000000"/>
                <w:szCs w:val="21"/>
                <w:highlight w:val="none"/>
              </w:rPr>
              <w:t>有权单方面解除合同。</w:t>
            </w:r>
          </w:p>
        </w:tc>
      </w:tr>
      <w:tr>
        <w:tblPrEx>
          <w:tblCellMar>
            <w:top w:w="0" w:type="dxa"/>
            <w:left w:w="0" w:type="dxa"/>
            <w:bottom w:w="0" w:type="dxa"/>
            <w:right w:w="0" w:type="dxa"/>
          </w:tblCellMar>
        </w:tblPrEx>
        <w:trPr>
          <w:trHeight w:val="402" w:hRule="atLeast"/>
        </w:trPr>
        <w:tc>
          <w:tcPr>
            <w:tcW w:w="1103"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c>
          <w:tcPr>
            <w:tcW w:w="5694" w:type="dxa"/>
            <w:tcBorders>
              <w:top w:val="nil"/>
              <w:left w:val="nil"/>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对旅客证件等材料保管不善导致丢失或损毁的</w:t>
            </w:r>
          </w:p>
        </w:tc>
        <w:tc>
          <w:tcPr>
            <w:tcW w:w="29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r>
      <w:tr>
        <w:tblPrEx>
          <w:tblCellMar>
            <w:top w:w="0" w:type="dxa"/>
            <w:left w:w="0" w:type="dxa"/>
            <w:bottom w:w="0" w:type="dxa"/>
            <w:right w:w="0" w:type="dxa"/>
          </w:tblCellMar>
        </w:tblPrEx>
        <w:trPr>
          <w:trHeight w:val="402" w:hRule="atLeast"/>
        </w:trPr>
        <w:tc>
          <w:tcPr>
            <w:tcW w:w="1103"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c>
          <w:tcPr>
            <w:tcW w:w="5694" w:type="dxa"/>
            <w:tcBorders>
              <w:top w:val="nil"/>
              <w:left w:val="nil"/>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未按合同价格及标准执行，或向旅客收取额外费用的</w:t>
            </w:r>
          </w:p>
        </w:tc>
        <w:tc>
          <w:tcPr>
            <w:tcW w:w="29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r>
      <w:tr>
        <w:tblPrEx>
          <w:tblCellMar>
            <w:top w:w="0" w:type="dxa"/>
            <w:left w:w="0" w:type="dxa"/>
            <w:bottom w:w="0" w:type="dxa"/>
            <w:right w:w="0" w:type="dxa"/>
          </w:tblCellMar>
        </w:tblPrEx>
        <w:trPr>
          <w:trHeight w:val="402" w:hRule="atLeast"/>
        </w:trPr>
        <w:tc>
          <w:tcPr>
            <w:tcW w:w="1103"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c>
          <w:tcPr>
            <w:tcW w:w="5694" w:type="dxa"/>
            <w:tcBorders>
              <w:top w:val="nil"/>
              <w:left w:val="nil"/>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未在供餐时段提供餐食的</w:t>
            </w:r>
          </w:p>
        </w:tc>
        <w:tc>
          <w:tcPr>
            <w:tcW w:w="29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r>
      <w:tr>
        <w:tblPrEx>
          <w:tblCellMar>
            <w:top w:w="0" w:type="dxa"/>
            <w:left w:w="0" w:type="dxa"/>
            <w:bottom w:w="0" w:type="dxa"/>
            <w:right w:w="0" w:type="dxa"/>
          </w:tblCellMar>
        </w:tblPrEx>
        <w:trPr>
          <w:trHeight w:val="402" w:hRule="atLeast"/>
        </w:trPr>
        <w:tc>
          <w:tcPr>
            <w:tcW w:w="1103"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c>
          <w:tcPr>
            <w:tcW w:w="5694" w:type="dxa"/>
            <w:tcBorders>
              <w:top w:val="nil"/>
              <w:left w:val="nil"/>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未经甲方同意，安排旅客至其他酒店的</w:t>
            </w:r>
          </w:p>
        </w:tc>
        <w:tc>
          <w:tcPr>
            <w:tcW w:w="29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r>
      <w:tr>
        <w:tblPrEx>
          <w:tblCellMar>
            <w:top w:w="0" w:type="dxa"/>
            <w:left w:w="0" w:type="dxa"/>
            <w:bottom w:w="0" w:type="dxa"/>
            <w:right w:w="0" w:type="dxa"/>
          </w:tblCellMar>
        </w:tblPrEx>
        <w:trPr>
          <w:trHeight w:val="402" w:hRule="atLeast"/>
        </w:trPr>
        <w:tc>
          <w:tcPr>
            <w:tcW w:w="1103"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c>
          <w:tcPr>
            <w:tcW w:w="5694" w:type="dxa"/>
            <w:tcBorders>
              <w:top w:val="nil"/>
              <w:left w:val="nil"/>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违反《中转航延协议酒店生产安全责任书》相关要求的</w:t>
            </w:r>
          </w:p>
        </w:tc>
        <w:tc>
          <w:tcPr>
            <w:tcW w:w="29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r>
      <w:tr>
        <w:tblPrEx>
          <w:tblCellMar>
            <w:top w:w="0" w:type="dxa"/>
            <w:left w:w="0" w:type="dxa"/>
            <w:bottom w:w="0" w:type="dxa"/>
            <w:right w:w="0" w:type="dxa"/>
          </w:tblCellMar>
        </w:tblPrEx>
        <w:trPr>
          <w:trHeight w:val="402" w:hRule="atLeast"/>
        </w:trPr>
        <w:tc>
          <w:tcPr>
            <w:tcW w:w="1103"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c>
          <w:tcPr>
            <w:tcW w:w="5694" w:type="dxa"/>
            <w:tcBorders>
              <w:top w:val="nil"/>
              <w:left w:val="nil"/>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虚报房态导致旅客到店不能入住的</w:t>
            </w:r>
          </w:p>
        </w:tc>
        <w:tc>
          <w:tcPr>
            <w:tcW w:w="2914"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r>
      <w:tr>
        <w:tblPrEx>
          <w:tblCellMar>
            <w:top w:w="0" w:type="dxa"/>
            <w:left w:w="0" w:type="dxa"/>
            <w:bottom w:w="0" w:type="dxa"/>
            <w:right w:w="0" w:type="dxa"/>
          </w:tblCellMar>
        </w:tblPrEx>
        <w:trPr>
          <w:trHeight w:val="449" w:hRule="atLeast"/>
        </w:trPr>
        <w:tc>
          <w:tcPr>
            <w:tcW w:w="1103" w:type="dxa"/>
            <w:vMerge w:val="restart"/>
            <w:tcBorders>
              <w:top w:val="nil"/>
              <w:left w:val="single" w:color="auto" w:sz="4" w:space="0"/>
              <w:right w:val="single" w:color="auto" w:sz="4" w:space="0"/>
            </w:tcBorders>
            <w:vAlign w:val="center"/>
          </w:tcPr>
          <w:p>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三级</w:t>
            </w:r>
          </w:p>
        </w:tc>
        <w:tc>
          <w:tcPr>
            <w:tcW w:w="5694" w:type="dxa"/>
            <w:tcBorders>
              <w:top w:val="nil"/>
              <w:left w:val="nil"/>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提供的餐食质量及种类不符合要求的</w:t>
            </w:r>
          </w:p>
        </w:tc>
        <w:tc>
          <w:tcPr>
            <w:tcW w:w="2914" w:type="dxa"/>
            <w:vMerge w:val="restart"/>
            <w:tcBorders>
              <w:top w:val="nil"/>
              <w:left w:val="single" w:color="auto" w:sz="4" w:space="0"/>
              <w:right w:val="single" w:color="auto" w:sz="4" w:space="0"/>
            </w:tcBorders>
            <w:vAlign w:val="center"/>
          </w:tcPr>
          <w:p>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乙方应赔偿甲方、旅客所有损失。此外甲方有权视情况要求乙方赔偿5000元/次违约金，暂停合作1-3个月。合同期</w:t>
            </w:r>
            <w:r>
              <w:rPr>
                <w:rFonts w:hint="eastAsia" w:ascii="宋体" w:hAnsi="宋体" w:cs="宋体"/>
                <w:color w:val="000000"/>
                <w:szCs w:val="21"/>
                <w:highlight w:val="none"/>
              </w:rPr>
              <w:t>内累计发生3次的，</w:t>
            </w:r>
            <w:r>
              <w:rPr>
                <w:rFonts w:hint="eastAsia" w:ascii="宋体" w:hAnsi="宋体" w:cs="宋体"/>
                <w:color w:val="000000"/>
                <w:kern w:val="0"/>
                <w:szCs w:val="21"/>
                <w:highlight w:val="none"/>
              </w:rPr>
              <w:t>乙方</w:t>
            </w:r>
            <w:r>
              <w:rPr>
                <w:rFonts w:hint="eastAsia" w:ascii="宋体" w:hAnsi="宋体" w:cs="宋体"/>
                <w:color w:val="000000"/>
                <w:szCs w:val="21"/>
                <w:highlight w:val="none"/>
              </w:rPr>
              <w:t>除须按次支付违约金外，</w:t>
            </w:r>
            <w:r>
              <w:rPr>
                <w:rFonts w:hint="eastAsia" w:ascii="宋体" w:hAnsi="宋体" w:cs="宋体"/>
                <w:color w:val="000000"/>
                <w:kern w:val="0"/>
                <w:szCs w:val="21"/>
                <w:highlight w:val="none"/>
              </w:rPr>
              <w:t>甲方</w:t>
            </w:r>
            <w:r>
              <w:rPr>
                <w:rFonts w:hint="eastAsia" w:ascii="宋体" w:hAnsi="宋体" w:cs="宋体"/>
                <w:color w:val="000000"/>
                <w:szCs w:val="21"/>
                <w:highlight w:val="none"/>
              </w:rPr>
              <w:t>有权单方面解除合同。</w:t>
            </w:r>
          </w:p>
        </w:tc>
      </w:tr>
      <w:tr>
        <w:tblPrEx>
          <w:tblCellMar>
            <w:top w:w="0" w:type="dxa"/>
            <w:left w:w="0" w:type="dxa"/>
            <w:bottom w:w="0" w:type="dxa"/>
            <w:right w:w="0" w:type="dxa"/>
          </w:tblCellMar>
        </w:tblPrEx>
        <w:trPr>
          <w:trHeight w:val="449" w:hRule="atLeast"/>
        </w:trPr>
        <w:tc>
          <w:tcPr>
            <w:tcW w:w="1103"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c>
          <w:tcPr>
            <w:tcW w:w="5694" w:type="dxa"/>
            <w:tcBorders>
              <w:top w:val="nil"/>
              <w:left w:val="nil"/>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未按合同标准提供免费床位的</w:t>
            </w:r>
          </w:p>
        </w:tc>
        <w:tc>
          <w:tcPr>
            <w:tcW w:w="2914"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r>
      <w:tr>
        <w:tblPrEx>
          <w:tblCellMar>
            <w:top w:w="0" w:type="dxa"/>
            <w:left w:w="0" w:type="dxa"/>
            <w:bottom w:w="0" w:type="dxa"/>
            <w:right w:w="0" w:type="dxa"/>
          </w:tblCellMar>
        </w:tblPrEx>
        <w:trPr>
          <w:trHeight w:val="449" w:hRule="atLeast"/>
        </w:trPr>
        <w:tc>
          <w:tcPr>
            <w:tcW w:w="1103"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c>
          <w:tcPr>
            <w:tcW w:w="5694" w:type="dxa"/>
            <w:tcBorders>
              <w:top w:val="nil"/>
              <w:left w:val="nil"/>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超过约定车辆到位时间30分钟以上的</w:t>
            </w:r>
          </w:p>
        </w:tc>
        <w:tc>
          <w:tcPr>
            <w:tcW w:w="2914"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r>
      <w:tr>
        <w:tblPrEx>
          <w:tblCellMar>
            <w:top w:w="0" w:type="dxa"/>
            <w:left w:w="0" w:type="dxa"/>
            <w:bottom w:w="0" w:type="dxa"/>
            <w:right w:w="0" w:type="dxa"/>
          </w:tblCellMar>
        </w:tblPrEx>
        <w:trPr>
          <w:trHeight w:val="449" w:hRule="atLeast"/>
        </w:trPr>
        <w:tc>
          <w:tcPr>
            <w:tcW w:w="1103" w:type="dxa"/>
            <w:vMerge w:val="continue"/>
            <w:tcBorders>
              <w:left w:val="single" w:color="auto" w:sz="4" w:space="0"/>
              <w:right w:val="single" w:color="auto" w:sz="4" w:space="0"/>
            </w:tcBorders>
            <w:shd w:val="clear" w:color="auto" w:fill="auto"/>
            <w:vAlign w:val="center"/>
          </w:tcPr>
          <w:p>
            <w:pPr>
              <w:widowControl/>
              <w:jc w:val="left"/>
              <w:rPr>
                <w:rFonts w:hint="eastAsia" w:ascii="宋体" w:hAnsi="宋体" w:cs="宋体"/>
                <w:color w:val="000000"/>
                <w:kern w:val="0"/>
                <w:szCs w:val="21"/>
                <w:highlight w:val="none"/>
              </w:rPr>
            </w:pPr>
          </w:p>
        </w:tc>
        <w:tc>
          <w:tcPr>
            <w:tcW w:w="5694" w:type="dxa"/>
            <w:tcBorders>
              <w:top w:val="nil"/>
              <w:left w:val="nil"/>
              <w:bottom w:val="single" w:color="auto" w:sz="4" w:space="0"/>
              <w:right w:val="single" w:color="auto" w:sz="4" w:space="0"/>
            </w:tcBorders>
            <w:shd w:val="clear" w:color="000000" w:fill="FFFFFF"/>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同一航班车辆前后衔接时间超过半小时的</w:t>
            </w:r>
          </w:p>
        </w:tc>
        <w:tc>
          <w:tcPr>
            <w:tcW w:w="2914"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r>
      <w:tr>
        <w:tblPrEx>
          <w:tblCellMar>
            <w:top w:w="0" w:type="dxa"/>
            <w:left w:w="0" w:type="dxa"/>
            <w:bottom w:w="0" w:type="dxa"/>
            <w:right w:w="0" w:type="dxa"/>
          </w:tblCellMar>
        </w:tblPrEx>
        <w:trPr>
          <w:trHeight w:val="449" w:hRule="atLeast"/>
        </w:trPr>
        <w:tc>
          <w:tcPr>
            <w:tcW w:w="1103" w:type="dxa"/>
            <w:vMerge w:val="continue"/>
            <w:tcBorders>
              <w:left w:val="single" w:color="auto" w:sz="4" w:space="0"/>
              <w:right w:val="single" w:color="auto" w:sz="4" w:space="0"/>
            </w:tcBorders>
            <w:shd w:val="clear" w:color="auto" w:fill="auto"/>
            <w:vAlign w:val="center"/>
          </w:tcPr>
          <w:p>
            <w:pPr>
              <w:widowControl/>
              <w:jc w:val="left"/>
              <w:rPr>
                <w:rFonts w:hint="eastAsia" w:ascii="宋体" w:hAnsi="宋体" w:cs="宋体"/>
                <w:color w:val="000000"/>
                <w:kern w:val="0"/>
                <w:szCs w:val="21"/>
                <w:highlight w:val="none"/>
              </w:rPr>
            </w:pPr>
          </w:p>
        </w:tc>
        <w:tc>
          <w:tcPr>
            <w:tcW w:w="5694" w:type="dxa"/>
            <w:tcBorders>
              <w:top w:val="nil"/>
              <w:left w:val="nil"/>
              <w:bottom w:val="single" w:color="auto" w:sz="4" w:space="0"/>
              <w:right w:val="single" w:color="auto" w:sz="4" w:space="0"/>
            </w:tcBorders>
            <w:shd w:val="clear" w:color="000000" w:fill="FFFFFF"/>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未按合同标准安排车辆运送旅客的</w:t>
            </w:r>
          </w:p>
        </w:tc>
        <w:tc>
          <w:tcPr>
            <w:tcW w:w="2914"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r>
      <w:tr>
        <w:tblPrEx>
          <w:tblCellMar>
            <w:top w:w="0" w:type="dxa"/>
            <w:left w:w="0" w:type="dxa"/>
            <w:bottom w:w="0" w:type="dxa"/>
            <w:right w:w="0" w:type="dxa"/>
          </w:tblCellMar>
        </w:tblPrEx>
        <w:trPr>
          <w:trHeight w:val="449" w:hRule="atLeast"/>
        </w:trPr>
        <w:tc>
          <w:tcPr>
            <w:tcW w:w="1103" w:type="dxa"/>
            <w:vMerge w:val="continue"/>
            <w:tcBorders>
              <w:left w:val="single" w:color="auto" w:sz="4" w:space="0"/>
              <w:right w:val="single" w:color="auto" w:sz="4" w:space="0"/>
            </w:tcBorders>
            <w:shd w:val="clear" w:color="auto" w:fill="auto"/>
            <w:vAlign w:val="center"/>
          </w:tcPr>
          <w:p>
            <w:pPr>
              <w:widowControl/>
              <w:jc w:val="left"/>
              <w:rPr>
                <w:rFonts w:hint="eastAsia" w:ascii="宋体" w:hAnsi="宋体" w:cs="宋体"/>
                <w:color w:val="000000"/>
                <w:kern w:val="0"/>
                <w:szCs w:val="21"/>
                <w:highlight w:val="none"/>
              </w:rPr>
            </w:pPr>
          </w:p>
        </w:tc>
        <w:tc>
          <w:tcPr>
            <w:tcW w:w="5694" w:type="dxa"/>
            <w:tcBorders>
              <w:top w:val="nil"/>
              <w:left w:val="nil"/>
              <w:bottom w:val="single" w:color="auto" w:sz="4" w:space="0"/>
              <w:right w:val="single" w:color="auto" w:sz="4" w:space="0"/>
            </w:tcBorders>
            <w:shd w:val="clear" w:color="000000" w:fill="FFFFFF"/>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虚报车辆到位时间，导致旅客等待时间超过半个小时的</w:t>
            </w:r>
          </w:p>
        </w:tc>
        <w:tc>
          <w:tcPr>
            <w:tcW w:w="2914"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r>
      <w:tr>
        <w:tblPrEx>
          <w:tblCellMar>
            <w:top w:w="0" w:type="dxa"/>
            <w:left w:w="0" w:type="dxa"/>
            <w:bottom w:w="0" w:type="dxa"/>
            <w:right w:w="0" w:type="dxa"/>
          </w:tblCellMar>
        </w:tblPrEx>
        <w:trPr>
          <w:trHeight w:val="449" w:hRule="atLeast"/>
        </w:trPr>
        <w:tc>
          <w:tcPr>
            <w:tcW w:w="1103"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c>
          <w:tcPr>
            <w:tcW w:w="5694" w:type="dxa"/>
            <w:tcBorders>
              <w:top w:val="nil"/>
              <w:left w:val="nil"/>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向旅客提供错误航班信息导致非群体性（5人以下）旅客投诉的</w:t>
            </w:r>
          </w:p>
        </w:tc>
        <w:tc>
          <w:tcPr>
            <w:tcW w:w="2914"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r>
      <w:tr>
        <w:tblPrEx>
          <w:tblCellMar>
            <w:top w:w="0" w:type="dxa"/>
            <w:left w:w="0" w:type="dxa"/>
            <w:bottom w:w="0" w:type="dxa"/>
            <w:right w:w="0" w:type="dxa"/>
          </w:tblCellMar>
        </w:tblPrEx>
        <w:trPr>
          <w:trHeight w:val="449" w:hRule="atLeast"/>
        </w:trPr>
        <w:tc>
          <w:tcPr>
            <w:tcW w:w="1103"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c>
          <w:tcPr>
            <w:tcW w:w="5694" w:type="dxa"/>
            <w:tcBorders>
              <w:top w:val="nil"/>
              <w:left w:val="nil"/>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对待旅客态度冷漠导致非群体性旅客投诉的</w:t>
            </w:r>
          </w:p>
        </w:tc>
        <w:tc>
          <w:tcPr>
            <w:tcW w:w="2914"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r>
      <w:tr>
        <w:tblPrEx>
          <w:tblCellMar>
            <w:top w:w="0" w:type="dxa"/>
            <w:left w:w="0" w:type="dxa"/>
            <w:bottom w:w="0" w:type="dxa"/>
            <w:right w:w="0" w:type="dxa"/>
          </w:tblCellMar>
        </w:tblPrEx>
        <w:trPr>
          <w:trHeight w:val="449" w:hRule="atLeast"/>
        </w:trPr>
        <w:tc>
          <w:tcPr>
            <w:tcW w:w="1103"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c>
          <w:tcPr>
            <w:tcW w:w="5694" w:type="dxa"/>
            <w:tcBorders>
              <w:top w:val="nil"/>
              <w:left w:val="nil"/>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对旅客解释、安抚不到位导致非群体性旅客投诉的</w:t>
            </w:r>
          </w:p>
        </w:tc>
        <w:tc>
          <w:tcPr>
            <w:tcW w:w="2914"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r>
      <w:tr>
        <w:tblPrEx>
          <w:tblCellMar>
            <w:top w:w="0" w:type="dxa"/>
            <w:left w:w="0" w:type="dxa"/>
            <w:bottom w:w="0" w:type="dxa"/>
            <w:right w:w="0" w:type="dxa"/>
          </w:tblCellMar>
        </w:tblPrEx>
        <w:trPr>
          <w:trHeight w:val="449" w:hRule="atLeast"/>
        </w:trPr>
        <w:tc>
          <w:tcPr>
            <w:tcW w:w="1103"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c>
          <w:tcPr>
            <w:tcW w:w="5694" w:type="dxa"/>
            <w:tcBorders>
              <w:top w:val="nil"/>
              <w:left w:val="nil"/>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因硬件设施故障导致非群体性旅客投诉的</w:t>
            </w:r>
          </w:p>
        </w:tc>
        <w:tc>
          <w:tcPr>
            <w:tcW w:w="2914"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r>
      <w:tr>
        <w:tblPrEx>
          <w:tblCellMar>
            <w:top w:w="0" w:type="dxa"/>
            <w:left w:w="0" w:type="dxa"/>
            <w:bottom w:w="0" w:type="dxa"/>
            <w:right w:w="0" w:type="dxa"/>
          </w:tblCellMar>
        </w:tblPrEx>
        <w:trPr>
          <w:trHeight w:val="449" w:hRule="atLeast"/>
        </w:trPr>
        <w:tc>
          <w:tcPr>
            <w:tcW w:w="1103"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c>
          <w:tcPr>
            <w:tcW w:w="5694" w:type="dxa"/>
            <w:tcBorders>
              <w:top w:val="single" w:color="auto" w:sz="4" w:space="0"/>
              <w:left w:val="nil"/>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因环境卫生差导致非群体性旅客投诉的</w:t>
            </w:r>
          </w:p>
        </w:tc>
        <w:tc>
          <w:tcPr>
            <w:tcW w:w="2914"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r>
      <w:tr>
        <w:tblPrEx>
          <w:tblCellMar>
            <w:top w:w="0" w:type="dxa"/>
            <w:left w:w="0" w:type="dxa"/>
            <w:bottom w:w="0" w:type="dxa"/>
            <w:right w:w="0" w:type="dxa"/>
          </w:tblCellMar>
        </w:tblPrEx>
        <w:trPr>
          <w:trHeight w:val="449" w:hRule="atLeast"/>
        </w:trPr>
        <w:tc>
          <w:tcPr>
            <w:tcW w:w="1103"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c>
          <w:tcPr>
            <w:tcW w:w="5694" w:type="dxa"/>
            <w:tcBorders>
              <w:top w:val="single" w:color="auto" w:sz="4" w:space="0"/>
              <w:left w:val="nil"/>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高端旅客非群体性投诉的</w:t>
            </w:r>
          </w:p>
        </w:tc>
        <w:tc>
          <w:tcPr>
            <w:tcW w:w="2914"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r>
      <w:tr>
        <w:tblPrEx>
          <w:tblCellMar>
            <w:top w:w="0" w:type="dxa"/>
            <w:left w:w="0" w:type="dxa"/>
            <w:bottom w:w="0" w:type="dxa"/>
            <w:right w:w="0" w:type="dxa"/>
          </w:tblCellMar>
        </w:tblPrEx>
        <w:trPr>
          <w:trHeight w:val="449" w:hRule="atLeast"/>
        </w:trPr>
        <w:tc>
          <w:tcPr>
            <w:tcW w:w="1103"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c>
          <w:tcPr>
            <w:tcW w:w="5694" w:type="dxa"/>
            <w:tcBorders>
              <w:top w:val="single" w:color="auto" w:sz="4" w:space="0"/>
              <w:left w:val="nil"/>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因旅客用品不齐全导致非群体性投诉的</w:t>
            </w:r>
          </w:p>
        </w:tc>
        <w:tc>
          <w:tcPr>
            <w:tcW w:w="2914"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r>
      <w:tr>
        <w:tblPrEx>
          <w:tblCellMar>
            <w:top w:w="0" w:type="dxa"/>
            <w:left w:w="0" w:type="dxa"/>
            <w:bottom w:w="0" w:type="dxa"/>
            <w:right w:w="0" w:type="dxa"/>
          </w:tblCellMar>
        </w:tblPrEx>
        <w:trPr>
          <w:trHeight w:val="449" w:hRule="atLeast"/>
        </w:trPr>
        <w:tc>
          <w:tcPr>
            <w:tcW w:w="1103"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c>
          <w:tcPr>
            <w:tcW w:w="5694" w:type="dxa"/>
            <w:tcBorders>
              <w:top w:val="single" w:color="auto" w:sz="4" w:space="0"/>
              <w:left w:val="nil"/>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因软硬件设施导致招标人中转旅客满意度未达标的</w:t>
            </w:r>
          </w:p>
        </w:tc>
        <w:tc>
          <w:tcPr>
            <w:tcW w:w="2914" w:type="dxa"/>
            <w:vMerge w:val="continue"/>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r>
      <w:tr>
        <w:tblPrEx>
          <w:tblCellMar>
            <w:top w:w="0" w:type="dxa"/>
            <w:left w:w="0" w:type="dxa"/>
            <w:bottom w:w="0" w:type="dxa"/>
            <w:right w:w="0" w:type="dxa"/>
          </w:tblCellMar>
        </w:tblPrEx>
        <w:trPr>
          <w:trHeight w:val="449" w:hRule="atLeast"/>
        </w:trPr>
        <w:tc>
          <w:tcPr>
            <w:tcW w:w="1103" w:type="dxa"/>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c>
          <w:tcPr>
            <w:tcW w:w="5694" w:type="dxa"/>
            <w:tcBorders>
              <w:top w:val="single" w:color="auto" w:sz="4" w:space="0"/>
              <w:left w:val="nil"/>
              <w:bottom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不配合甲方的安全生产检查，或对于检查的问题未及时整改的</w:t>
            </w:r>
          </w:p>
        </w:tc>
        <w:tc>
          <w:tcPr>
            <w:tcW w:w="2914" w:type="dxa"/>
            <w:tcBorders>
              <w:left w:val="single" w:color="auto" w:sz="4" w:space="0"/>
              <w:right w:val="single" w:color="auto" w:sz="4" w:space="0"/>
            </w:tcBorders>
            <w:vAlign w:val="center"/>
          </w:tcPr>
          <w:p>
            <w:pPr>
              <w:widowControl/>
              <w:jc w:val="left"/>
              <w:rPr>
                <w:rFonts w:hint="eastAsia" w:ascii="宋体" w:hAnsi="宋体" w:cs="宋体"/>
                <w:color w:val="000000"/>
                <w:kern w:val="0"/>
                <w:szCs w:val="21"/>
                <w:highlight w:val="none"/>
              </w:rPr>
            </w:pPr>
          </w:p>
        </w:tc>
      </w:tr>
    </w:tbl>
    <w:p>
      <w:pPr>
        <w:widowControl/>
        <w:jc w:val="left"/>
        <w:rPr>
          <w:rFonts w:hint="eastAsia" w:ascii="宋体" w:hAnsi="宋体" w:cs="宋体"/>
          <w:sz w:val="20"/>
          <w:szCs w:val="20"/>
          <w:highlight w:val="none"/>
        </w:rPr>
      </w:pPr>
      <w:r>
        <w:rPr>
          <w:rFonts w:hint="eastAsia" w:ascii="宋体" w:hAnsi="宋体" w:cs="宋体"/>
          <w:sz w:val="18"/>
          <w:szCs w:val="18"/>
          <w:highlight w:val="none"/>
        </w:rPr>
        <w:br w:type="page"/>
      </w:r>
      <w:r>
        <w:rPr>
          <w:rFonts w:hint="eastAsia" w:ascii="宋体" w:hAnsi="宋体" w:cs="宋体"/>
          <w:szCs w:val="21"/>
          <w:highlight w:val="none"/>
        </w:rPr>
        <w:t>附件5：</w:t>
      </w:r>
    </w:p>
    <w:p>
      <w:pPr>
        <w:adjustRightInd w:val="0"/>
        <w:snapToGrid w:val="0"/>
        <w:spacing w:line="400" w:lineRule="exact"/>
        <w:rPr>
          <w:rFonts w:hint="eastAsia" w:ascii="宋体" w:hAnsi="宋体" w:cs="宋体"/>
          <w:sz w:val="20"/>
          <w:szCs w:val="21"/>
          <w:highlight w:val="none"/>
        </w:rPr>
      </w:pPr>
    </w:p>
    <w:p>
      <w:pPr>
        <w:adjustRightInd w:val="0"/>
        <w:snapToGrid w:val="0"/>
        <w:spacing w:line="400" w:lineRule="exact"/>
        <w:jc w:val="center"/>
        <w:rPr>
          <w:rFonts w:hint="eastAsia" w:ascii="宋体" w:hAnsi="宋体" w:cs="宋体"/>
          <w:b/>
          <w:bCs/>
          <w:sz w:val="28"/>
          <w:szCs w:val="28"/>
          <w:highlight w:val="none"/>
        </w:rPr>
      </w:pPr>
      <w:r>
        <w:rPr>
          <w:rFonts w:hint="eastAsia" w:ascii="宋体" w:hAnsi="宋体" w:cs="宋体"/>
          <w:b/>
          <w:bCs/>
          <w:sz w:val="28"/>
          <w:szCs w:val="28"/>
          <w:highlight w:val="none"/>
        </w:rPr>
        <w:t>南航广州地区中转航延协议酒店生产安全责任书</w:t>
      </w:r>
    </w:p>
    <w:p>
      <w:pPr>
        <w:adjustRightInd w:val="0"/>
        <w:snapToGrid w:val="0"/>
        <w:spacing w:line="400" w:lineRule="exact"/>
        <w:jc w:val="center"/>
        <w:rPr>
          <w:rFonts w:hint="eastAsia" w:ascii="宋体" w:hAnsi="宋体" w:cs="宋体"/>
          <w:sz w:val="40"/>
          <w:szCs w:val="40"/>
          <w:highlight w:val="none"/>
        </w:rPr>
      </w:pPr>
    </w:p>
    <w:p>
      <w:pPr>
        <w:adjustRightInd w:val="0"/>
        <w:snapToGrid w:val="0"/>
        <w:spacing w:line="360" w:lineRule="exact"/>
        <w:rPr>
          <w:rFonts w:hint="eastAsia" w:ascii="宋体" w:hAnsi="宋体" w:cs="宋体"/>
          <w:sz w:val="20"/>
          <w:szCs w:val="20"/>
          <w:highlight w:val="none"/>
          <w:u w:val="single"/>
        </w:rPr>
      </w:pPr>
      <w:r>
        <w:rPr>
          <w:rFonts w:hint="eastAsia" w:ascii="宋体" w:hAnsi="宋体" w:cs="宋体"/>
          <w:sz w:val="20"/>
          <w:szCs w:val="20"/>
          <w:highlight w:val="none"/>
        </w:rPr>
        <w:t>甲方：</w:t>
      </w:r>
      <w:r>
        <w:rPr>
          <w:rFonts w:hint="eastAsia" w:ascii="宋体" w:hAnsi="宋体" w:cs="宋体"/>
          <w:sz w:val="20"/>
          <w:szCs w:val="20"/>
          <w:highlight w:val="none"/>
          <w:u w:val="single"/>
        </w:rPr>
        <w:t>中国南方航空股份有限公司</w:t>
      </w:r>
    </w:p>
    <w:p>
      <w:pPr>
        <w:adjustRightInd w:val="0"/>
        <w:snapToGrid w:val="0"/>
        <w:spacing w:line="360" w:lineRule="exact"/>
        <w:rPr>
          <w:rFonts w:hint="eastAsia" w:ascii="宋体" w:hAnsi="宋体" w:cs="宋体"/>
          <w:sz w:val="20"/>
          <w:szCs w:val="20"/>
          <w:highlight w:val="none"/>
        </w:rPr>
      </w:pPr>
      <w:r>
        <w:rPr>
          <w:rFonts w:hint="eastAsia" w:ascii="宋体" w:hAnsi="宋体" w:cs="宋体"/>
          <w:sz w:val="20"/>
          <w:szCs w:val="20"/>
          <w:highlight w:val="none"/>
        </w:rPr>
        <w:t>乙方：</w:t>
      </w:r>
      <w:r>
        <w:rPr>
          <w:rFonts w:hint="eastAsia" w:ascii="宋体" w:hAnsi="宋体" w:cs="宋体"/>
          <w:sz w:val="20"/>
          <w:szCs w:val="20"/>
          <w:highlight w:val="none"/>
          <w:u w:val="single"/>
        </w:rPr>
        <w:t xml:space="preserve">                        </w:t>
      </w:r>
    </w:p>
    <w:p>
      <w:pPr>
        <w:adjustRightInd w:val="0"/>
        <w:snapToGrid w:val="0"/>
        <w:spacing w:line="360" w:lineRule="exact"/>
        <w:rPr>
          <w:rFonts w:hint="eastAsia" w:ascii="宋体" w:hAnsi="宋体" w:cs="宋体"/>
          <w:sz w:val="20"/>
          <w:szCs w:val="20"/>
          <w:highlight w:val="none"/>
        </w:rPr>
      </w:pP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为规范乙方生产安全管理工作，保障甲方旅客的生命和财产安全，结合中转航延业务的实际情况，双方就安全生产责任要求达成如下一致：</w:t>
      </w:r>
    </w:p>
    <w:p>
      <w:pPr>
        <w:numPr>
          <w:ilvl w:val="0"/>
          <w:numId w:val="8"/>
        </w:numPr>
        <w:wordWrap w:val="0"/>
        <w:topLinePunct/>
        <w:adjustRightInd w:val="0"/>
        <w:snapToGrid w:val="0"/>
        <w:spacing w:line="360" w:lineRule="exact"/>
        <w:ind w:firstLine="402" w:firstLineChars="200"/>
        <w:rPr>
          <w:rFonts w:hint="eastAsia" w:ascii="宋体" w:hAnsi="宋体" w:cs="宋体"/>
          <w:b/>
          <w:bCs/>
          <w:sz w:val="20"/>
          <w:szCs w:val="20"/>
          <w:highlight w:val="none"/>
        </w:rPr>
      </w:pPr>
      <w:r>
        <w:rPr>
          <w:rFonts w:hint="eastAsia" w:ascii="宋体" w:hAnsi="宋体" w:cs="宋体"/>
          <w:b/>
          <w:bCs/>
          <w:sz w:val="20"/>
          <w:szCs w:val="20"/>
          <w:highlight w:val="none"/>
        </w:rPr>
        <w:t>消防安全要求</w:t>
      </w: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1.1消防疏散设施</w:t>
      </w:r>
    </w:p>
    <w:p>
      <w:pPr>
        <w:numPr>
          <w:ilvl w:val="0"/>
          <w:numId w:val="9"/>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确保疏散通道、安全出口的畅通，禁止占用、堵塞疏散通道和楼梯间；</w:t>
      </w:r>
    </w:p>
    <w:p>
      <w:pPr>
        <w:numPr>
          <w:ilvl w:val="0"/>
          <w:numId w:val="9"/>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疏散出口、安全出口的门应往外开不应锁闭；</w:t>
      </w:r>
    </w:p>
    <w:p>
      <w:pPr>
        <w:numPr>
          <w:ilvl w:val="0"/>
          <w:numId w:val="9"/>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封闭楼梯间、防烟楼梯间的门应完好；</w:t>
      </w:r>
    </w:p>
    <w:p>
      <w:pPr>
        <w:numPr>
          <w:ilvl w:val="0"/>
          <w:numId w:val="9"/>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常闭式防火门应经常保持关闭；</w:t>
      </w:r>
    </w:p>
    <w:p>
      <w:pPr>
        <w:numPr>
          <w:ilvl w:val="0"/>
          <w:numId w:val="9"/>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需要经常保持开启状态的防火门，应保证其火灾时能自动关闭；自动和手动关闭的装置应完好有效；</w:t>
      </w:r>
    </w:p>
    <w:p>
      <w:pPr>
        <w:numPr>
          <w:ilvl w:val="0"/>
          <w:numId w:val="9"/>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需要控制人员出入设有门禁系统的疏散门，应有保证火灾时人员疏散畅通的可靠措施；</w:t>
      </w:r>
    </w:p>
    <w:p>
      <w:pPr>
        <w:numPr>
          <w:ilvl w:val="0"/>
          <w:numId w:val="9"/>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安全出口、疏散通道不得设置门槛和其他影响疏散的障碍物；</w:t>
      </w:r>
    </w:p>
    <w:p>
      <w:pPr>
        <w:numPr>
          <w:ilvl w:val="0"/>
          <w:numId w:val="9"/>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消防应急照明、安全疏散指示标志应完好清晰，不应遮挡，连续供电时间应不少于90 分钟，发生损坏时应及时维修、更换；</w:t>
      </w:r>
    </w:p>
    <w:p>
      <w:pPr>
        <w:numPr>
          <w:ilvl w:val="0"/>
          <w:numId w:val="9"/>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安全出口、公共疏散走道上不应安装栅栏、卷帘门；</w:t>
      </w:r>
    </w:p>
    <w:p>
      <w:pPr>
        <w:numPr>
          <w:ilvl w:val="0"/>
          <w:numId w:val="9"/>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窗口、阳台等部位不应设置影响逃生和灭火救援的栅栏；</w:t>
      </w:r>
    </w:p>
    <w:p>
      <w:pPr>
        <w:numPr>
          <w:ilvl w:val="0"/>
          <w:numId w:val="9"/>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各楼层的明显位置应设置安全疏散指示图，指示图上应标明疏散路线、安全出口、人员所在位置和必要的文字说明。</w:t>
      </w: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1.2 消防设备</w:t>
      </w:r>
    </w:p>
    <w:p>
      <w:pPr>
        <w:numPr>
          <w:ilvl w:val="0"/>
          <w:numId w:val="10"/>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消火栓应有明显标识及使用说明；</w:t>
      </w:r>
    </w:p>
    <w:p>
      <w:pPr>
        <w:numPr>
          <w:ilvl w:val="0"/>
          <w:numId w:val="10"/>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室内消火栓箱不应上锁，箱内设备应齐全、完好，无渗漏；</w:t>
      </w:r>
    </w:p>
    <w:p>
      <w:pPr>
        <w:numPr>
          <w:ilvl w:val="0"/>
          <w:numId w:val="10"/>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室外消火栓不应埋压、圈占；距室外消火栓、水泵接合器 2 米范围内不得设置影响其正常使用的障碍物；</w:t>
      </w:r>
    </w:p>
    <w:p>
      <w:pPr>
        <w:numPr>
          <w:ilvl w:val="0"/>
          <w:numId w:val="10"/>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生产设备的设置不得影响防火门、防火卷帘、室内消火栓、灭火剂喷头、机械排烟口和送风口、自然排烟窗、火灾探测器、手动火灾报警按钮、声光报警装置、各类消防器材等消防设施的正常使用；</w:t>
      </w:r>
    </w:p>
    <w:p>
      <w:pPr>
        <w:numPr>
          <w:ilvl w:val="0"/>
          <w:numId w:val="10"/>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应确保消防设施和消防电源始终处于正常运行状态；需要维修时，应采取相应的安全防控措施，维修完成后，应立即恢复到正常运行状态；</w:t>
      </w:r>
    </w:p>
    <w:p>
      <w:pPr>
        <w:numPr>
          <w:ilvl w:val="0"/>
          <w:numId w:val="10"/>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按照消防设施管理制度和相关标准定期检查、检测消防设施，并做好记录，存档备查；</w:t>
      </w:r>
    </w:p>
    <w:p>
      <w:pPr>
        <w:numPr>
          <w:ilvl w:val="0"/>
          <w:numId w:val="10"/>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自动消防设施应按照有关规定，每月委托具有相关资质的单位进行全面检查，系统联动测试，并出具检测报告；</w:t>
      </w:r>
    </w:p>
    <w:p>
      <w:pPr>
        <w:numPr>
          <w:ilvl w:val="0"/>
          <w:numId w:val="10"/>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消防控制值班室内不得堆放杂物，应保证其环境满足设备正常运行的要求；应具备消防设施平面布置图、完整的消防设施设计、施工和验收资料、灭火和应急疏散预案等；</w:t>
      </w:r>
    </w:p>
    <w:p>
      <w:pPr>
        <w:numPr>
          <w:ilvl w:val="0"/>
          <w:numId w:val="10"/>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灭火器管理应符合下列要求：</w:t>
      </w:r>
    </w:p>
    <w:p>
      <w:pPr>
        <w:numPr>
          <w:ilvl w:val="0"/>
          <w:numId w:val="11"/>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灭火器的铭牌、生产日期或维修日期、使用说明等标志应齐全，并在有效期内；</w:t>
      </w:r>
    </w:p>
    <w:p>
      <w:pPr>
        <w:numPr>
          <w:ilvl w:val="0"/>
          <w:numId w:val="11"/>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灭火器的类型、规格、灭火级别和数量应符合配置设计要求；</w:t>
      </w:r>
    </w:p>
    <w:p>
      <w:pPr>
        <w:numPr>
          <w:ilvl w:val="0"/>
          <w:numId w:val="11"/>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灭火器筒体应无明显缺陷和机械损伤；</w:t>
      </w:r>
    </w:p>
    <w:p>
      <w:pPr>
        <w:numPr>
          <w:ilvl w:val="0"/>
          <w:numId w:val="11"/>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灭火器的保险装置应完好，喷管连接牢固无破损和老化现象；</w:t>
      </w:r>
    </w:p>
    <w:p>
      <w:pPr>
        <w:numPr>
          <w:ilvl w:val="0"/>
          <w:numId w:val="11"/>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灭火器压力指示器的指针应在绿区范围内；</w:t>
      </w:r>
    </w:p>
    <w:p>
      <w:pPr>
        <w:numPr>
          <w:ilvl w:val="0"/>
          <w:numId w:val="10"/>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灭火器无铅封、失压、外表腐蚀面积超过 30%，附件损坏，即为失效，应送维修单位维修；</w:t>
      </w:r>
    </w:p>
    <w:p>
      <w:pPr>
        <w:numPr>
          <w:ilvl w:val="0"/>
          <w:numId w:val="10"/>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灭火器的设置摆放不得影响安全疏散。</w:t>
      </w: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1.3 消防安全监控室</w:t>
      </w:r>
    </w:p>
    <w:p>
      <w:pPr>
        <w:numPr>
          <w:ilvl w:val="0"/>
          <w:numId w:val="12"/>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消防视频监控中心必须实行 24 小时值班制度；</w:t>
      </w:r>
    </w:p>
    <w:p>
      <w:pPr>
        <w:numPr>
          <w:ilvl w:val="0"/>
          <w:numId w:val="12"/>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消防视频监控中心值班员应严格执行设备操作规程，监控设备运行状态并及时处理各类报警信息，使设备始终处于正常运行状态；</w:t>
      </w:r>
    </w:p>
    <w:p>
      <w:pPr>
        <w:numPr>
          <w:ilvl w:val="0"/>
          <w:numId w:val="12"/>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消防视频监控中心值班员必须熟练掌握设备的操作技术，能准确判断各区域的异常迹象；</w:t>
      </w:r>
    </w:p>
    <w:p>
      <w:pPr>
        <w:numPr>
          <w:ilvl w:val="0"/>
          <w:numId w:val="12"/>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录像资料保存期限不少于 30 天。</w:t>
      </w: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1.4 消防台帐管理</w:t>
      </w:r>
    </w:p>
    <w:p>
      <w:pPr>
        <w:numPr>
          <w:ilvl w:val="0"/>
          <w:numId w:val="13"/>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建立消防档案管理制度，其内容应明确消防档案管理的责任部门和责任人；</w:t>
      </w:r>
    </w:p>
    <w:p>
      <w:pPr>
        <w:numPr>
          <w:ilvl w:val="0"/>
          <w:numId w:val="13"/>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消防设施定期检查记录、自动消防设施全面检查测试的报告以及维修保养记录；</w:t>
      </w:r>
    </w:p>
    <w:p>
      <w:pPr>
        <w:numPr>
          <w:ilvl w:val="0"/>
          <w:numId w:val="13"/>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火灾隐患、重大火灾隐患及其整改情况记录；</w:t>
      </w:r>
    </w:p>
    <w:p>
      <w:pPr>
        <w:numPr>
          <w:ilvl w:val="0"/>
          <w:numId w:val="13"/>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防火检查、巡查记录；</w:t>
      </w:r>
    </w:p>
    <w:p>
      <w:pPr>
        <w:numPr>
          <w:ilvl w:val="0"/>
          <w:numId w:val="13"/>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消防安全培训记录；</w:t>
      </w:r>
    </w:p>
    <w:p>
      <w:pPr>
        <w:numPr>
          <w:ilvl w:val="0"/>
          <w:numId w:val="13"/>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灭火和应急疏散预案的演练记录。</w:t>
      </w:r>
    </w:p>
    <w:p>
      <w:pPr>
        <w:wordWrap w:val="0"/>
        <w:topLinePunct/>
        <w:adjustRightInd w:val="0"/>
        <w:snapToGrid w:val="0"/>
        <w:spacing w:line="360" w:lineRule="exact"/>
        <w:ind w:firstLine="400" w:firstLineChars="200"/>
        <w:rPr>
          <w:rFonts w:hint="eastAsia" w:ascii="宋体" w:hAnsi="宋体" w:cs="宋体"/>
          <w:sz w:val="20"/>
          <w:szCs w:val="20"/>
          <w:highlight w:val="none"/>
        </w:rPr>
      </w:pPr>
    </w:p>
    <w:p>
      <w:pPr>
        <w:numPr>
          <w:ilvl w:val="0"/>
          <w:numId w:val="8"/>
        </w:numPr>
        <w:wordWrap w:val="0"/>
        <w:topLinePunct/>
        <w:adjustRightInd w:val="0"/>
        <w:snapToGrid w:val="0"/>
        <w:spacing w:line="360" w:lineRule="exact"/>
        <w:ind w:firstLine="402" w:firstLineChars="200"/>
        <w:rPr>
          <w:rFonts w:hint="eastAsia" w:ascii="宋体" w:hAnsi="宋体" w:cs="宋体"/>
          <w:b/>
          <w:bCs/>
          <w:sz w:val="20"/>
          <w:szCs w:val="20"/>
          <w:highlight w:val="none"/>
        </w:rPr>
      </w:pPr>
      <w:r>
        <w:rPr>
          <w:rFonts w:hint="eastAsia" w:ascii="宋体" w:hAnsi="宋体" w:cs="宋体"/>
          <w:b/>
          <w:bCs/>
          <w:sz w:val="20"/>
          <w:szCs w:val="20"/>
          <w:highlight w:val="none"/>
        </w:rPr>
        <w:t>餐饮安全要求</w:t>
      </w: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 xml:space="preserve">2.1食品及仓库卫生管理  </w:t>
      </w:r>
    </w:p>
    <w:p>
      <w:pPr>
        <w:numPr>
          <w:ilvl w:val="0"/>
          <w:numId w:val="14"/>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对采购到的食品必须进行认真验收，防止腐败变质及过期的食品和三无产品进库。存库食品应按主、副食和调味料等分开存放，做到离地、隔墙、分类分架存放；</w:t>
      </w:r>
    </w:p>
    <w:p>
      <w:pPr>
        <w:numPr>
          <w:ilvl w:val="0"/>
          <w:numId w:val="14"/>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食品及原料与日用品应当分区存放；禁止存放有毒有害物品及私人物品；</w:t>
      </w:r>
    </w:p>
    <w:p>
      <w:pPr>
        <w:numPr>
          <w:ilvl w:val="0"/>
          <w:numId w:val="14"/>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保持库房整洁、通风、干燥、无霉味，安装纱门、纱窗，挡鼠板，做好防尘、防蝇、防腐、防鼠和食品保洁工作；</w:t>
      </w:r>
    </w:p>
    <w:p>
      <w:pPr>
        <w:numPr>
          <w:ilvl w:val="0"/>
          <w:numId w:val="14"/>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仓库做好消防及三防措施，仓库内严禁吸烟。</w:t>
      </w: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2.2食品原料保管卫生管理</w:t>
      </w:r>
    </w:p>
    <w:p>
      <w:pPr>
        <w:numPr>
          <w:ilvl w:val="0"/>
          <w:numId w:val="15"/>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食品入库前的验收制度，做到凡腐败变质的、有毒有害的、感官异常及可疑的食品不入库、生熟食品、食品与非食品、有气味食品的和易吸味食品要分库（柜）存放；</w:t>
      </w:r>
    </w:p>
    <w:p>
      <w:pPr>
        <w:numPr>
          <w:ilvl w:val="0"/>
          <w:numId w:val="15"/>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食品原料、半成品、熟食品必须分开存放，严禁将食品原料直接放在地面上；</w:t>
      </w:r>
    </w:p>
    <w:p>
      <w:pPr>
        <w:numPr>
          <w:ilvl w:val="0"/>
          <w:numId w:val="15"/>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存放食品原料的冰箱、库房应有明显的标示；</w:t>
      </w:r>
    </w:p>
    <w:p>
      <w:pPr>
        <w:numPr>
          <w:ilvl w:val="0"/>
          <w:numId w:val="15"/>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食品原料管理人员应加强库存原料的日常检查，定期检查库内食品，如发现其变味变质，应及时处理；同时做好冰箱及库房的清洁卫生。</w:t>
      </w: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2.3食品加工卫生管理</w:t>
      </w:r>
    </w:p>
    <w:p>
      <w:pPr>
        <w:numPr>
          <w:ilvl w:val="0"/>
          <w:numId w:val="16"/>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严格执行食品安全法和有关规章制度，认真履行岗位卫生职责；</w:t>
      </w:r>
    </w:p>
    <w:p>
      <w:pPr>
        <w:numPr>
          <w:ilvl w:val="0"/>
          <w:numId w:val="16"/>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存放食品要做到生熟分开，成品与半成品分开，避免交叉污染；</w:t>
      </w:r>
    </w:p>
    <w:p>
      <w:pPr>
        <w:numPr>
          <w:ilvl w:val="0"/>
          <w:numId w:val="16"/>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用于原料、半成品、成品使用的工具容器使用前要消毒，须做到生熟分开。</w:t>
      </w: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2.4食品留样管理</w:t>
      </w:r>
    </w:p>
    <w:p>
      <w:pPr>
        <w:numPr>
          <w:ilvl w:val="0"/>
          <w:numId w:val="17"/>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 xml:space="preserve">每餐、每样食品必须按要求留足100g，分别盛放在己消毒的餐具中； </w:t>
      </w:r>
    </w:p>
    <w:p>
      <w:pPr>
        <w:numPr>
          <w:ilvl w:val="0"/>
          <w:numId w:val="17"/>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 xml:space="preserve">留样食品冷却后，必须用保鲜膜密封好（或加盖），并在外面标明留样时期、品名、餐次、留样人； </w:t>
      </w:r>
    </w:p>
    <w:p>
      <w:pPr>
        <w:numPr>
          <w:ilvl w:val="0"/>
          <w:numId w:val="17"/>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 xml:space="preserve">食品留样必须立即密封好、贴好标签后，必须立即存入专用留样冰箱内； </w:t>
      </w:r>
    </w:p>
    <w:p>
      <w:pPr>
        <w:numPr>
          <w:ilvl w:val="0"/>
          <w:numId w:val="17"/>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 xml:space="preserve">每餐必须作好留样记录：留样时期、食品名称、留样人、处理人等信息，便于检查； </w:t>
      </w:r>
    </w:p>
    <w:p>
      <w:pPr>
        <w:numPr>
          <w:ilvl w:val="0"/>
          <w:numId w:val="17"/>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 xml:space="preserve">留样食品必须保留48小时，时间到满后方可倒掉； </w:t>
      </w:r>
    </w:p>
    <w:p>
      <w:pPr>
        <w:numPr>
          <w:ilvl w:val="0"/>
          <w:numId w:val="17"/>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留样的采集和保管必须有专人负责，配备经消毒的专用取样工用具和样品存放的专用冷藏箱；</w:t>
      </w:r>
    </w:p>
    <w:p>
      <w:pPr>
        <w:numPr>
          <w:ilvl w:val="0"/>
          <w:numId w:val="17"/>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留样的食品样品应采集在操作过程中或加工终止时的样品，不得特殊制作；</w:t>
      </w:r>
    </w:p>
    <w:p>
      <w:pPr>
        <w:numPr>
          <w:ilvl w:val="0"/>
          <w:numId w:val="17"/>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留样冰箱为专用设备，留样冰箱内严禁存放与留样食品无关的物品；</w:t>
      </w:r>
    </w:p>
    <w:p>
      <w:pPr>
        <w:numPr>
          <w:ilvl w:val="0"/>
          <w:numId w:val="17"/>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留样样品：采集完成后应及时存放在5℃左右的冷藏条件下，不得冷冻保存。</w:t>
      </w:r>
    </w:p>
    <w:p>
      <w:pPr>
        <w:wordWrap w:val="0"/>
        <w:topLinePunct/>
        <w:adjustRightInd w:val="0"/>
        <w:snapToGrid w:val="0"/>
        <w:spacing w:line="360" w:lineRule="exact"/>
        <w:ind w:firstLine="400" w:firstLineChars="200"/>
        <w:rPr>
          <w:rFonts w:hint="eastAsia" w:ascii="宋体" w:hAnsi="宋体" w:cs="宋体"/>
          <w:sz w:val="20"/>
          <w:szCs w:val="20"/>
          <w:highlight w:val="none"/>
        </w:rPr>
      </w:pPr>
    </w:p>
    <w:p>
      <w:pPr>
        <w:numPr>
          <w:ilvl w:val="0"/>
          <w:numId w:val="8"/>
        </w:numPr>
        <w:wordWrap w:val="0"/>
        <w:topLinePunct/>
        <w:adjustRightInd w:val="0"/>
        <w:snapToGrid w:val="0"/>
        <w:spacing w:line="360" w:lineRule="exact"/>
        <w:ind w:firstLine="402" w:firstLineChars="200"/>
        <w:rPr>
          <w:rFonts w:hint="eastAsia" w:ascii="宋体" w:hAnsi="宋体" w:cs="宋体"/>
          <w:b/>
          <w:bCs/>
          <w:sz w:val="20"/>
          <w:szCs w:val="20"/>
          <w:highlight w:val="none"/>
        </w:rPr>
      </w:pPr>
      <w:r>
        <w:rPr>
          <w:rFonts w:hint="eastAsia" w:ascii="宋体" w:hAnsi="宋体" w:cs="宋体"/>
          <w:b/>
          <w:bCs/>
          <w:sz w:val="20"/>
          <w:szCs w:val="20"/>
          <w:highlight w:val="none"/>
        </w:rPr>
        <w:t>车辆安全要求</w:t>
      </w: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3.1 车辆台帐管理</w:t>
      </w: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乙方应建立运营车辆管理台帐，做好有关材料归档，随时备查。运营车辆管理台帐应包括但不限于：车辆档案（须含车辆行驶证复印件）、驾驶员资质档案（须含驾驶员资质复印件）、车辆维修保养记录、安全教育培训记录、两年内的驾驶员违章事故登记及车辆违章事故登记、车辆登记书原件或复印件、车辆保险单原件或复印件。</w:t>
      </w: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3.2车辆监控</w:t>
      </w:r>
    </w:p>
    <w:p>
      <w:pPr>
        <w:numPr>
          <w:ilvl w:val="0"/>
          <w:numId w:val="18"/>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在接送旅客过程中，乙方应随时提供接送旅客车辆的所在位置，车牌号码及驾驶员的联系方式；</w:t>
      </w:r>
    </w:p>
    <w:p>
      <w:pPr>
        <w:numPr>
          <w:ilvl w:val="0"/>
          <w:numId w:val="18"/>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建议乙方为车辆安装行车记录仪，以便拍下道路的实时画面与道路交通信息，当发生意外事故时可提供相关证据，录像数据至少保留一周；</w:t>
      </w:r>
    </w:p>
    <w:p>
      <w:pPr>
        <w:numPr>
          <w:ilvl w:val="0"/>
          <w:numId w:val="18"/>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建议乙方为车辆安装带有录音功能的车厢摄像头，以便驾驶员随时掌握车内状况，确保行车安全，录像数据至少保留一周；</w:t>
      </w:r>
    </w:p>
    <w:p>
      <w:pPr>
        <w:numPr>
          <w:ilvl w:val="0"/>
          <w:numId w:val="18"/>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建议乙方为车辆安装超速提醒装置，保证行车过程中最高时速符合《中华人民共和国道路交通安全法实施条例》的有关规定。</w:t>
      </w: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3.3 车辆使用管理</w:t>
      </w:r>
    </w:p>
    <w:p>
      <w:pPr>
        <w:numPr>
          <w:ilvl w:val="0"/>
          <w:numId w:val="19"/>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乙方使用的车辆必须符合国家标准规定的使用年限，持有有效的机动车行驶证、交强险、商业险及营运相关保险等；</w:t>
      </w:r>
    </w:p>
    <w:p>
      <w:pPr>
        <w:numPr>
          <w:ilvl w:val="0"/>
          <w:numId w:val="19"/>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乙方应确保接送旅客车辆的车质车况良好，不得擅自改装营运车辆；车辆应配备各种有效的安全装置和设备，如灭火器等；</w:t>
      </w:r>
    </w:p>
    <w:p>
      <w:pPr>
        <w:numPr>
          <w:ilvl w:val="0"/>
          <w:numId w:val="19"/>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执行行车任务前，乙方应对车辆的安全性能进行全方位的检查，发现问题及时排除，不消除隐患不得出车。</w:t>
      </w: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3.4 车辆维护保养</w:t>
      </w:r>
    </w:p>
    <w:p>
      <w:pPr>
        <w:numPr>
          <w:ilvl w:val="0"/>
          <w:numId w:val="20"/>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乙方应认真执行《道路运输车辆技术管理规定》第十五及十六条，定期对车辆进行维护，车辆维护应贯彻"预防为主、强制维护"的原则，保持车容整洁，及时发现和消除故障、隐患，防止车辆损坏；</w:t>
      </w:r>
    </w:p>
    <w:p>
      <w:pPr>
        <w:numPr>
          <w:ilvl w:val="0"/>
          <w:numId w:val="20"/>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各车辆都必须有指定人员进行维护保养，被指定人应自觉完成车辆维护保养工作，车管人员需做好检查落实工作，确保车辆保持良好的工作状态；</w:t>
      </w:r>
    </w:p>
    <w:p>
      <w:pPr>
        <w:numPr>
          <w:ilvl w:val="0"/>
          <w:numId w:val="20"/>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日常保养内容包括但不限于：</w:t>
      </w:r>
    </w:p>
    <w:p>
      <w:pPr>
        <w:numPr>
          <w:ilvl w:val="0"/>
          <w:numId w:val="21"/>
        </w:num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保养车辆的制动液、机油、方向传动液、冷却液、电瓶液的添加；</w:t>
      </w:r>
    </w:p>
    <w:p>
      <w:pPr>
        <w:numPr>
          <w:ilvl w:val="0"/>
          <w:numId w:val="21"/>
        </w:num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保养车辆的破损、漏气轮子的更换；</w:t>
      </w:r>
    </w:p>
    <w:p>
      <w:pPr>
        <w:numPr>
          <w:ilvl w:val="0"/>
          <w:numId w:val="21"/>
        </w:num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保养车辆的外观、底盘的清洗及室内卫生打扫。</w:t>
      </w:r>
    </w:p>
    <w:p>
      <w:pPr>
        <w:numPr>
          <w:ilvl w:val="0"/>
          <w:numId w:val="20"/>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乙方应建立车辆维护管理制度，按车辆《使用手册》的定期保养时限做好维修保养记录，确保车辆定期进行预防性的检查和维护，并保留相关记录。</w:t>
      </w:r>
    </w:p>
    <w:p>
      <w:pPr>
        <w:numPr>
          <w:ilvl w:val="0"/>
          <w:numId w:val="20"/>
        </w:numPr>
        <w:wordWrap w:val="0"/>
        <w:topLinePunct/>
        <w:adjustRightInd w:val="0"/>
        <w:snapToGrid w:val="0"/>
        <w:spacing w:line="360" w:lineRule="exact"/>
        <w:ind w:left="0" w:firstLine="400" w:firstLineChars="200"/>
        <w:rPr>
          <w:rFonts w:hint="eastAsia" w:ascii="宋体" w:hAnsi="宋体" w:cs="宋体"/>
          <w:sz w:val="20"/>
          <w:szCs w:val="20"/>
          <w:highlight w:val="none"/>
        </w:rPr>
      </w:pPr>
      <w:r>
        <w:rPr>
          <w:rFonts w:hint="eastAsia" w:ascii="宋体" w:hAnsi="宋体" w:cs="宋体"/>
          <w:sz w:val="20"/>
          <w:szCs w:val="20"/>
          <w:highlight w:val="none"/>
        </w:rPr>
        <w:t>乙方应注意车辆的保养，经常检查车辆的主要机件，发现车辆有故障时要立即检修。</w:t>
      </w: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3.5 安全驾驶要求</w:t>
      </w: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乙方驾驶员（以下简称“驾驶员”）应持有合法的与驾驶车辆相符的驾驶执照，必须遵守《中华人民共和国道路交通安全法》的规章制度，执行行车任务时，务必遵守以下“八不”原则：“不超载超限、不超速行车、不强行超车、不开带病车、不开情绪车、不开急躁车、不开冒险车、不酒后开车”，做到以下安全驾驶要求：</w:t>
      </w: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a）驾驶员执行行车任务时，不得与旅客交谈、不得进食、不得使用电子通讯工具（上网、发信息及接打电话等）；如确有通讯需要，应使用蓝牙耳机等无线设备进行沟通，避免影响驾驶安全；</w:t>
      </w: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b）驾驶员在上岗前10小时内禁止饮用酒类或含酒精的饮料，确保行车安全；</w:t>
      </w: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c）驾驶员保证精力充沛，谨慎驾驶，连续驾驶超过4小时必须停车休息,且停车时间不得少于20分钟，做到劳逸结合；</w:t>
      </w: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d）驾驶员应做到车未停稳不开门，旅客未坐稳不启动车辆；在行驶前，装载必须符合安全要求，提醒旅客不准将身体任何部位伸出车外并系好安全带；</w:t>
      </w: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e）驾驶员执行行车任务时，不得携带易燃、易爆、有毒有害等危险物品；</w:t>
      </w: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f）驾驶员驾驶机动车过程中，如旅客提出中途下车或出现其它影响安全行车的异常情况，在确保安全的情况下靠边停车，待车辆停稳后与旅客沟通，将事件概况立即反馈至甲方；</w:t>
      </w:r>
    </w:p>
    <w:p>
      <w:pPr>
        <w:pStyle w:val="9"/>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g）驾驶员驾驶机动车过程中存在不安全行为的，旅客有权提醒或制止驾驶员，并向甲方提出投诉。</w:t>
      </w:r>
    </w:p>
    <w:p>
      <w:pPr>
        <w:pStyle w:val="9"/>
        <w:wordWrap w:val="0"/>
        <w:topLinePunct/>
        <w:adjustRightInd w:val="0"/>
        <w:snapToGrid w:val="0"/>
        <w:spacing w:line="360" w:lineRule="exact"/>
        <w:ind w:firstLine="400" w:firstLineChars="200"/>
        <w:rPr>
          <w:rFonts w:hint="eastAsia" w:ascii="宋体" w:hAnsi="宋体" w:cs="宋体"/>
          <w:sz w:val="20"/>
          <w:szCs w:val="20"/>
          <w:highlight w:val="none"/>
        </w:rPr>
      </w:pPr>
    </w:p>
    <w:p>
      <w:pPr>
        <w:numPr>
          <w:ilvl w:val="0"/>
          <w:numId w:val="8"/>
        </w:numPr>
        <w:wordWrap w:val="0"/>
        <w:topLinePunct/>
        <w:adjustRightInd w:val="0"/>
        <w:snapToGrid w:val="0"/>
        <w:spacing w:line="360" w:lineRule="exact"/>
        <w:ind w:firstLine="402" w:firstLineChars="200"/>
        <w:rPr>
          <w:rFonts w:hint="eastAsia" w:ascii="宋体" w:hAnsi="宋体" w:cs="宋体"/>
          <w:b/>
          <w:bCs/>
          <w:sz w:val="20"/>
          <w:szCs w:val="20"/>
          <w:highlight w:val="none"/>
        </w:rPr>
      </w:pPr>
      <w:r>
        <w:rPr>
          <w:rFonts w:hint="eastAsia" w:ascii="宋体" w:hAnsi="宋体" w:cs="宋体"/>
          <w:b/>
          <w:bCs/>
          <w:sz w:val="20"/>
          <w:szCs w:val="20"/>
          <w:highlight w:val="none"/>
        </w:rPr>
        <w:t>甲方权利与义务</w:t>
      </w:r>
    </w:p>
    <w:p>
      <w:pPr>
        <w:wordWrap w:val="0"/>
        <w:topLinePunct/>
        <w:adjustRightInd w:val="0"/>
        <w:snapToGrid w:val="0"/>
        <w:spacing w:line="360" w:lineRule="exact"/>
        <w:ind w:firstLine="400" w:firstLineChars="200"/>
        <w:rPr>
          <w:rFonts w:hint="eastAsia" w:ascii="宋体" w:hAnsi="宋体" w:cs="宋体"/>
          <w:b/>
          <w:bCs/>
          <w:sz w:val="20"/>
          <w:szCs w:val="20"/>
          <w:highlight w:val="none"/>
        </w:rPr>
      </w:pPr>
      <w:r>
        <w:rPr>
          <w:rFonts w:hint="eastAsia" w:ascii="宋体" w:hAnsi="宋体" w:cs="宋体"/>
          <w:sz w:val="20"/>
          <w:szCs w:val="20"/>
          <w:highlight w:val="none"/>
        </w:rPr>
        <w:t>4.1甲方将定期组织检查人员到乙方进行现场检查，可通过酒店硬件呈现、文件查阅等方式进行检查，对于检查中发现的不符合规定项目可及时告知同时记录并取证，乙方对不符合项目有异议的，可在检查期间向甲方检查人员进行反馈澄清；</w:t>
      </w: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4.2乙方如有违反责任书相关要求的，甲方将根据</w:t>
      </w:r>
      <w:r>
        <w:rPr>
          <w:rFonts w:hint="eastAsia" w:ascii="宋体" w:hAnsi="宋体" w:cs="宋体"/>
          <w:color w:val="0000FF"/>
          <w:sz w:val="20"/>
          <w:szCs w:val="20"/>
          <w:highlight w:val="none"/>
        </w:rPr>
        <w:t>《酒店违约行为处罚办法）》</w:t>
      </w:r>
      <w:r>
        <w:rPr>
          <w:rFonts w:hint="eastAsia" w:ascii="宋体" w:hAnsi="宋体" w:cs="宋体"/>
          <w:sz w:val="20"/>
          <w:szCs w:val="20"/>
          <w:highlight w:val="none"/>
        </w:rPr>
        <w:t>有关条款对存在问题的乙方进行整改处理；</w:t>
      </w: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4.3甲方在检查中发现存在安全隐患的，乙方应在3个工作日内将整改措施反馈至甲方，并在规定的整改期限内完成整改；</w:t>
      </w: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4.4乙方安全方面存在重大安全隐患不能及时整改或造成安全事故的，甲方将按相关规定和程序进行处分；若构成犯罪的，甲方将移送司法机关部门，依法追究乙方刑事责任；</w:t>
      </w: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4.5甲方安排旅客</w:t>
      </w:r>
      <w:r>
        <w:rPr>
          <w:rFonts w:hint="eastAsia" w:ascii="宋体" w:hAnsi="宋体" w:cs="宋体"/>
          <w:sz w:val="20"/>
          <w:szCs w:val="20"/>
          <w:highlight w:val="none"/>
          <w:lang w:val="zh-CN"/>
        </w:rPr>
        <w:t>在</w:t>
      </w:r>
      <w:r>
        <w:rPr>
          <w:rFonts w:hint="eastAsia" w:ascii="宋体" w:hAnsi="宋体" w:cs="宋体"/>
          <w:sz w:val="20"/>
          <w:szCs w:val="20"/>
          <w:highlight w:val="none"/>
        </w:rPr>
        <w:t>乙方</w:t>
      </w:r>
      <w:r>
        <w:rPr>
          <w:rFonts w:hint="eastAsia" w:ascii="宋体" w:hAnsi="宋体" w:cs="宋体"/>
          <w:sz w:val="20"/>
          <w:szCs w:val="20"/>
          <w:highlight w:val="none"/>
          <w:lang w:val="zh-CN"/>
        </w:rPr>
        <w:t>住宿期间发生意外事件、或因</w:t>
      </w:r>
      <w:r>
        <w:rPr>
          <w:rFonts w:hint="eastAsia" w:ascii="宋体" w:hAnsi="宋体" w:cs="宋体"/>
          <w:sz w:val="20"/>
          <w:szCs w:val="20"/>
          <w:highlight w:val="none"/>
        </w:rPr>
        <w:t>乙方</w:t>
      </w:r>
      <w:r>
        <w:rPr>
          <w:rFonts w:hint="eastAsia" w:ascii="宋体" w:hAnsi="宋体" w:cs="宋体"/>
          <w:sz w:val="20"/>
          <w:szCs w:val="20"/>
          <w:highlight w:val="none"/>
          <w:lang w:val="zh-CN"/>
        </w:rPr>
        <w:t>设备设施所造成的人身安全和财产损失，均由</w:t>
      </w:r>
      <w:r>
        <w:rPr>
          <w:rFonts w:hint="eastAsia" w:ascii="宋体" w:hAnsi="宋体" w:cs="宋体"/>
          <w:sz w:val="20"/>
          <w:szCs w:val="20"/>
          <w:highlight w:val="none"/>
        </w:rPr>
        <w:t>乙方</w:t>
      </w:r>
      <w:r>
        <w:rPr>
          <w:rFonts w:hint="eastAsia" w:ascii="宋体" w:hAnsi="宋体" w:cs="宋体"/>
          <w:sz w:val="20"/>
          <w:szCs w:val="20"/>
          <w:highlight w:val="none"/>
          <w:lang w:val="zh-CN"/>
        </w:rPr>
        <w:t>承担相应的法律责任和赔偿责任。</w:t>
      </w:r>
    </w:p>
    <w:p>
      <w:pPr>
        <w:wordWrap w:val="0"/>
        <w:topLinePunct/>
        <w:adjustRightInd w:val="0"/>
        <w:snapToGrid w:val="0"/>
        <w:spacing w:line="360" w:lineRule="exact"/>
        <w:ind w:firstLine="400" w:firstLineChars="200"/>
        <w:rPr>
          <w:rFonts w:hint="eastAsia" w:ascii="宋体" w:hAnsi="宋体" w:cs="宋体"/>
          <w:sz w:val="20"/>
          <w:szCs w:val="20"/>
          <w:highlight w:val="none"/>
        </w:rPr>
      </w:pPr>
    </w:p>
    <w:p>
      <w:pPr>
        <w:numPr>
          <w:ilvl w:val="0"/>
          <w:numId w:val="8"/>
        </w:numPr>
        <w:wordWrap w:val="0"/>
        <w:topLinePunct/>
        <w:adjustRightInd w:val="0"/>
        <w:snapToGrid w:val="0"/>
        <w:spacing w:line="360" w:lineRule="exact"/>
        <w:ind w:firstLine="402" w:firstLineChars="200"/>
        <w:rPr>
          <w:rFonts w:hint="eastAsia" w:ascii="宋体" w:hAnsi="宋体" w:cs="宋体"/>
          <w:b/>
          <w:bCs/>
          <w:sz w:val="20"/>
          <w:szCs w:val="20"/>
          <w:highlight w:val="none"/>
        </w:rPr>
      </w:pPr>
      <w:r>
        <w:rPr>
          <w:rFonts w:hint="eastAsia" w:ascii="宋体" w:hAnsi="宋体" w:cs="宋体"/>
          <w:b/>
          <w:bCs/>
          <w:sz w:val="20"/>
          <w:szCs w:val="20"/>
          <w:highlight w:val="none"/>
        </w:rPr>
        <w:t>乙方权利与义务</w:t>
      </w: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5.1乙方应认真贯彻落实“安全第一，预防为主，综合治理”安全生产工作方针，提倡安全文明生产，将安全生产责任落实到酒店每一位员工，遵守安全生产责任书相关要求；</w:t>
      </w:r>
    </w:p>
    <w:p>
      <w:pPr>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5.2乙方应为甲方旅客制订各种突发事件应急预案（如客房盗窃、食品中毒、灭火预案、应急疏散预案等），并定期展开培训及演习，确保旅客生命及财产安全。</w:t>
      </w:r>
    </w:p>
    <w:p>
      <w:pPr>
        <w:pStyle w:val="9"/>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6、其它约定</w:t>
      </w:r>
    </w:p>
    <w:p>
      <w:pPr>
        <w:pStyle w:val="9"/>
        <w:wordWrap w:val="0"/>
        <w:topLinePunct/>
        <w:adjustRightInd w:val="0"/>
        <w:snapToGrid w:val="0"/>
        <w:spacing w:line="36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本生产安全责任书系双方之间因具体业务所签订的合作或业务协议（下称“主协议”）附件之一，无需双方另行签字盖章。本约定书自主协议签字盖章之日起生效。</w:t>
      </w:r>
    </w:p>
    <w:p>
      <w:pPr>
        <w:widowControl/>
        <w:jc w:val="left"/>
        <w:rPr>
          <w:rFonts w:hint="eastAsia" w:ascii="宋体" w:hAnsi="宋体" w:cs="宋体"/>
          <w:sz w:val="20"/>
          <w:szCs w:val="20"/>
          <w:highlight w:val="none"/>
        </w:rPr>
      </w:pPr>
      <w:r>
        <w:rPr>
          <w:sz w:val="20"/>
          <w:szCs w:val="21"/>
          <w:highlight w:val="none"/>
        </w:rPr>
        <w:br w:type="page"/>
      </w:r>
      <w:r>
        <w:rPr>
          <w:rFonts w:hint="eastAsia" w:ascii="宋体" w:hAnsi="宋体" w:cs="宋体"/>
          <w:szCs w:val="21"/>
          <w:highlight w:val="none"/>
        </w:rPr>
        <w:t>附件6：</w:t>
      </w:r>
    </w:p>
    <w:p>
      <w:pPr>
        <w:keepNext/>
        <w:keepLines/>
        <w:adjustRightInd w:val="0"/>
        <w:snapToGrid w:val="0"/>
        <w:rPr>
          <w:sz w:val="15"/>
          <w:szCs w:val="15"/>
          <w:highlight w:val="none"/>
        </w:rPr>
      </w:pPr>
    </w:p>
    <w:p>
      <w:pPr>
        <w:adjustRightInd w:val="0"/>
        <w:snapToGrid w:val="0"/>
        <w:spacing w:line="400" w:lineRule="exact"/>
        <w:jc w:val="center"/>
        <w:rPr>
          <w:rFonts w:hint="eastAsia" w:ascii="宋体" w:hAnsi="宋体" w:cs="宋体"/>
          <w:b/>
          <w:bCs/>
          <w:sz w:val="28"/>
          <w:szCs w:val="28"/>
          <w:highlight w:val="none"/>
        </w:rPr>
      </w:pPr>
      <w:r>
        <w:rPr>
          <w:rFonts w:hint="eastAsia" w:ascii="宋体" w:hAnsi="宋体" w:cs="宋体"/>
          <w:b/>
          <w:bCs/>
          <w:sz w:val="28"/>
          <w:szCs w:val="28"/>
          <w:highlight w:val="none"/>
        </w:rPr>
        <w:t>酒店接待证管理制度</w:t>
      </w:r>
    </w:p>
    <w:p>
      <w:pPr>
        <w:adjustRightInd w:val="0"/>
        <w:snapToGrid w:val="0"/>
        <w:spacing w:line="400" w:lineRule="exact"/>
        <w:rPr>
          <w:rFonts w:hint="eastAsia" w:ascii="宋体" w:hAnsi="宋体" w:cs="宋体"/>
          <w:sz w:val="20"/>
          <w:szCs w:val="20"/>
          <w:highlight w:val="none"/>
        </w:rPr>
      </w:pPr>
    </w:p>
    <w:p>
      <w:pPr>
        <w:numPr>
          <w:ilvl w:val="0"/>
          <w:numId w:val="22"/>
        </w:numPr>
        <w:adjustRightInd w:val="0"/>
        <w:snapToGrid w:val="0"/>
        <w:spacing w:line="40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酒店接待证由广营航延中转管理员统一管理，建立台账。各协议酒店接待员需要领取工作证需填写申请表以及提交相关资料，待审核通过后，到广营航延中转柜台领取；</w:t>
      </w:r>
    </w:p>
    <w:p>
      <w:pPr>
        <w:numPr>
          <w:ilvl w:val="0"/>
          <w:numId w:val="22"/>
        </w:numPr>
        <w:adjustRightInd w:val="0"/>
        <w:snapToGrid w:val="0"/>
        <w:spacing w:line="40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酒店接待员从事南航中转航延业务接待南航旅客期间，必须配戴酒店接待证，只允许在候机楼现场的工作区域佩戴，不得挂于腰际或以其外衣遮盖；</w:t>
      </w:r>
    </w:p>
    <w:p>
      <w:pPr>
        <w:numPr>
          <w:ilvl w:val="0"/>
          <w:numId w:val="22"/>
        </w:numPr>
        <w:adjustRightInd w:val="0"/>
        <w:snapToGrid w:val="0"/>
        <w:spacing w:line="40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酒店接待员佩戴证件期间需服从现场柜台人员管理及安排，不得在现场嬉戏、打闹、干扰旅客选择酒店，且只能通过我部现场柜台获取客源，不能以招揽、骚扰、贿赂等其它形式争取南航中转和航延住宿旅客客源；</w:t>
      </w:r>
    </w:p>
    <w:p>
      <w:pPr>
        <w:numPr>
          <w:ilvl w:val="0"/>
          <w:numId w:val="22"/>
        </w:numPr>
        <w:adjustRightInd w:val="0"/>
        <w:snapToGrid w:val="0"/>
        <w:spacing w:line="40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酒店接待证不能伪造及涂改，如有遗失或损坏，应及时通知我部，并告知证件遗失/损坏的原因，我部将根据具体情况进行审核处理及补发；</w:t>
      </w:r>
    </w:p>
    <w:p>
      <w:pPr>
        <w:numPr>
          <w:ilvl w:val="0"/>
          <w:numId w:val="22"/>
        </w:numPr>
        <w:adjustRightInd w:val="0"/>
        <w:snapToGrid w:val="0"/>
        <w:spacing w:line="40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酒店接待员离职时应及时将证件交还给我部；</w:t>
      </w:r>
    </w:p>
    <w:p>
      <w:pPr>
        <w:numPr>
          <w:ilvl w:val="0"/>
          <w:numId w:val="22"/>
        </w:numPr>
        <w:adjustRightInd w:val="0"/>
        <w:snapToGrid w:val="0"/>
        <w:spacing w:line="40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酒店接待证过期后，原有持证人需交还旧证，才可重新换发新的证件；</w:t>
      </w:r>
    </w:p>
    <w:p>
      <w:pPr>
        <w:numPr>
          <w:ilvl w:val="0"/>
          <w:numId w:val="22"/>
        </w:numPr>
        <w:adjustRightInd w:val="0"/>
        <w:snapToGrid w:val="0"/>
        <w:spacing w:line="400" w:lineRule="exact"/>
        <w:ind w:firstLine="400" w:firstLineChars="200"/>
        <w:rPr>
          <w:rFonts w:hint="eastAsia" w:ascii="宋体" w:hAnsi="宋体" w:cs="宋体"/>
          <w:sz w:val="20"/>
          <w:szCs w:val="20"/>
          <w:highlight w:val="none"/>
        </w:rPr>
      </w:pPr>
      <w:r>
        <w:rPr>
          <w:rFonts w:hint="eastAsia" w:ascii="宋体" w:hAnsi="宋体" w:cs="宋体"/>
          <w:sz w:val="20"/>
          <w:szCs w:val="20"/>
          <w:highlight w:val="none"/>
        </w:rPr>
        <w:t>协议酒店接待员如有人员变更，应及时把相关人员的资料发送到我部进行审核，更替后的酒店接待员领取证件才可上岗。</w:t>
      </w:r>
    </w:p>
    <w:p>
      <w:pPr>
        <w:adjustRightInd w:val="0"/>
        <w:snapToGrid w:val="0"/>
        <w:spacing w:line="400" w:lineRule="exact"/>
        <w:rPr>
          <w:rFonts w:hint="eastAsia" w:ascii="宋体" w:hAnsi="宋体" w:cs="宋体"/>
          <w:sz w:val="20"/>
          <w:szCs w:val="20"/>
          <w:highlight w:val="none"/>
        </w:rPr>
      </w:pPr>
    </w:p>
    <w:p>
      <w:pPr>
        <w:widowControl/>
        <w:jc w:val="left"/>
        <w:rPr>
          <w:rFonts w:hint="eastAsia" w:ascii="宋体" w:hAnsi="宋体" w:cs="宋体"/>
          <w:szCs w:val="21"/>
          <w:highlight w:val="none"/>
        </w:rPr>
      </w:pPr>
      <w:r>
        <w:rPr>
          <w:sz w:val="20"/>
          <w:szCs w:val="21"/>
          <w:highlight w:val="none"/>
        </w:rPr>
        <w:br w:type="page"/>
      </w:r>
      <w:r>
        <w:rPr>
          <w:rFonts w:hint="eastAsia" w:ascii="宋体" w:hAnsi="宋体" w:cs="宋体"/>
          <w:szCs w:val="21"/>
          <w:highlight w:val="none"/>
        </w:rPr>
        <w:t>附件7：</w:t>
      </w:r>
    </w:p>
    <w:p>
      <w:pPr>
        <w:spacing w:line="360" w:lineRule="auto"/>
        <w:jc w:val="center"/>
        <w:rPr>
          <w:rFonts w:hint="eastAsia" w:ascii="宋体" w:hAnsi="宋体" w:cs="宋体"/>
          <w:b/>
          <w:bCs/>
          <w:szCs w:val="21"/>
          <w:highlight w:val="none"/>
        </w:rPr>
      </w:pPr>
    </w:p>
    <w:p>
      <w:pPr>
        <w:spacing w:line="360" w:lineRule="auto"/>
        <w:jc w:val="center"/>
        <w:rPr>
          <w:rFonts w:hint="eastAsia" w:ascii="宋体" w:hAnsi="宋体" w:cs="宋体"/>
          <w:b/>
          <w:bCs/>
          <w:szCs w:val="21"/>
          <w:highlight w:val="none"/>
        </w:rPr>
      </w:pPr>
      <w:r>
        <w:rPr>
          <w:rFonts w:hint="eastAsia" w:ascii="宋体" w:hAnsi="宋体" w:cs="宋体"/>
          <w:b/>
          <w:bCs/>
          <w:szCs w:val="21"/>
          <w:highlight w:val="none"/>
        </w:rPr>
        <w:t>供应商新增申请表</w:t>
      </w:r>
    </w:p>
    <w:p>
      <w:pPr>
        <w:keepNext/>
        <w:keepLines/>
        <w:adjustRightInd w:val="0"/>
        <w:snapToGrid w:val="0"/>
        <w:rPr>
          <w:szCs w:val="21"/>
          <w:highlight w:val="none"/>
        </w:rPr>
      </w:pPr>
    </w:p>
    <w:p>
      <w:pPr>
        <w:pStyle w:val="9"/>
        <w:rPr>
          <w:rFonts w:hint="eastAsia" w:ascii="宋体" w:hAnsi="宋体" w:cs="宋体"/>
          <w:b/>
          <w:bCs/>
          <w:sz w:val="21"/>
          <w:szCs w:val="21"/>
          <w:highlight w:val="none"/>
        </w:rPr>
      </w:pPr>
      <w:r>
        <w:rPr>
          <w:highlight w:val="none"/>
        </w:rPr>
        <w:drawing>
          <wp:anchor distT="0" distB="0" distL="114300" distR="114300" simplePos="0" relativeHeight="251665408" behindDoc="1" locked="0" layoutInCell="1" allowOverlap="1">
            <wp:simplePos x="0" y="0"/>
            <wp:positionH relativeFrom="column">
              <wp:posOffset>-226695</wp:posOffset>
            </wp:positionH>
            <wp:positionV relativeFrom="paragraph">
              <wp:posOffset>8255</wp:posOffset>
            </wp:positionV>
            <wp:extent cx="6638925" cy="3134360"/>
            <wp:effectExtent l="0" t="0" r="9525" b="8890"/>
            <wp:wrapNone/>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icPr>
                  <pic:blipFill>
                    <a:blip r:embed="rId9"/>
                    <a:stretch>
                      <a:fillRect/>
                    </a:stretch>
                  </pic:blipFill>
                  <pic:spPr>
                    <a:xfrm>
                      <a:off x="0" y="0"/>
                      <a:ext cx="6638925" cy="3134360"/>
                    </a:xfrm>
                    <a:prstGeom prst="rect">
                      <a:avLst/>
                    </a:prstGeom>
                    <a:noFill/>
                    <a:ln>
                      <a:noFill/>
                    </a:ln>
                  </pic:spPr>
                </pic:pic>
              </a:graphicData>
            </a:graphic>
          </wp:anchor>
        </w:drawing>
      </w:r>
    </w:p>
    <w:p>
      <w:pPr>
        <w:pStyle w:val="9"/>
        <w:rPr>
          <w:rFonts w:hint="eastAsia" w:ascii="宋体" w:hAnsi="宋体" w:cs="宋体"/>
          <w:b/>
          <w:bCs/>
          <w:sz w:val="21"/>
          <w:szCs w:val="21"/>
          <w:highlight w:val="none"/>
        </w:rPr>
      </w:pPr>
    </w:p>
    <w:p>
      <w:pPr>
        <w:pStyle w:val="9"/>
        <w:rPr>
          <w:rFonts w:hint="eastAsia" w:ascii="宋体" w:hAnsi="宋体" w:cs="宋体"/>
          <w:b/>
          <w:bCs/>
          <w:sz w:val="21"/>
          <w:szCs w:val="21"/>
          <w:highlight w:val="none"/>
        </w:rPr>
      </w:pPr>
    </w:p>
    <w:p>
      <w:pPr>
        <w:pStyle w:val="9"/>
        <w:rPr>
          <w:rFonts w:hint="eastAsia" w:ascii="宋体" w:hAnsi="宋体" w:cs="宋体"/>
          <w:b/>
          <w:bCs/>
          <w:sz w:val="21"/>
          <w:szCs w:val="21"/>
          <w:highlight w:val="none"/>
        </w:rPr>
      </w:pPr>
    </w:p>
    <w:p>
      <w:pPr>
        <w:pStyle w:val="9"/>
        <w:rPr>
          <w:rFonts w:hint="eastAsia" w:ascii="宋体" w:hAnsi="宋体" w:cs="宋体"/>
          <w:b/>
          <w:bCs/>
          <w:sz w:val="21"/>
          <w:szCs w:val="21"/>
          <w:highlight w:val="none"/>
        </w:rPr>
      </w:pPr>
    </w:p>
    <w:p>
      <w:pPr>
        <w:pStyle w:val="9"/>
        <w:rPr>
          <w:rFonts w:hint="eastAsia" w:ascii="宋体" w:hAnsi="宋体" w:cs="宋体"/>
          <w:b/>
          <w:bCs/>
          <w:sz w:val="21"/>
          <w:szCs w:val="21"/>
          <w:highlight w:val="none"/>
        </w:rPr>
      </w:pPr>
    </w:p>
    <w:p>
      <w:pPr>
        <w:pStyle w:val="9"/>
        <w:rPr>
          <w:rFonts w:hint="eastAsia" w:ascii="宋体" w:hAnsi="宋体" w:cs="宋体"/>
          <w:b/>
          <w:bCs/>
          <w:sz w:val="21"/>
          <w:szCs w:val="21"/>
          <w:highlight w:val="none"/>
        </w:rPr>
      </w:pPr>
    </w:p>
    <w:p>
      <w:pPr>
        <w:pStyle w:val="9"/>
        <w:rPr>
          <w:rFonts w:hint="eastAsia" w:ascii="宋体" w:hAnsi="宋体" w:cs="宋体"/>
          <w:b/>
          <w:bCs/>
          <w:sz w:val="21"/>
          <w:szCs w:val="21"/>
          <w:highlight w:val="none"/>
        </w:rPr>
      </w:pPr>
    </w:p>
    <w:p>
      <w:pPr>
        <w:pStyle w:val="9"/>
        <w:rPr>
          <w:rFonts w:hint="eastAsia" w:ascii="宋体" w:hAnsi="宋体" w:cs="宋体"/>
          <w:b/>
          <w:bCs/>
          <w:sz w:val="21"/>
          <w:szCs w:val="21"/>
          <w:highlight w:val="none"/>
        </w:rPr>
      </w:pPr>
    </w:p>
    <w:p>
      <w:pPr>
        <w:pStyle w:val="9"/>
        <w:rPr>
          <w:rFonts w:hint="eastAsia" w:ascii="宋体" w:hAnsi="宋体" w:cs="宋体"/>
          <w:b/>
          <w:bCs/>
          <w:sz w:val="21"/>
          <w:szCs w:val="21"/>
          <w:highlight w:val="none"/>
        </w:rPr>
      </w:pPr>
    </w:p>
    <w:p>
      <w:pPr>
        <w:pStyle w:val="9"/>
        <w:rPr>
          <w:rFonts w:hint="eastAsia" w:ascii="宋体" w:hAnsi="宋体" w:cs="宋体"/>
          <w:b/>
          <w:bCs/>
          <w:sz w:val="21"/>
          <w:szCs w:val="21"/>
          <w:highlight w:val="none"/>
        </w:rPr>
      </w:pPr>
    </w:p>
    <w:p>
      <w:pPr>
        <w:pStyle w:val="9"/>
        <w:rPr>
          <w:rFonts w:hint="eastAsia" w:ascii="宋体" w:hAnsi="宋体" w:cs="宋体"/>
          <w:b/>
          <w:bCs/>
          <w:sz w:val="21"/>
          <w:szCs w:val="21"/>
          <w:highlight w:val="none"/>
        </w:rPr>
      </w:pPr>
    </w:p>
    <w:p>
      <w:pPr>
        <w:pStyle w:val="9"/>
        <w:rPr>
          <w:rFonts w:hint="eastAsia" w:ascii="宋体" w:hAnsi="宋体" w:cs="宋体"/>
          <w:b/>
          <w:bCs/>
          <w:sz w:val="21"/>
          <w:szCs w:val="21"/>
          <w:highlight w:val="none"/>
        </w:rPr>
      </w:pPr>
    </w:p>
    <w:p>
      <w:pPr>
        <w:pStyle w:val="9"/>
        <w:rPr>
          <w:rFonts w:hint="eastAsia" w:ascii="宋体" w:hAnsi="宋体" w:cs="宋体"/>
          <w:b/>
          <w:bCs/>
          <w:sz w:val="21"/>
          <w:szCs w:val="21"/>
          <w:highlight w:val="none"/>
        </w:rPr>
      </w:pPr>
    </w:p>
    <w:p>
      <w:pPr>
        <w:pStyle w:val="9"/>
        <w:rPr>
          <w:rFonts w:hint="eastAsia" w:ascii="宋体" w:hAnsi="宋体" w:cs="宋体"/>
          <w:b/>
          <w:bCs/>
          <w:sz w:val="21"/>
          <w:szCs w:val="21"/>
          <w:highlight w:val="none"/>
        </w:rPr>
      </w:pPr>
    </w:p>
    <w:p>
      <w:pPr>
        <w:pStyle w:val="9"/>
        <w:rPr>
          <w:rFonts w:hint="eastAsia" w:ascii="宋体" w:hAnsi="宋体" w:cs="宋体"/>
          <w:b/>
          <w:bCs/>
          <w:sz w:val="21"/>
          <w:szCs w:val="21"/>
          <w:highlight w:val="none"/>
        </w:rPr>
      </w:pPr>
    </w:p>
    <w:p>
      <w:pPr>
        <w:widowControl/>
        <w:jc w:val="left"/>
        <w:rPr>
          <w:rFonts w:hint="eastAsia" w:ascii="宋体" w:hAnsi="宋体" w:cs="宋体"/>
          <w:szCs w:val="21"/>
          <w:highlight w:val="none"/>
        </w:rPr>
      </w:pPr>
      <w:r>
        <w:rPr>
          <w:rFonts w:ascii="宋体" w:hAnsi="宋体" w:cs="宋体"/>
          <w:b/>
          <w:bCs/>
          <w:szCs w:val="21"/>
          <w:highlight w:val="none"/>
        </w:rPr>
        <w:br w:type="page"/>
      </w:r>
      <w:r>
        <w:rPr>
          <w:rFonts w:hint="eastAsia" w:ascii="宋体" w:hAnsi="宋体" w:cs="宋体"/>
          <w:szCs w:val="21"/>
          <w:highlight w:val="none"/>
        </w:rPr>
        <w:t>附件8：</w:t>
      </w:r>
    </w:p>
    <w:p>
      <w:pPr>
        <w:pStyle w:val="9"/>
        <w:rPr>
          <w:rFonts w:hint="eastAsia" w:ascii="宋体" w:hAnsi="宋体" w:cs="宋体"/>
          <w:sz w:val="21"/>
          <w:szCs w:val="21"/>
          <w:highlight w:val="none"/>
        </w:rPr>
      </w:pPr>
    </w:p>
    <w:p>
      <w:pPr>
        <w:spacing w:line="360" w:lineRule="auto"/>
        <w:jc w:val="center"/>
        <w:rPr>
          <w:rFonts w:hint="eastAsia" w:ascii="宋体" w:hAnsi="宋体" w:cs="宋体"/>
          <w:b/>
          <w:bCs/>
          <w:szCs w:val="21"/>
          <w:highlight w:val="none"/>
        </w:rPr>
      </w:pPr>
      <w:r>
        <w:rPr>
          <w:rFonts w:hint="eastAsia" w:ascii="宋体" w:hAnsi="宋体" w:cs="宋体"/>
          <w:b/>
          <w:bCs/>
          <w:szCs w:val="21"/>
          <w:highlight w:val="none"/>
        </w:rPr>
        <w:t>协议维护申请模板</w:t>
      </w:r>
    </w:p>
    <w:p>
      <w:pPr>
        <w:rPr>
          <w:highlight w:val="none"/>
        </w:rPr>
      </w:pPr>
      <w:r>
        <w:rPr>
          <w:rFonts w:hint="eastAsia" w:ascii="宋体" w:hAnsi="宋体" w:cs="宋体"/>
          <w:b/>
          <w:bCs/>
          <w:szCs w:val="21"/>
          <w:highlight w:val="none"/>
        </w:rPr>
        <w:drawing>
          <wp:anchor distT="0" distB="0" distL="114300" distR="114300" simplePos="0" relativeHeight="251666432" behindDoc="1" locked="0" layoutInCell="1" allowOverlap="1">
            <wp:simplePos x="0" y="0"/>
            <wp:positionH relativeFrom="column">
              <wp:posOffset>-224155</wp:posOffset>
            </wp:positionH>
            <wp:positionV relativeFrom="paragraph">
              <wp:posOffset>178435</wp:posOffset>
            </wp:positionV>
            <wp:extent cx="6304280" cy="2114550"/>
            <wp:effectExtent l="0" t="0" r="1270" b="0"/>
            <wp:wrapNone/>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10"/>
                    <a:stretch>
                      <a:fillRect/>
                    </a:stretch>
                  </pic:blipFill>
                  <pic:spPr>
                    <a:xfrm>
                      <a:off x="0" y="0"/>
                      <a:ext cx="6304280" cy="2114550"/>
                    </a:xfrm>
                    <a:prstGeom prst="rect">
                      <a:avLst/>
                    </a:prstGeom>
                    <a:noFill/>
                    <a:ln>
                      <a:noFill/>
                    </a:ln>
                  </pic:spPr>
                </pic:pic>
              </a:graphicData>
            </a:graphic>
          </wp:anchor>
        </w:drawing>
      </w: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widowControl/>
        <w:tabs>
          <w:tab w:val="left" w:pos="489"/>
        </w:tabs>
        <w:autoSpaceDE w:val="0"/>
        <w:autoSpaceDN w:val="0"/>
        <w:adjustRightInd w:val="0"/>
        <w:spacing w:line="520" w:lineRule="exact"/>
        <w:ind w:firstLine="420" w:firstLineChars="200"/>
        <w:jc w:val="left"/>
        <w:rPr>
          <w:rFonts w:hint="eastAsia" w:ascii="宋体" w:hAnsi="宋体" w:cs="宋体"/>
          <w:szCs w:val="21"/>
          <w:highlight w:val="none"/>
          <w:lang w:val="zh-CN"/>
        </w:rPr>
      </w:pPr>
    </w:p>
    <w:p>
      <w:pPr>
        <w:rPr>
          <w:highlight w:val="none"/>
        </w:rPr>
      </w:pPr>
    </w:p>
    <w:p>
      <w:pPr>
        <w:rPr>
          <w:rFonts w:hint="eastAsia" w:ascii="宋体" w:hAnsi="宋体" w:cs="宋体"/>
          <w:sz w:val="18"/>
          <w:szCs w:val="18"/>
          <w:highlight w:val="none"/>
        </w:rPr>
      </w:pPr>
      <w:r>
        <w:rPr>
          <w:rFonts w:hint="eastAsia" w:ascii="宋体" w:hAnsi="宋体" w:cs="宋体"/>
          <w:sz w:val="18"/>
          <w:szCs w:val="18"/>
          <w:highlight w:val="none"/>
        </w:rPr>
        <w:br w:type="page"/>
      </w:r>
    </w:p>
    <w:p>
      <w:pPr>
        <w:pageBreakBefore/>
        <w:adjustRightInd w:val="0"/>
        <w:snapToGrid w:val="0"/>
        <w:spacing w:line="400" w:lineRule="exact"/>
        <w:rPr>
          <w:rFonts w:hint="eastAsia" w:ascii="宋体" w:hAnsi="宋体" w:cs="宋体"/>
          <w:sz w:val="18"/>
          <w:szCs w:val="18"/>
          <w:highlight w:val="none"/>
        </w:rPr>
      </w:pPr>
      <w:r>
        <w:rPr>
          <w:rFonts w:hint="eastAsia" w:ascii="宋体" w:hAnsi="宋体" w:cs="宋体"/>
          <w:sz w:val="18"/>
          <w:szCs w:val="18"/>
          <w:highlight w:val="none"/>
        </w:rPr>
        <w:t>附件9：</w:t>
      </w:r>
    </w:p>
    <w:p>
      <w:pPr>
        <w:jc w:val="center"/>
        <w:rPr>
          <w:rFonts w:hint="eastAsia" w:ascii="方正小标宋简体" w:hAnsi="方正小标宋简体" w:eastAsia="方正小标宋简体" w:cs="方正小标宋简体"/>
          <w:sz w:val="32"/>
          <w:szCs w:val="40"/>
          <w:highlight w:val="none"/>
        </w:rPr>
      </w:pPr>
    </w:p>
    <w:p>
      <w:pPr>
        <w:jc w:val="center"/>
        <w:rPr>
          <w:rFonts w:hint="eastAsia" w:ascii="方正小标宋简体" w:hAnsi="方正小标宋简体" w:eastAsia="方正小标宋简体" w:cs="方正小标宋简体"/>
          <w:sz w:val="32"/>
          <w:szCs w:val="40"/>
          <w:highlight w:val="none"/>
        </w:rPr>
      </w:pPr>
      <w:r>
        <w:rPr>
          <w:rFonts w:hint="eastAsia" w:ascii="方正小标宋简体" w:hAnsi="方正小标宋简体" w:eastAsia="方正小标宋简体" w:cs="方正小标宋简体"/>
          <w:sz w:val="32"/>
          <w:szCs w:val="40"/>
          <w:highlight w:val="none"/>
        </w:rPr>
        <w:t>民营企业和中小企业账款清欠工作线索受理联系方式</w:t>
      </w:r>
    </w:p>
    <w:p>
      <w:pPr>
        <w:jc w:val="center"/>
        <w:rPr>
          <w:rFonts w:hint="eastAsia" w:ascii="方正小标宋简体" w:hAnsi="方正小标宋简体" w:eastAsia="方正小标宋简体" w:cs="方正小标宋简体"/>
          <w:sz w:val="32"/>
          <w:szCs w:val="40"/>
          <w:highlight w:val="none"/>
        </w:rPr>
      </w:pP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为响应国家政策号召，依法维护民营企业和中小企业的合法权益，根据《保障中小企业款项支付条例》有关规定，如在履行本合同过程中存在合同当事方无正当理由拖欠应付民营企业和中小企业款项的情况，可通过如下渠道反映：</w:t>
      </w:r>
    </w:p>
    <w:p>
      <w:pPr>
        <w:ind w:firstLine="562" w:firstLineChars="200"/>
        <w:rPr>
          <w:rFonts w:hint="eastAsia" w:ascii="宋体" w:hAnsi="宋体" w:cs="宋体"/>
          <w:b/>
          <w:bCs/>
          <w:sz w:val="28"/>
          <w:szCs w:val="36"/>
          <w:highlight w:val="none"/>
        </w:rPr>
      </w:pPr>
      <w:r>
        <w:rPr>
          <w:rFonts w:hint="eastAsia" w:ascii="宋体" w:hAnsi="宋体" w:cs="宋体"/>
          <w:b/>
          <w:bCs/>
          <w:sz w:val="28"/>
          <w:szCs w:val="36"/>
          <w:highlight w:val="none"/>
        </w:rPr>
        <w:t>一、中国南方航空股份有限公司XXXXXX</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联系人：XXX</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联系电话：XXXX</w:t>
      </w:r>
    </w:p>
    <w:p>
      <w:pPr>
        <w:spacing w:line="500" w:lineRule="exact"/>
        <w:ind w:firstLine="420" w:firstLineChars="200"/>
        <w:rPr>
          <w:rFonts w:hint="eastAsia" w:ascii="方正仿宋_GBK" w:hAnsi="方正仿宋_GBK" w:eastAsia="方正仿宋_GBK" w:cs="方正仿宋_GBK"/>
          <w:sz w:val="28"/>
          <w:szCs w:val="36"/>
          <w:highlight w:val="none"/>
        </w:rPr>
      </w:pPr>
      <w:r>
        <w:rPr>
          <w:rFonts w:hint="eastAsia" w:ascii="宋体" w:hAnsi="宋体" w:cs="宋体"/>
          <w:szCs w:val="21"/>
          <w:highlight w:val="none"/>
        </w:rPr>
        <w:t xml:space="preserve">电子邮箱：XXXX@csair.com </w:t>
      </w:r>
      <w:r>
        <w:rPr>
          <w:rFonts w:hint="eastAsia" w:ascii="方正仿宋_GBK" w:hAnsi="方正仿宋_GBK" w:eastAsia="方正仿宋_GBK" w:cs="方正仿宋_GBK"/>
          <w:sz w:val="28"/>
          <w:szCs w:val="36"/>
          <w:highlight w:val="none"/>
        </w:rPr>
        <w:t xml:space="preserve"> </w:t>
      </w:r>
    </w:p>
    <w:p>
      <w:pPr>
        <w:ind w:firstLine="562" w:firstLineChars="200"/>
        <w:rPr>
          <w:rFonts w:hint="eastAsia" w:ascii="宋体" w:hAnsi="宋体" w:cs="宋体"/>
          <w:sz w:val="28"/>
          <w:szCs w:val="36"/>
          <w:highlight w:val="none"/>
        </w:rPr>
      </w:pPr>
      <w:r>
        <w:rPr>
          <w:rFonts w:hint="eastAsia" w:ascii="宋体" w:hAnsi="宋体" w:cs="宋体"/>
          <w:b/>
          <w:bCs/>
          <w:sz w:val="28"/>
          <w:szCs w:val="36"/>
          <w:highlight w:val="none"/>
        </w:rPr>
        <w:t>二、中国南方航空集团有限公司/中国南方航空股份有限公司</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联系人：【】</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联系电话：【】</w:t>
      </w:r>
    </w:p>
    <w:p>
      <w:pPr>
        <w:spacing w:line="500" w:lineRule="exact"/>
        <w:ind w:firstLine="420" w:firstLineChars="200"/>
        <w:jc w:val="left"/>
        <w:rPr>
          <w:rFonts w:hint="eastAsia" w:ascii="仿宋" w:hAnsi="仿宋" w:eastAsia="仿宋" w:cs="仿宋"/>
          <w:szCs w:val="21"/>
          <w:highlight w:val="none"/>
        </w:rPr>
      </w:pPr>
      <w:r>
        <w:rPr>
          <w:rFonts w:hint="eastAsia" w:ascii="宋体" w:hAnsi="宋体" w:cs="宋体"/>
          <w:szCs w:val="21"/>
          <w:highlight w:val="none"/>
        </w:rPr>
        <w:t xml:space="preserve">电子邮箱：【】  </w:t>
      </w:r>
      <w:permEnd w:id="32"/>
    </w:p>
    <w:bookmarkEnd w:id="278"/>
    <w:bookmarkEnd w:id="279"/>
    <w:bookmarkEnd w:id="280"/>
    <w:bookmarkEnd w:id="281"/>
    <w:bookmarkEnd w:id="282"/>
    <w:p>
      <w:pPr>
        <w:spacing w:before="156" w:beforeLines="50" w:after="156" w:afterLines="50" w:line="502" w:lineRule="exact"/>
        <w:rPr>
          <w:rStyle w:val="38"/>
          <w:highlight w:val="none"/>
        </w:rPr>
      </w:pPr>
    </w:p>
    <w:p>
      <w:pPr>
        <w:rPr>
          <w:rStyle w:val="38"/>
          <w:highlight w:val="none"/>
        </w:rPr>
      </w:pPr>
      <w:bookmarkStart w:id="283" w:name="_Toc504657633"/>
      <w:bookmarkStart w:id="284" w:name="_Toc28747"/>
      <w:bookmarkStart w:id="285" w:name="_Toc19590"/>
      <w:bookmarkStart w:id="286" w:name="_Toc23479"/>
      <w:bookmarkStart w:id="287" w:name="_Toc30168"/>
      <w:bookmarkStart w:id="288" w:name="_Toc2254"/>
      <w:bookmarkStart w:id="289" w:name="_Toc14483"/>
      <w:bookmarkStart w:id="290" w:name="_Toc29089"/>
      <w:bookmarkStart w:id="291" w:name="_Toc9858"/>
      <w:r>
        <w:rPr>
          <w:rStyle w:val="38"/>
          <w:rFonts w:hint="eastAsia"/>
          <w:highlight w:val="none"/>
        </w:rPr>
        <w:br w:type="page"/>
      </w:r>
    </w:p>
    <w:p>
      <w:pPr>
        <w:spacing w:before="156" w:beforeLines="50" w:after="156" w:afterLines="50" w:line="360" w:lineRule="auto"/>
        <w:ind w:firstLine="1767" w:firstLineChars="400"/>
        <w:outlineLvl w:val="0"/>
        <w:rPr>
          <w:rStyle w:val="38"/>
          <w:highlight w:val="none"/>
        </w:rPr>
      </w:pPr>
      <w:bookmarkStart w:id="292" w:name="_Toc30520"/>
      <w:r>
        <w:rPr>
          <w:rStyle w:val="38"/>
          <w:rFonts w:hint="eastAsia"/>
          <w:highlight w:val="none"/>
        </w:rPr>
        <w:t xml:space="preserve">第六章  </w:t>
      </w:r>
      <w:bookmarkEnd w:id="283"/>
      <w:r>
        <w:rPr>
          <w:rStyle w:val="38"/>
          <w:rFonts w:hint="eastAsia"/>
          <w:highlight w:val="none"/>
        </w:rPr>
        <w:t>响应文件格式</w:t>
      </w:r>
      <w:bookmarkEnd w:id="292"/>
    </w:p>
    <w:bookmarkEnd w:id="284"/>
    <w:bookmarkEnd w:id="285"/>
    <w:bookmarkEnd w:id="286"/>
    <w:bookmarkEnd w:id="287"/>
    <w:bookmarkEnd w:id="288"/>
    <w:bookmarkEnd w:id="289"/>
    <w:bookmarkEnd w:id="290"/>
    <w:bookmarkEnd w:id="291"/>
    <w:p>
      <w:pPr>
        <w:spacing w:line="360" w:lineRule="auto"/>
        <w:rPr>
          <w:rFonts w:hint="eastAsia" w:ascii="宋体" w:hAnsi="宋体" w:cs="宋体"/>
          <w:highlight w:val="none"/>
        </w:rPr>
      </w:pPr>
      <w:r>
        <w:rPr>
          <w:rFonts w:hint="eastAsia" w:ascii="宋体" w:hAnsi="宋体" w:cs="宋体"/>
          <w:highlight w:val="none"/>
        </w:rPr>
        <w:t>供应商应遵照以下原则制作响应文件：</w:t>
      </w:r>
    </w:p>
    <w:p>
      <w:pPr>
        <w:spacing w:line="360" w:lineRule="auto"/>
        <w:ind w:firstLine="420" w:firstLineChars="200"/>
        <w:rPr>
          <w:rFonts w:hint="eastAsia" w:ascii="宋体" w:hAnsi="宋体" w:cs="宋体"/>
          <w:highlight w:val="none"/>
        </w:rPr>
      </w:pPr>
      <w:r>
        <w:rPr>
          <w:rFonts w:hint="eastAsia" w:ascii="宋体" w:hAnsi="宋体" w:cs="宋体"/>
          <w:highlight w:val="none"/>
        </w:rPr>
        <w:t>1、内容应严格按谈判文件及采购人对响应文件的要求（具体如以下模板所示）编制；</w:t>
      </w:r>
    </w:p>
    <w:p>
      <w:pPr>
        <w:spacing w:line="360" w:lineRule="auto"/>
        <w:ind w:firstLine="420" w:firstLineChars="200"/>
        <w:rPr>
          <w:rFonts w:hint="eastAsia" w:ascii="宋体" w:hAnsi="宋体" w:cs="宋体"/>
          <w:highlight w:val="none"/>
        </w:rPr>
      </w:pPr>
      <w:r>
        <w:rPr>
          <w:rFonts w:hint="eastAsia" w:ascii="宋体" w:hAnsi="宋体" w:cs="宋体"/>
          <w:highlight w:val="none"/>
        </w:rPr>
        <w:t>2、应遵照模板所示顺序编制，并编写目录及页码；</w:t>
      </w:r>
    </w:p>
    <w:p>
      <w:pPr>
        <w:spacing w:line="360" w:lineRule="auto"/>
        <w:ind w:firstLine="420" w:firstLineChars="200"/>
        <w:rPr>
          <w:rFonts w:hint="eastAsia" w:ascii="宋体" w:hAnsi="宋体" w:cs="宋体"/>
          <w:highlight w:val="none"/>
        </w:rPr>
      </w:pPr>
      <w:r>
        <w:rPr>
          <w:rFonts w:hint="eastAsia" w:ascii="宋体" w:hAnsi="宋体" w:cs="宋体"/>
          <w:highlight w:val="none"/>
        </w:rPr>
        <w:t>3、证书类文件应提供扫描件且须在有效期内，本章有格式要求的还应按规定格式提交；</w:t>
      </w:r>
    </w:p>
    <w:p>
      <w:pPr>
        <w:spacing w:line="360" w:lineRule="auto"/>
        <w:ind w:firstLine="420" w:firstLineChars="200"/>
        <w:rPr>
          <w:highlight w:val="none"/>
        </w:rPr>
      </w:pPr>
      <w:r>
        <w:rPr>
          <w:rFonts w:hint="eastAsia" w:ascii="宋体" w:hAnsi="宋体" w:cs="宋体"/>
          <w:highlight w:val="none"/>
        </w:rPr>
        <w:t>4、响应文件应制作成PDF版电子文件，连同扫描版签字盖章页一并上传至南航采购平台（</w:t>
      </w:r>
      <w:r>
        <w:rPr>
          <w:rFonts w:hint="eastAsia" w:ascii="宋体" w:hAnsi="宋体" w:cs="宋体"/>
          <w:b/>
          <w:bCs/>
          <w:highlight w:val="none"/>
        </w:rPr>
        <w:t>亦即，完整的响应文件应为PDF版，且包括签字盖章页扫描件</w:t>
      </w:r>
      <w:r>
        <w:rPr>
          <w:rFonts w:hint="eastAsia" w:ascii="宋体" w:hAnsi="宋体" w:cs="宋体"/>
          <w:highlight w:val="none"/>
        </w:rPr>
        <w:t>）。</w:t>
      </w:r>
    </w:p>
    <w:p>
      <w:pPr>
        <w:pStyle w:val="4"/>
        <w:pageBreakBefore/>
        <w:spacing w:line="360" w:lineRule="auto"/>
        <w:ind w:left="0"/>
        <w:jc w:val="center"/>
        <w:rPr>
          <w:b/>
          <w:highlight w:val="none"/>
        </w:rPr>
      </w:pPr>
      <w:bookmarkStart w:id="293" w:name="_Toc10897"/>
      <w:bookmarkStart w:id="294" w:name="_Toc29155"/>
      <w:bookmarkStart w:id="295" w:name="_Toc32159"/>
      <w:bookmarkStart w:id="296" w:name="_Toc14944"/>
      <w:bookmarkStart w:id="297" w:name="_Toc15123"/>
      <w:bookmarkStart w:id="298" w:name="_Toc32192"/>
      <w:bookmarkStart w:id="299" w:name="_Toc10308"/>
      <w:bookmarkStart w:id="300" w:name="_Toc22124"/>
      <w:bookmarkStart w:id="301" w:name="_Toc4266"/>
      <w:bookmarkStart w:id="302" w:name="_Toc17160"/>
      <w:bookmarkStart w:id="303" w:name="_Toc14946"/>
      <w:r>
        <w:rPr>
          <w:rFonts w:hint="eastAsia"/>
          <w:b/>
          <w:highlight w:val="none"/>
        </w:rPr>
        <w:t>格式一、响应文件封面</w:t>
      </w:r>
      <w:bookmarkEnd w:id="293"/>
      <w:bookmarkEnd w:id="294"/>
      <w:bookmarkEnd w:id="295"/>
      <w:bookmarkEnd w:id="296"/>
      <w:bookmarkEnd w:id="297"/>
      <w:bookmarkEnd w:id="298"/>
      <w:bookmarkEnd w:id="299"/>
      <w:bookmarkEnd w:id="300"/>
      <w:bookmarkEnd w:id="301"/>
      <w:bookmarkEnd w:id="302"/>
      <w:bookmarkEnd w:id="303"/>
    </w:p>
    <w:tbl>
      <w:tblPr>
        <w:tblStyle w:val="2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65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032" w:hRule="atLeast"/>
          <w:jc w:val="center"/>
        </w:trPr>
        <w:tc>
          <w:tcPr>
            <w:tcW w:w="9657" w:type="dxa"/>
          </w:tcPr>
          <w:p>
            <w:pPr>
              <w:pStyle w:val="9"/>
              <w:rPr>
                <w:rFonts w:ascii="仿宋_GB2312" w:eastAsia="仿宋_GB2312"/>
                <w:b/>
                <w:sz w:val="32"/>
                <w:highlight w:val="none"/>
              </w:rPr>
            </w:pPr>
          </w:p>
          <w:p>
            <w:pPr>
              <w:pStyle w:val="9"/>
              <w:jc w:val="center"/>
              <w:rPr>
                <w:rFonts w:ascii="仿宋_GB2312" w:eastAsia="仿宋_GB2312"/>
                <w:b/>
                <w:sz w:val="32"/>
                <w:highlight w:val="none"/>
              </w:rPr>
            </w:pPr>
            <w:r>
              <w:rPr>
                <w:rFonts w:hint="eastAsia" w:ascii="仿宋_GB2312"/>
                <w:bCs/>
                <w:sz w:val="32"/>
                <w:highlight w:val="none"/>
              </w:rPr>
              <w:t>【】</w:t>
            </w:r>
            <w:r>
              <w:rPr>
                <w:rFonts w:hint="eastAsia" w:ascii="黑体"/>
                <w:b/>
                <w:sz w:val="44"/>
                <w:szCs w:val="44"/>
                <w:highlight w:val="none"/>
              </w:rPr>
              <w:t>项目采购</w:t>
            </w:r>
          </w:p>
          <w:p>
            <w:pPr>
              <w:pStyle w:val="9"/>
              <w:ind w:firstLine="482" w:firstLineChars="150"/>
              <w:rPr>
                <w:rFonts w:ascii="仿宋_GB2312" w:eastAsia="仿宋_GB2312"/>
                <w:b/>
                <w:sz w:val="32"/>
                <w:highlight w:val="none"/>
              </w:rPr>
            </w:pPr>
          </w:p>
          <w:p>
            <w:pPr>
              <w:pStyle w:val="9"/>
              <w:jc w:val="center"/>
              <w:rPr>
                <w:rFonts w:ascii="黑体" w:eastAsia="黑体"/>
                <w:b/>
                <w:sz w:val="72"/>
                <w:szCs w:val="72"/>
                <w:highlight w:val="none"/>
              </w:rPr>
            </w:pPr>
            <w:r>
              <w:rPr>
                <w:rFonts w:hint="eastAsia" w:ascii="黑体"/>
                <w:b/>
                <w:sz w:val="72"/>
                <w:szCs w:val="72"/>
                <w:highlight w:val="none"/>
              </w:rPr>
              <w:t>响 应 文 件</w:t>
            </w:r>
          </w:p>
          <w:p>
            <w:pPr>
              <w:pStyle w:val="9"/>
              <w:jc w:val="center"/>
              <w:rPr>
                <w:rFonts w:ascii="黑体" w:eastAsia="黑体"/>
                <w:b/>
                <w:sz w:val="72"/>
                <w:szCs w:val="72"/>
                <w:highlight w:val="none"/>
              </w:rPr>
            </w:pPr>
          </w:p>
          <w:p>
            <w:pPr>
              <w:pStyle w:val="9"/>
              <w:jc w:val="center"/>
              <w:rPr>
                <w:rFonts w:ascii="仿宋_GB2312" w:eastAsia="仿宋_GB2312"/>
                <w:b/>
                <w:sz w:val="32"/>
                <w:highlight w:val="none"/>
              </w:rPr>
            </w:pPr>
            <w:r>
              <w:rPr>
                <w:rFonts w:hint="eastAsia" w:ascii="仿宋_GB2312"/>
                <w:b/>
                <w:szCs w:val="28"/>
                <w:highlight w:val="none"/>
              </w:rPr>
              <w:t>项目编号：</w:t>
            </w:r>
            <w:r>
              <w:rPr>
                <w:rFonts w:hint="eastAsia" w:ascii="仿宋_GB2312"/>
                <w:b/>
                <w:sz w:val="32"/>
                <w:highlight w:val="none"/>
              </w:rPr>
              <w:t>【】</w:t>
            </w:r>
          </w:p>
          <w:p>
            <w:pPr>
              <w:pStyle w:val="9"/>
              <w:adjustRightInd w:val="0"/>
              <w:spacing w:line="360" w:lineRule="auto"/>
              <w:ind w:firstLine="602" w:firstLineChars="200"/>
              <w:rPr>
                <w:rFonts w:hint="eastAsia" w:ascii="宋体" w:hAnsi="宋体" w:cs="宋体"/>
                <w:b/>
                <w:sz w:val="30"/>
                <w:szCs w:val="30"/>
                <w:highlight w:val="none"/>
              </w:rPr>
            </w:pPr>
            <w:r>
              <w:rPr>
                <w:rFonts w:hint="eastAsia" w:ascii="宋体" w:hAnsi="宋体" w:cs="宋体"/>
                <w:b/>
                <w:sz w:val="30"/>
                <w:szCs w:val="30"/>
                <w:highlight w:val="none"/>
              </w:rPr>
              <w:t>响应声明：</w:t>
            </w:r>
          </w:p>
          <w:p>
            <w:pPr>
              <w:pStyle w:val="9"/>
              <w:adjustRightInd w:val="0"/>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本公司已阅读采购文件全部内容，充分了解并清楚知晓本次采购的全部信息，愿意遵守</w:t>
            </w:r>
            <w:r>
              <w:rPr>
                <w:rFonts w:hint="eastAsia" w:ascii="宋体" w:hAnsi="宋体" w:cs="宋体"/>
                <w:bCs/>
                <w:sz w:val="24"/>
                <w:highlight w:val="none"/>
                <w:u w:val="single"/>
              </w:rPr>
              <w:t xml:space="preserve">            </w:t>
            </w:r>
            <w:r>
              <w:rPr>
                <w:rFonts w:hint="eastAsia" w:ascii="宋体" w:hAnsi="宋体" w:cs="宋体"/>
                <w:bCs/>
                <w:sz w:val="24"/>
                <w:highlight w:val="none"/>
              </w:rPr>
              <w:t>有限公司采购管理的各项规定。</w:t>
            </w:r>
          </w:p>
          <w:p>
            <w:pPr>
              <w:pStyle w:val="9"/>
              <w:adjustRightInd w:val="0"/>
              <w:spacing w:line="360" w:lineRule="auto"/>
              <w:ind w:firstLine="480" w:firstLineChars="200"/>
              <w:rPr>
                <w:rStyle w:val="29"/>
                <w:rFonts w:hint="eastAsia" w:ascii="宋体" w:hAnsi="宋体" w:cs="宋体"/>
                <w:bCs/>
                <w:color w:val="auto"/>
                <w:sz w:val="24"/>
                <w:highlight w:val="none"/>
              </w:rPr>
            </w:pPr>
            <w:r>
              <w:rPr>
                <w:rStyle w:val="29"/>
                <w:rFonts w:hint="eastAsia" w:ascii="宋体" w:hAnsi="宋体" w:cs="宋体"/>
                <w:bCs/>
                <w:color w:val="auto"/>
                <w:sz w:val="24"/>
                <w:highlight w:val="none"/>
              </w:rPr>
              <w:t>本公司保证，本公司的授权代表已取得合法授权，有权以本公司名义处理采购响应事宜和合同执行相关事宜；本公司法定代表人</w:t>
            </w:r>
            <w:r>
              <w:rPr>
                <w:rStyle w:val="29"/>
                <w:rFonts w:ascii="宋体" w:hAnsi="宋体" w:cs="宋体"/>
                <w:bCs/>
                <w:color w:val="auto"/>
                <w:sz w:val="24"/>
                <w:highlight w:val="none"/>
              </w:rPr>
              <w:t>（分公司则为营业执照记载的负责人）</w:t>
            </w:r>
            <w:r>
              <w:rPr>
                <w:rStyle w:val="29"/>
                <w:rFonts w:hint="eastAsia" w:ascii="宋体" w:hAnsi="宋体" w:cs="宋体"/>
                <w:bCs/>
                <w:color w:val="auto"/>
                <w:sz w:val="24"/>
                <w:highlight w:val="none"/>
              </w:rPr>
              <w:t>或授权代表以本公司名义提交的响应文件合法、真实、有效，本公司、法定代表人（营业执照记载的负责人）、授权代表在本响应文件封面签章即视为确认响应文件的全部内容均对本公司具有法律约束力。</w:t>
            </w:r>
          </w:p>
          <w:p>
            <w:pPr>
              <w:pStyle w:val="9"/>
              <w:adjustRightInd w:val="0"/>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本公司将严格按照本次采购文件及响应文件的</w:t>
            </w:r>
            <w:r>
              <w:rPr>
                <w:rFonts w:hint="eastAsia" w:ascii="宋体" w:hAnsi="宋体" w:cs="宋体"/>
                <w:bCs/>
                <w:sz w:val="24"/>
                <w:highlight w:val="none"/>
                <w:u w:val="single"/>
              </w:rPr>
              <w:t>报价、承诺、《用户需求响应表》、《合同响应表》</w:t>
            </w:r>
            <w:r>
              <w:rPr>
                <w:rFonts w:hint="eastAsia" w:ascii="宋体" w:hAnsi="宋体" w:cs="宋体"/>
                <w:bCs/>
                <w:sz w:val="24"/>
                <w:highlight w:val="none"/>
              </w:rPr>
              <w:t>等进行本次响应和执行合同。</w:t>
            </w:r>
          </w:p>
          <w:p>
            <w:pPr>
              <w:pStyle w:val="9"/>
              <w:ind w:firstLine="361" w:firstLineChars="150"/>
              <w:rPr>
                <w:rFonts w:hint="eastAsia" w:ascii="宋体" w:hAnsi="宋体" w:cs="宋体"/>
                <w:b/>
                <w:sz w:val="24"/>
                <w:highlight w:val="none"/>
              </w:rPr>
            </w:pPr>
            <w:r>
              <w:rPr>
                <w:rFonts w:hint="eastAsia" w:ascii="宋体" w:hAnsi="宋体" w:cs="宋体"/>
                <w:b/>
                <w:sz w:val="24"/>
                <w:highlight w:val="none"/>
              </w:rPr>
              <w:t>注：法定代表人（营业执照记载的负责人）、授权代表必须为本人亲笔签字或盖章，本页面可扫描成图片插入到响应文件首页。</w:t>
            </w:r>
          </w:p>
          <w:p>
            <w:pPr>
              <w:pStyle w:val="9"/>
              <w:rPr>
                <w:rFonts w:hint="eastAsia" w:ascii="宋体" w:hAnsi="宋体" w:cs="宋体"/>
                <w:b/>
                <w:sz w:val="24"/>
                <w:highlight w:val="none"/>
              </w:rPr>
            </w:pPr>
          </w:p>
          <w:p>
            <w:pPr>
              <w:pStyle w:val="9"/>
              <w:spacing w:line="360" w:lineRule="auto"/>
              <w:ind w:firstLine="900" w:firstLineChars="320"/>
              <w:rPr>
                <w:rFonts w:ascii="仿宋_GB2312" w:eastAsia="仿宋_GB2312"/>
                <w:b/>
                <w:szCs w:val="28"/>
                <w:highlight w:val="none"/>
              </w:rPr>
            </w:pPr>
            <w:r>
              <w:rPr>
                <w:rFonts w:hint="eastAsia" w:ascii="仿宋_GB2312"/>
                <w:b/>
                <w:szCs w:val="28"/>
                <w:highlight w:val="none"/>
              </w:rPr>
              <w:t>供应商名称：</w:t>
            </w:r>
            <w:r>
              <w:rPr>
                <w:rFonts w:hint="eastAsia" w:ascii="仿宋_GB2312"/>
                <w:b/>
                <w:szCs w:val="28"/>
                <w:highlight w:val="none"/>
                <w:u w:val="single"/>
              </w:rPr>
              <w:t xml:space="preserve">                 </w:t>
            </w:r>
            <w:r>
              <w:rPr>
                <w:rFonts w:hint="eastAsia" w:ascii="仿宋_GB2312"/>
                <w:b/>
                <w:szCs w:val="28"/>
                <w:highlight w:val="none"/>
              </w:rPr>
              <w:t>（加盖公章）</w:t>
            </w:r>
          </w:p>
          <w:p>
            <w:pPr>
              <w:pStyle w:val="9"/>
              <w:spacing w:line="360" w:lineRule="auto"/>
              <w:ind w:firstLine="843" w:firstLineChars="300"/>
              <w:rPr>
                <w:rFonts w:hint="eastAsia" w:ascii="宋体" w:hAnsi="宋体" w:cs="宋体"/>
                <w:b/>
                <w:szCs w:val="28"/>
                <w:highlight w:val="none"/>
              </w:rPr>
            </w:pPr>
            <w:r>
              <w:rPr>
                <w:rFonts w:hint="eastAsia" w:ascii="宋体" w:hAnsi="宋体" w:cs="宋体"/>
                <w:b/>
                <w:szCs w:val="28"/>
                <w:highlight w:val="none"/>
              </w:rPr>
              <w:t>法定代表人（营业执照记载的负责人）：</w:t>
            </w:r>
            <w:r>
              <w:rPr>
                <w:rFonts w:hint="eastAsia" w:ascii="宋体" w:hAnsi="宋体" w:cs="宋体"/>
                <w:b/>
                <w:szCs w:val="28"/>
                <w:highlight w:val="none"/>
                <w:u w:val="single"/>
              </w:rPr>
              <w:t xml:space="preserve">              </w:t>
            </w:r>
            <w:r>
              <w:rPr>
                <w:rFonts w:hint="eastAsia" w:ascii="宋体" w:hAnsi="宋体" w:cs="宋体"/>
                <w:b/>
                <w:szCs w:val="28"/>
                <w:highlight w:val="none"/>
              </w:rPr>
              <w:t>（签字或盖章）</w:t>
            </w:r>
          </w:p>
          <w:p>
            <w:pPr>
              <w:pStyle w:val="9"/>
              <w:spacing w:line="360" w:lineRule="auto"/>
              <w:ind w:firstLine="900" w:firstLineChars="320"/>
              <w:rPr>
                <w:rFonts w:ascii="仿宋_GB2312" w:eastAsia="仿宋_GB2312"/>
                <w:b/>
                <w:szCs w:val="28"/>
                <w:highlight w:val="none"/>
              </w:rPr>
            </w:pPr>
            <w:r>
              <w:rPr>
                <w:rFonts w:hint="eastAsia" w:ascii="宋体" w:hAnsi="宋体" w:cs="宋体"/>
                <w:b/>
                <w:szCs w:val="28"/>
                <w:highlight w:val="none"/>
              </w:rPr>
              <w:t>授权代表：</w:t>
            </w:r>
            <w:r>
              <w:rPr>
                <w:rFonts w:hint="eastAsia" w:ascii="宋体" w:hAnsi="宋体" w:cs="宋体"/>
                <w:b/>
                <w:szCs w:val="28"/>
                <w:highlight w:val="none"/>
                <w:u w:val="single"/>
              </w:rPr>
              <w:t xml:space="preserve">                 </w:t>
            </w:r>
            <w:r>
              <w:rPr>
                <w:rFonts w:hint="eastAsia" w:ascii="宋体" w:hAnsi="宋体" w:cs="宋体"/>
                <w:b/>
                <w:szCs w:val="28"/>
                <w:highlight w:val="none"/>
              </w:rPr>
              <w:t>（签字或盖章）</w:t>
            </w:r>
          </w:p>
          <w:p>
            <w:pPr>
              <w:tabs>
                <w:tab w:val="left" w:pos="851"/>
              </w:tabs>
              <w:autoSpaceDE w:val="0"/>
              <w:autoSpaceDN w:val="0"/>
              <w:adjustRightInd w:val="0"/>
              <w:snapToGrid w:val="0"/>
              <w:spacing w:line="360" w:lineRule="auto"/>
              <w:rPr>
                <w:rFonts w:ascii="仿宋_GB2312" w:eastAsia="仿宋_GB2312"/>
                <w:b/>
                <w:sz w:val="28"/>
                <w:szCs w:val="28"/>
                <w:highlight w:val="none"/>
              </w:rPr>
            </w:pPr>
            <w:r>
              <w:rPr>
                <w:rFonts w:ascii="仿宋_GB2312"/>
                <w:b/>
                <w:sz w:val="28"/>
                <w:szCs w:val="28"/>
                <w:highlight w:val="none"/>
              </w:rPr>
              <w:t xml:space="preserve"> </w:t>
            </w:r>
            <w:r>
              <w:rPr>
                <w:rFonts w:hint="eastAsia" w:ascii="仿宋_GB2312"/>
                <w:b/>
                <w:sz w:val="28"/>
                <w:szCs w:val="28"/>
                <w:highlight w:val="none"/>
              </w:rPr>
              <w:t xml:space="preserve">                                          日期：   年   月   日</w:t>
            </w:r>
          </w:p>
          <w:p>
            <w:pPr>
              <w:tabs>
                <w:tab w:val="left" w:pos="851"/>
              </w:tabs>
              <w:autoSpaceDE w:val="0"/>
              <w:autoSpaceDN w:val="0"/>
              <w:adjustRightInd w:val="0"/>
              <w:snapToGrid w:val="0"/>
              <w:spacing w:line="360" w:lineRule="auto"/>
              <w:rPr>
                <w:rFonts w:ascii="仿宋_GB2312" w:eastAsia="仿宋_GB2312"/>
                <w:b/>
                <w:sz w:val="32"/>
                <w:highlight w:val="none"/>
              </w:rPr>
            </w:pPr>
          </w:p>
        </w:tc>
      </w:tr>
    </w:tbl>
    <w:p>
      <w:pPr>
        <w:pStyle w:val="4"/>
        <w:pageBreakBefore/>
        <w:spacing w:before="156" w:beforeLines="50" w:after="156" w:afterLines="50" w:line="360" w:lineRule="auto"/>
        <w:ind w:left="0"/>
        <w:jc w:val="center"/>
        <w:rPr>
          <w:b/>
          <w:highlight w:val="none"/>
        </w:rPr>
      </w:pPr>
      <w:bookmarkStart w:id="304" w:name="_Toc26455"/>
      <w:bookmarkStart w:id="305" w:name="_Toc12061"/>
      <w:bookmarkStart w:id="306" w:name="_Toc19399"/>
      <w:bookmarkStart w:id="307" w:name="_Toc30598"/>
      <w:bookmarkStart w:id="308" w:name="_Toc13618"/>
      <w:bookmarkStart w:id="309" w:name="_Toc4978"/>
      <w:bookmarkStart w:id="310" w:name="_Toc31915"/>
      <w:bookmarkStart w:id="311" w:name="_Toc11130"/>
      <w:bookmarkStart w:id="312" w:name="_Toc31108"/>
      <w:bookmarkStart w:id="313" w:name="_Toc1285"/>
      <w:bookmarkStart w:id="314" w:name="_Toc14836"/>
      <w:bookmarkStart w:id="315" w:name="_Toc23855"/>
      <w:bookmarkStart w:id="316" w:name="_Toc504657635"/>
      <w:bookmarkStart w:id="317" w:name="_Toc5905"/>
      <w:r>
        <w:rPr>
          <w:rFonts w:hint="eastAsia"/>
          <w:b/>
          <w:highlight w:val="none"/>
        </w:rPr>
        <w:t>格式二、报价一览表</w:t>
      </w:r>
      <w:bookmarkEnd w:id="304"/>
      <w:bookmarkEnd w:id="305"/>
      <w:bookmarkEnd w:id="306"/>
      <w:bookmarkEnd w:id="307"/>
      <w:bookmarkEnd w:id="308"/>
      <w:bookmarkEnd w:id="309"/>
      <w:bookmarkEnd w:id="310"/>
      <w:bookmarkEnd w:id="311"/>
      <w:bookmarkEnd w:id="312"/>
      <w:bookmarkEnd w:id="313"/>
      <w:bookmarkEnd w:id="314"/>
    </w:p>
    <w:p>
      <w:pPr>
        <w:spacing w:line="360" w:lineRule="auto"/>
        <w:rPr>
          <w:rFonts w:hint="eastAsia" w:ascii="宋体" w:hAnsi="宋体"/>
          <w:szCs w:val="21"/>
          <w:highlight w:val="none"/>
          <w:u w:val="single"/>
        </w:rPr>
      </w:pPr>
      <w:r>
        <w:rPr>
          <w:rFonts w:hint="eastAsia" w:ascii="宋体" w:hAnsi="宋体"/>
          <w:szCs w:val="21"/>
          <w:highlight w:val="none"/>
        </w:rPr>
        <w:t>项目名称：</w:t>
      </w:r>
      <w:r>
        <w:rPr>
          <w:rFonts w:hint="eastAsia" w:ascii="宋体" w:hAnsi="宋体"/>
          <w:szCs w:val="21"/>
          <w:highlight w:val="none"/>
          <w:u w:val="single"/>
        </w:rPr>
        <w:t xml:space="preserve">                            </w:t>
      </w:r>
    </w:p>
    <w:p>
      <w:pPr>
        <w:spacing w:line="360" w:lineRule="auto"/>
        <w:rPr>
          <w:rFonts w:hint="eastAsia" w:ascii="宋体" w:hAnsi="宋体"/>
          <w:szCs w:val="21"/>
          <w:highlight w:val="none"/>
        </w:rPr>
      </w:pPr>
      <w:r>
        <w:rPr>
          <w:rFonts w:hint="eastAsia" w:ascii="宋体" w:hAnsi="宋体"/>
          <w:szCs w:val="21"/>
          <w:highlight w:val="none"/>
        </w:rPr>
        <w:t>项目编号：</w:t>
      </w:r>
      <w:r>
        <w:rPr>
          <w:rFonts w:hint="eastAsia" w:ascii="宋体" w:hAnsi="宋体"/>
          <w:szCs w:val="21"/>
          <w:highlight w:val="none"/>
          <w:u w:val="single"/>
        </w:rPr>
        <w:t xml:space="preserve">                            </w:t>
      </w:r>
    </w:p>
    <w:p>
      <w:pPr>
        <w:spacing w:line="360" w:lineRule="auto"/>
        <w:rPr>
          <w:rFonts w:hint="eastAsia" w:ascii="宋体" w:hAnsi="宋体"/>
          <w:szCs w:val="21"/>
          <w:highlight w:val="none"/>
          <w:u w:val="single"/>
        </w:rPr>
      </w:pPr>
      <w:r>
        <w:rPr>
          <w:rFonts w:hint="eastAsia" w:ascii="宋体" w:hAnsi="宋体"/>
          <w:szCs w:val="21"/>
          <w:highlight w:val="none"/>
        </w:rPr>
        <w:t>供应商名称：</w:t>
      </w:r>
      <w:r>
        <w:rPr>
          <w:rFonts w:hint="eastAsia" w:ascii="宋体" w:hAnsi="宋体"/>
          <w:szCs w:val="21"/>
          <w:highlight w:val="none"/>
          <w:u w:val="single"/>
        </w:rPr>
        <w:t xml:space="preserve">                          </w:t>
      </w:r>
    </w:p>
    <w:p>
      <w:pPr>
        <w:rPr>
          <w:highlight w:val="none"/>
        </w:rPr>
      </w:pPr>
      <w:permStart w:id="33" w:edGrp="everyone"/>
      <w:r>
        <w:rPr>
          <w:rFonts w:hint="eastAsia"/>
          <w:highlight w:val="none"/>
        </w:rPr>
        <w:t>子包一：</w:t>
      </w:r>
    </w:p>
    <w:tbl>
      <w:tblPr>
        <w:tblStyle w:val="25"/>
        <w:tblW w:w="10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814"/>
        <w:gridCol w:w="1714"/>
        <w:gridCol w:w="1328"/>
        <w:gridCol w:w="1540"/>
        <w:gridCol w:w="1593"/>
        <w:gridCol w:w="1602"/>
        <w:gridCol w:w="804"/>
        <w:gridCol w:w="8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500" w:type="dxa"/>
            <w:vAlign w:val="center"/>
          </w:tcPr>
          <w:p>
            <w:pPr>
              <w:jc w:val="center"/>
              <w:rPr>
                <w:rFonts w:hint="eastAsia" w:ascii="宋体" w:hAnsi="宋体" w:cs="宋体"/>
                <w:szCs w:val="21"/>
                <w:highlight w:val="none"/>
              </w:rPr>
            </w:pPr>
            <w:r>
              <w:rPr>
                <w:rFonts w:hint="eastAsia" w:ascii="宋体" w:hAnsi="宋体" w:cs="宋体"/>
                <w:szCs w:val="21"/>
                <w:highlight w:val="none"/>
              </w:rPr>
              <w:t>序号</w:t>
            </w:r>
          </w:p>
        </w:tc>
        <w:tc>
          <w:tcPr>
            <w:tcW w:w="814" w:type="dxa"/>
            <w:vAlign w:val="center"/>
          </w:tcPr>
          <w:p>
            <w:pPr>
              <w:jc w:val="center"/>
              <w:rPr>
                <w:rFonts w:hint="eastAsia" w:ascii="宋体" w:hAnsi="宋体" w:cs="宋体"/>
                <w:szCs w:val="21"/>
                <w:highlight w:val="none"/>
              </w:rPr>
            </w:pPr>
            <w:r>
              <w:rPr>
                <w:rFonts w:hint="eastAsia" w:ascii="宋体" w:hAnsi="宋体" w:cs="宋体"/>
                <w:szCs w:val="21"/>
                <w:highlight w:val="none"/>
              </w:rPr>
              <w:t>供应商</w:t>
            </w:r>
          </w:p>
          <w:p>
            <w:pPr>
              <w:jc w:val="center"/>
              <w:rPr>
                <w:rFonts w:hint="eastAsia" w:ascii="宋体" w:hAnsi="宋体" w:cs="宋体"/>
                <w:szCs w:val="21"/>
                <w:highlight w:val="none"/>
              </w:rPr>
            </w:pPr>
            <w:r>
              <w:rPr>
                <w:rFonts w:hint="eastAsia" w:ascii="宋体" w:hAnsi="宋体" w:cs="宋体"/>
                <w:szCs w:val="21"/>
                <w:highlight w:val="none"/>
              </w:rPr>
              <w:t>名称</w:t>
            </w:r>
          </w:p>
        </w:tc>
        <w:tc>
          <w:tcPr>
            <w:tcW w:w="1714" w:type="dxa"/>
            <w:vAlign w:val="center"/>
          </w:tcPr>
          <w:p>
            <w:pPr>
              <w:spacing w:line="360" w:lineRule="auto"/>
              <w:jc w:val="center"/>
              <w:rPr>
                <w:rFonts w:hint="eastAsia" w:ascii="宋体" w:hAnsi="宋体" w:cs="宋体"/>
                <w:szCs w:val="21"/>
                <w:highlight w:val="none"/>
              </w:rPr>
            </w:pPr>
            <w:r>
              <w:rPr>
                <w:rFonts w:hint="eastAsia" w:ascii="宋体" w:hAnsi="宋体" w:cs="宋体"/>
                <w:szCs w:val="21"/>
                <w:highlight w:val="none"/>
              </w:rPr>
              <w:t>酒店</w:t>
            </w:r>
          </w:p>
        </w:tc>
        <w:tc>
          <w:tcPr>
            <w:tcW w:w="1328" w:type="dxa"/>
            <w:vAlign w:val="center"/>
          </w:tcPr>
          <w:p>
            <w:pPr>
              <w:spacing w:line="360" w:lineRule="auto"/>
              <w:jc w:val="center"/>
              <w:rPr>
                <w:rFonts w:hint="eastAsia" w:ascii="宋体" w:hAnsi="宋体" w:cs="宋体"/>
                <w:szCs w:val="21"/>
                <w:highlight w:val="none"/>
              </w:rPr>
            </w:pPr>
            <w:r>
              <w:rPr>
                <w:rFonts w:hint="eastAsia" w:ascii="宋体" w:hAnsi="宋体" w:cs="宋体"/>
                <w:b/>
                <w:szCs w:val="21"/>
                <w:highlight w:val="none"/>
                <w:lang w:eastAsia="zh"/>
              </w:rPr>
              <w:t>单人间/双人间</w:t>
            </w:r>
            <w:r>
              <w:rPr>
                <w:rFonts w:hint="eastAsia" w:ascii="宋体" w:hAnsi="宋体" w:cs="宋体"/>
                <w:b/>
                <w:szCs w:val="21"/>
                <w:highlight w:val="none"/>
              </w:rPr>
              <w:t>房间最高限价（元/间/天）</w:t>
            </w:r>
          </w:p>
        </w:tc>
        <w:tc>
          <w:tcPr>
            <w:tcW w:w="1540" w:type="dxa"/>
            <w:vAlign w:val="center"/>
          </w:tcPr>
          <w:p>
            <w:pPr>
              <w:jc w:val="center"/>
              <w:rPr>
                <w:rFonts w:hint="eastAsia" w:ascii="宋体" w:hAnsi="宋体" w:cs="宋体"/>
                <w:b/>
                <w:szCs w:val="21"/>
                <w:highlight w:val="none"/>
              </w:rPr>
            </w:pPr>
            <w:r>
              <w:rPr>
                <w:rFonts w:hint="eastAsia" w:ascii="宋体" w:hAnsi="宋体" w:cs="宋体"/>
                <w:b/>
                <w:szCs w:val="21"/>
                <w:highlight w:val="none"/>
                <w:lang w:eastAsia="zh"/>
              </w:rPr>
              <w:t>单人间/双人间</w:t>
            </w:r>
            <w:r>
              <w:rPr>
                <w:rFonts w:hint="eastAsia" w:ascii="宋体" w:hAnsi="宋体" w:cs="宋体"/>
                <w:b/>
                <w:szCs w:val="21"/>
                <w:highlight w:val="none"/>
              </w:rPr>
              <w:t>房间单价报价</w:t>
            </w:r>
          </w:p>
          <w:p>
            <w:pPr>
              <w:jc w:val="center"/>
              <w:rPr>
                <w:highlight w:val="none"/>
              </w:rPr>
            </w:pPr>
            <w:r>
              <w:rPr>
                <w:rFonts w:hint="eastAsia" w:ascii="宋体" w:hAnsi="宋体" w:cs="宋体"/>
                <w:b/>
                <w:szCs w:val="21"/>
                <w:highlight w:val="none"/>
              </w:rPr>
              <w:t>（元/间/天 ）</w:t>
            </w:r>
          </w:p>
        </w:tc>
        <w:tc>
          <w:tcPr>
            <w:tcW w:w="1593" w:type="dxa"/>
            <w:vAlign w:val="center"/>
          </w:tcPr>
          <w:p>
            <w:pPr>
              <w:rPr>
                <w:rFonts w:hint="eastAsia" w:ascii="宋体" w:hAnsi="宋体" w:cs="宋体"/>
                <w:b/>
                <w:szCs w:val="21"/>
                <w:highlight w:val="none"/>
              </w:rPr>
            </w:pPr>
            <w:bookmarkStart w:id="318" w:name="_Toc25265"/>
            <w:r>
              <w:rPr>
                <w:rFonts w:hint="eastAsia" w:ascii="宋体" w:hAnsi="宋体" w:cs="宋体"/>
                <w:b/>
                <w:szCs w:val="21"/>
                <w:highlight w:val="none"/>
              </w:rPr>
              <w:t>餐食限价</w:t>
            </w:r>
            <w:bookmarkEnd w:id="318"/>
          </w:p>
          <w:p>
            <w:pPr>
              <w:rPr>
                <w:rFonts w:hint="eastAsia" w:ascii="宋体" w:hAnsi="宋体" w:cs="宋体"/>
                <w:b/>
                <w:szCs w:val="21"/>
                <w:highlight w:val="none"/>
              </w:rPr>
            </w:pPr>
            <w:bookmarkStart w:id="319" w:name="_Toc17919"/>
            <w:r>
              <w:rPr>
                <w:rFonts w:hint="eastAsia" w:ascii="宋体" w:hAnsi="宋体" w:cs="宋体"/>
                <w:b/>
                <w:szCs w:val="21"/>
                <w:highlight w:val="none"/>
              </w:rPr>
              <w:t>（早/中/晚/宵夜）</w:t>
            </w:r>
            <w:bookmarkEnd w:id="319"/>
          </w:p>
          <w:p>
            <w:pPr>
              <w:rPr>
                <w:rFonts w:hint="eastAsia" w:ascii="宋体" w:hAnsi="宋体" w:cs="宋体"/>
                <w:szCs w:val="21"/>
                <w:highlight w:val="none"/>
              </w:rPr>
            </w:pPr>
            <w:bookmarkStart w:id="320" w:name="_Toc4340"/>
            <w:r>
              <w:rPr>
                <w:rFonts w:hint="eastAsia" w:ascii="宋体" w:hAnsi="宋体" w:cs="宋体"/>
                <w:b/>
                <w:szCs w:val="21"/>
                <w:highlight w:val="none"/>
              </w:rPr>
              <w:t>（元/人/餐）</w:t>
            </w:r>
            <w:bookmarkEnd w:id="320"/>
          </w:p>
        </w:tc>
        <w:tc>
          <w:tcPr>
            <w:tcW w:w="1602" w:type="dxa"/>
            <w:vAlign w:val="center"/>
          </w:tcPr>
          <w:p>
            <w:pPr>
              <w:rPr>
                <w:rFonts w:hint="eastAsia" w:ascii="宋体" w:hAnsi="宋体" w:cs="宋体"/>
                <w:b/>
                <w:szCs w:val="21"/>
                <w:highlight w:val="none"/>
              </w:rPr>
            </w:pPr>
            <w:bookmarkStart w:id="321" w:name="_Toc803"/>
            <w:r>
              <w:rPr>
                <w:rFonts w:hint="eastAsia" w:ascii="宋体" w:hAnsi="宋体" w:cs="宋体"/>
                <w:b/>
                <w:szCs w:val="21"/>
                <w:highlight w:val="none"/>
              </w:rPr>
              <w:t>餐食单价报价</w:t>
            </w:r>
            <w:bookmarkEnd w:id="321"/>
          </w:p>
          <w:p>
            <w:pPr>
              <w:rPr>
                <w:rFonts w:hint="eastAsia" w:ascii="宋体" w:hAnsi="宋体" w:cs="宋体"/>
                <w:szCs w:val="21"/>
                <w:highlight w:val="none"/>
              </w:rPr>
            </w:pPr>
            <w:bookmarkStart w:id="322" w:name="_Toc24157"/>
            <w:r>
              <w:rPr>
                <w:rFonts w:hint="eastAsia" w:ascii="宋体" w:hAnsi="宋体" w:cs="宋体"/>
                <w:b/>
                <w:szCs w:val="21"/>
                <w:highlight w:val="none"/>
              </w:rPr>
              <w:t>（早/中/晚/宵夜）</w:t>
            </w:r>
            <w:bookmarkEnd w:id="322"/>
            <w:r>
              <w:rPr>
                <w:rFonts w:hint="eastAsia" w:ascii="宋体" w:hAnsi="宋体" w:cs="宋体"/>
                <w:b/>
                <w:szCs w:val="21"/>
                <w:highlight w:val="none"/>
              </w:rPr>
              <w:t>（元/人/餐）</w:t>
            </w:r>
          </w:p>
        </w:tc>
        <w:tc>
          <w:tcPr>
            <w:tcW w:w="804" w:type="dxa"/>
            <w:vAlign w:val="center"/>
          </w:tcPr>
          <w:p>
            <w:pPr>
              <w:jc w:val="center"/>
              <w:rPr>
                <w:rFonts w:hint="eastAsia" w:ascii="宋体" w:hAnsi="宋体" w:cs="宋体"/>
                <w:szCs w:val="21"/>
                <w:highlight w:val="none"/>
              </w:rPr>
            </w:pPr>
            <w:r>
              <w:rPr>
                <w:rFonts w:hint="eastAsia" w:ascii="宋体" w:hAnsi="宋体" w:cs="宋体"/>
                <w:szCs w:val="21"/>
                <w:highlight w:val="none"/>
              </w:rPr>
              <w:t>车费</w:t>
            </w:r>
          </w:p>
          <w:p>
            <w:pPr>
              <w:jc w:val="center"/>
              <w:rPr>
                <w:rFonts w:hint="eastAsia" w:ascii="宋体" w:hAnsi="宋体" w:cs="宋体"/>
                <w:b/>
                <w:szCs w:val="21"/>
                <w:highlight w:val="none"/>
              </w:rPr>
            </w:pPr>
            <w:r>
              <w:rPr>
                <w:rFonts w:hint="eastAsia" w:ascii="宋体" w:hAnsi="宋体" w:cs="宋体"/>
                <w:szCs w:val="21"/>
                <w:highlight w:val="none"/>
              </w:rPr>
              <w:t>限价（元/人/往返程）</w:t>
            </w:r>
          </w:p>
        </w:tc>
        <w:tc>
          <w:tcPr>
            <w:tcW w:w="801" w:type="dxa"/>
            <w:vAlign w:val="center"/>
          </w:tcPr>
          <w:p>
            <w:pPr>
              <w:jc w:val="center"/>
              <w:rPr>
                <w:rFonts w:hint="eastAsia" w:ascii="宋体" w:hAnsi="宋体" w:cs="宋体"/>
                <w:szCs w:val="21"/>
                <w:highlight w:val="none"/>
              </w:rPr>
            </w:pPr>
            <w:r>
              <w:rPr>
                <w:rFonts w:hint="eastAsia" w:ascii="宋体" w:hAnsi="宋体" w:cs="宋体"/>
                <w:szCs w:val="21"/>
                <w:highlight w:val="none"/>
              </w:rPr>
              <w:t>车费</w:t>
            </w:r>
          </w:p>
          <w:p>
            <w:pPr>
              <w:jc w:val="center"/>
              <w:rPr>
                <w:rFonts w:hint="eastAsia" w:ascii="宋体" w:hAnsi="宋体" w:cs="宋体"/>
                <w:b/>
                <w:szCs w:val="21"/>
                <w:highlight w:val="none"/>
              </w:rPr>
            </w:pPr>
            <w:r>
              <w:rPr>
                <w:rFonts w:hint="eastAsia" w:ascii="宋体" w:hAnsi="宋体" w:cs="宋体"/>
                <w:szCs w:val="21"/>
                <w:highlight w:val="none"/>
              </w:rPr>
              <w:t>单价报价（元/人/往返程）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6" w:hRule="atLeast"/>
          <w:jc w:val="center"/>
        </w:trPr>
        <w:tc>
          <w:tcPr>
            <w:tcW w:w="500" w:type="dxa"/>
            <w:vMerge w:val="restart"/>
            <w:vAlign w:val="center"/>
          </w:tcPr>
          <w:p>
            <w:pPr>
              <w:spacing w:line="360" w:lineRule="auto"/>
              <w:jc w:val="center"/>
              <w:rPr>
                <w:rFonts w:hint="eastAsia" w:ascii="宋体" w:hAnsi="宋体" w:cs="宋体"/>
                <w:szCs w:val="21"/>
                <w:highlight w:val="none"/>
              </w:rPr>
            </w:pPr>
            <w:r>
              <w:rPr>
                <w:rFonts w:hint="eastAsia" w:ascii="宋体" w:hAnsi="宋体" w:cs="宋体"/>
                <w:szCs w:val="21"/>
                <w:highlight w:val="none"/>
              </w:rPr>
              <w:t>1</w:t>
            </w:r>
          </w:p>
        </w:tc>
        <w:tc>
          <w:tcPr>
            <w:tcW w:w="814" w:type="dxa"/>
            <w:vMerge w:val="restart"/>
            <w:vAlign w:val="center"/>
          </w:tcPr>
          <w:p>
            <w:pPr>
              <w:spacing w:line="360" w:lineRule="auto"/>
              <w:jc w:val="center"/>
              <w:rPr>
                <w:rFonts w:hint="eastAsia" w:ascii="宋体" w:hAnsi="宋体" w:cs="宋体"/>
                <w:szCs w:val="21"/>
                <w:highlight w:val="none"/>
              </w:rPr>
            </w:pPr>
          </w:p>
        </w:tc>
        <w:tc>
          <w:tcPr>
            <w:tcW w:w="1714" w:type="dxa"/>
            <w:vMerge w:val="restart"/>
            <w:vAlign w:val="center"/>
          </w:tcPr>
          <w:p>
            <w:pPr>
              <w:spacing w:line="360" w:lineRule="auto"/>
              <w:jc w:val="center"/>
              <w:rPr>
                <w:rFonts w:hint="eastAsia" w:ascii="宋体" w:hAnsi="宋体" w:cs="宋体"/>
                <w:szCs w:val="21"/>
                <w:highlight w:val="none"/>
                <w:u w:val="single"/>
              </w:rPr>
            </w:pPr>
            <w:r>
              <w:rPr>
                <w:rFonts w:hint="eastAsia" w:ascii="宋体" w:hAnsi="宋体" w:cs="宋体"/>
                <w:szCs w:val="21"/>
                <w:highlight w:val="none"/>
              </w:rPr>
              <w:t>挂牌</w:t>
            </w:r>
            <w:r>
              <w:rPr>
                <w:rFonts w:hint="eastAsia" w:ascii="宋体" w:hAnsi="宋体"/>
                <w:szCs w:val="21"/>
                <w:highlight w:val="none"/>
              </w:rPr>
              <w:t>【】</w:t>
            </w:r>
            <w:r>
              <w:rPr>
                <w:rFonts w:hint="eastAsia" w:ascii="宋体" w:hAnsi="宋体" w:cs="宋体"/>
                <w:szCs w:val="21"/>
                <w:highlight w:val="none"/>
              </w:rPr>
              <w:t>（含）以上且携程评分</w:t>
            </w:r>
            <w:r>
              <w:rPr>
                <w:rFonts w:hint="eastAsia" w:ascii="宋体" w:hAnsi="宋体"/>
                <w:szCs w:val="21"/>
                <w:highlight w:val="none"/>
              </w:rPr>
              <w:t>【】</w:t>
            </w:r>
            <w:r>
              <w:rPr>
                <w:rFonts w:hint="eastAsia" w:ascii="宋体" w:hAnsi="宋体" w:cs="宋体"/>
                <w:szCs w:val="21"/>
                <w:highlight w:val="none"/>
              </w:rPr>
              <w:t>分（含）以上酒店或携程评级</w:t>
            </w:r>
            <w:r>
              <w:rPr>
                <w:rFonts w:hint="eastAsia" w:ascii="宋体" w:hAnsi="宋体"/>
                <w:szCs w:val="21"/>
                <w:highlight w:val="none"/>
              </w:rPr>
              <w:t>【】</w:t>
            </w:r>
            <w:r>
              <w:rPr>
                <w:rFonts w:hint="eastAsia" w:ascii="宋体" w:hAnsi="宋体" w:cs="宋体"/>
                <w:szCs w:val="21"/>
                <w:highlight w:val="none"/>
              </w:rPr>
              <w:t>（含）以上且携程评分</w:t>
            </w:r>
            <w:r>
              <w:rPr>
                <w:rFonts w:hint="eastAsia" w:ascii="宋体" w:hAnsi="宋体"/>
                <w:szCs w:val="21"/>
                <w:highlight w:val="none"/>
              </w:rPr>
              <w:t>【】</w:t>
            </w:r>
            <w:r>
              <w:rPr>
                <w:rFonts w:hint="eastAsia" w:ascii="宋体" w:hAnsi="宋体" w:cs="宋体"/>
                <w:szCs w:val="21"/>
                <w:highlight w:val="none"/>
              </w:rPr>
              <w:t>分（含）以上酒店</w:t>
            </w:r>
          </w:p>
        </w:tc>
        <w:tc>
          <w:tcPr>
            <w:tcW w:w="1328" w:type="dxa"/>
            <w:vAlign w:val="center"/>
          </w:tcPr>
          <w:p>
            <w:pPr>
              <w:rPr>
                <w:rFonts w:hint="eastAsia" w:ascii="宋体" w:hAnsi="宋体" w:cs="宋体"/>
                <w:szCs w:val="21"/>
                <w:highlight w:val="none"/>
                <w:u w:val="single"/>
              </w:rPr>
            </w:pPr>
            <w:bookmarkStart w:id="323" w:name="_Toc30349"/>
            <w:r>
              <w:rPr>
                <w:rFonts w:hint="eastAsia" w:ascii="宋体" w:hAnsi="宋体" w:cs="宋体"/>
                <w:szCs w:val="21"/>
                <w:highlight w:val="none"/>
              </w:rPr>
              <w:t>中转(含早)：不高于</w:t>
            </w:r>
            <w:r>
              <w:rPr>
                <w:rFonts w:hint="eastAsia" w:ascii="宋体" w:hAnsi="宋体"/>
                <w:szCs w:val="21"/>
                <w:highlight w:val="none"/>
              </w:rPr>
              <w:t>【】</w:t>
            </w:r>
            <w:r>
              <w:rPr>
                <w:rFonts w:hint="eastAsia" w:ascii="宋体" w:hAnsi="宋体" w:cs="宋体"/>
                <w:szCs w:val="21"/>
                <w:highlight w:val="none"/>
              </w:rPr>
              <w:t>元/间/天</w:t>
            </w:r>
            <w:bookmarkEnd w:id="323"/>
          </w:p>
        </w:tc>
        <w:tc>
          <w:tcPr>
            <w:tcW w:w="1540" w:type="dxa"/>
            <w:vAlign w:val="center"/>
          </w:tcPr>
          <w:p>
            <w:pPr>
              <w:spacing w:line="360" w:lineRule="auto"/>
              <w:rPr>
                <w:rFonts w:hint="eastAsia" w:ascii="宋体" w:hAnsi="宋体" w:cs="宋体"/>
                <w:szCs w:val="21"/>
                <w:highlight w:val="none"/>
              </w:rPr>
            </w:pPr>
            <w:r>
              <w:rPr>
                <w:rFonts w:hint="eastAsia" w:ascii="宋体" w:hAnsi="宋体" w:cs="宋体"/>
                <w:szCs w:val="21"/>
                <w:highlight w:val="none"/>
              </w:rPr>
              <w:t>中转(含早)：</w:t>
            </w:r>
            <w:r>
              <w:rPr>
                <w:rFonts w:hint="eastAsia" w:ascii="宋体" w:hAnsi="宋体"/>
                <w:szCs w:val="21"/>
                <w:highlight w:val="none"/>
              </w:rPr>
              <w:t>【】</w:t>
            </w:r>
            <w:r>
              <w:rPr>
                <w:rFonts w:hint="eastAsia" w:ascii="宋体" w:hAnsi="宋体" w:cs="宋体"/>
                <w:szCs w:val="21"/>
                <w:highlight w:val="none"/>
              </w:rPr>
              <w:t xml:space="preserve">元/间/天   </w:t>
            </w:r>
          </w:p>
        </w:tc>
        <w:tc>
          <w:tcPr>
            <w:tcW w:w="1593" w:type="dxa"/>
            <w:vAlign w:val="center"/>
          </w:tcPr>
          <w:p>
            <w:pPr>
              <w:rPr>
                <w:rFonts w:hint="eastAsia" w:ascii="宋体" w:hAnsi="宋体" w:cs="宋体"/>
                <w:szCs w:val="21"/>
                <w:highlight w:val="none"/>
              </w:rPr>
            </w:pPr>
            <w:bookmarkStart w:id="324" w:name="_Toc13010"/>
            <w:r>
              <w:rPr>
                <w:rFonts w:hint="eastAsia" w:ascii="宋体" w:hAnsi="宋体" w:cs="宋体"/>
                <w:szCs w:val="21"/>
                <w:highlight w:val="none"/>
              </w:rPr>
              <w:t>中转旅客餐食：含入住人数早餐，每间房每天最多不超2份。</w:t>
            </w:r>
            <w:bookmarkEnd w:id="324"/>
          </w:p>
        </w:tc>
        <w:tc>
          <w:tcPr>
            <w:tcW w:w="1602" w:type="dxa"/>
            <w:vAlign w:val="center"/>
          </w:tcPr>
          <w:p>
            <w:pPr>
              <w:spacing w:line="360" w:lineRule="auto"/>
              <w:jc w:val="center"/>
              <w:rPr>
                <w:rFonts w:hint="eastAsia" w:ascii="宋体" w:hAnsi="宋体" w:cs="宋体"/>
                <w:szCs w:val="21"/>
                <w:highlight w:val="none"/>
              </w:rPr>
            </w:pPr>
            <w:r>
              <w:rPr>
                <w:rFonts w:hint="eastAsia" w:ascii="宋体" w:hAnsi="宋体" w:cs="宋体"/>
                <w:szCs w:val="21"/>
                <w:highlight w:val="none"/>
              </w:rPr>
              <w:t>中转旅客餐食：含入住人数早餐，每间房每天最多不超2份。</w:t>
            </w:r>
          </w:p>
        </w:tc>
        <w:tc>
          <w:tcPr>
            <w:tcW w:w="804" w:type="dxa"/>
            <w:vMerge w:val="restart"/>
            <w:vAlign w:val="center"/>
          </w:tcPr>
          <w:p>
            <w:pPr>
              <w:spacing w:line="360" w:lineRule="auto"/>
              <w:jc w:val="center"/>
              <w:rPr>
                <w:rFonts w:hint="eastAsia" w:ascii="宋体" w:hAnsi="宋体" w:cs="宋体"/>
                <w:szCs w:val="21"/>
                <w:highlight w:val="none"/>
              </w:rPr>
            </w:pPr>
            <w:r>
              <w:rPr>
                <w:rFonts w:hint="eastAsia" w:ascii="宋体" w:hAnsi="宋体"/>
                <w:szCs w:val="21"/>
                <w:highlight w:val="none"/>
              </w:rPr>
              <w:t>【】</w:t>
            </w:r>
            <w:r>
              <w:rPr>
                <w:rFonts w:hint="eastAsia" w:ascii="宋体" w:hAnsi="宋体" w:cs="宋体"/>
                <w:szCs w:val="21"/>
                <w:highlight w:val="none"/>
              </w:rPr>
              <w:t>元/人/往返程，报价含车辆全险。</w:t>
            </w:r>
          </w:p>
        </w:tc>
        <w:tc>
          <w:tcPr>
            <w:tcW w:w="801" w:type="dxa"/>
            <w:vMerge w:val="restart"/>
            <w:vAlign w:val="center"/>
          </w:tcPr>
          <w:p>
            <w:pPr>
              <w:spacing w:line="360" w:lineRule="auto"/>
              <w:jc w:val="center"/>
              <w:rPr>
                <w:rFonts w:hint="eastAsia" w:ascii="宋体" w:hAnsi="宋体" w:cs="宋体"/>
                <w:szCs w:val="21"/>
                <w:highlight w:val="none"/>
              </w:rPr>
            </w:pPr>
            <w:r>
              <w:rPr>
                <w:rFonts w:hint="eastAsia" w:ascii="宋体" w:hAnsi="宋体"/>
                <w:szCs w:val="21"/>
                <w:highlight w:val="none"/>
              </w:rPr>
              <w:t>【】</w:t>
            </w:r>
            <w:r>
              <w:rPr>
                <w:rFonts w:hint="eastAsia" w:ascii="宋体" w:hAnsi="宋体" w:cs="宋体"/>
                <w:szCs w:val="21"/>
                <w:highlight w:val="none"/>
              </w:rPr>
              <w:t>元/人/往返程，报价含车辆全险。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8" w:hRule="atLeast"/>
          <w:jc w:val="center"/>
        </w:trPr>
        <w:tc>
          <w:tcPr>
            <w:tcW w:w="500" w:type="dxa"/>
            <w:vMerge w:val="continue"/>
            <w:vAlign w:val="center"/>
          </w:tcPr>
          <w:p>
            <w:pPr>
              <w:spacing w:line="360" w:lineRule="auto"/>
              <w:jc w:val="center"/>
              <w:rPr>
                <w:rFonts w:hint="eastAsia" w:ascii="宋体" w:hAnsi="宋体" w:cs="宋体"/>
                <w:szCs w:val="21"/>
                <w:highlight w:val="none"/>
              </w:rPr>
            </w:pPr>
          </w:p>
        </w:tc>
        <w:tc>
          <w:tcPr>
            <w:tcW w:w="814" w:type="dxa"/>
            <w:vMerge w:val="continue"/>
            <w:vAlign w:val="center"/>
          </w:tcPr>
          <w:p>
            <w:pPr>
              <w:spacing w:line="360" w:lineRule="auto"/>
              <w:jc w:val="center"/>
              <w:rPr>
                <w:rFonts w:hint="eastAsia" w:ascii="宋体" w:hAnsi="宋体" w:cs="宋体"/>
                <w:szCs w:val="21"/>
                <w:highlight w:val="none"/>
              </w:rPr>
            </w:pPr>
          </w:p>
        </w:tc>
        <w:tc>
          <w:tcPr>
            <w:tcW w:w="1714" w:type="dxa"/>
            <w:vMerge w:val="continue"/>
            <w:vAlign w:val="center"/>
          </w:tcPr>
          <w:p>
            <w:pPr>
              <w:spacing w:line="360" w:lineRule="auto"/>
              <w:jc w:val="center"/>
              <w:rPr>
                <w:rFonts w:hint="eastAsia" w:ascii="宋体" w:hAnsi="宋体" w:cs="宋体"/>
                <w:szCs w:val="21"/>
                <w:highlight w:val="none"/>
                <w:u w:val="single"/>
              </w:rPr>
            </w:pPr>
          </w:p>
        </w:tc>
        <w:tc>
          <w:tcPr>
            <w:tcW w:w="1328" w:type="dxa"/>
            <w:vAlign w:val="center"/>
          </w:tcPr>
          <w:p>
            <w:pPr>
              <w:rPr>
                <w:rFonts w:hint="eastAsia" w:ascii="宋体" w:hAnsi="宋体" w:cs="宋体"/>
                <w:b/>
                <w:szCs w:val="21"/>
                <w:highlight w:val="none"/>
              </w:rPr>
            </w:pPr>
            <w:bookmarkStart w:id="325" w:name="_Toc10289"/>
            <w:r>
              <w:rPr>
                <w:rFonts w:hint="eastAsia" w:ascii="宋体" w:hAnsi="宋体" w:cs="宋体"/>
                <w:szCs w:val="21"/>
                <w:highlight w:val="none"/>
              </w:rPr>
              <w:t>航延(不含早)：不高于</w:t>
            </w:r>
            <w:r>
              <w:rPr>
                <w:rFonts w:hint="eastAsia" w:ascii="宋体" w:hAnsi="宋体"/>
                <w:szCs w:val="21"/>
                <w:highlight w:val="none"/>
              </w:rPr>
              <w:t>【】</w:t>
            </w:r>
            <w:r>
              <w:rPr>
                <w:rFonts w:hint="eastAsia" w:ascii="宋体" w:hAnsi="宋体" w:cs="宋体"/>
                <w:szCs w:val="21"/>
                <w:highlight w:val="none"/>
              </w:rPr>
              <w:t>元/间/天</w:t>
            </w:r>
            <w:bookmarkEnd w:id="325"/>
          </w:p>
        </w:tc>
        <w:tc>
          <w:tcPr>
            <w:tcW w:w="1540" w:type="dxa"/>
            <w:vAlign w:val="center"/>
          </w:tcPr>
          <w:p>
            <w:pPr>
              <w:spacing w:line="360" w:lineRule="auto"/>
              <w:rPr>
                <w:rFonts w:hint="eastAsia" w:ascii="宋体" w:hAnsi="宋体" w:cs="宋体"/>
                <w:szCs w:val="21"/>
                <w:highlight w:val="none"/>
              </w:rPr>
            </w:pPr>
            <w:r>
              <w:rPr>
                <w:rFonts w:hint="eastAsia" w:ascii="宋体" w:hAnsi="宋体" w:cs="宋体"/>
                <w:szCs w:val="21"/>
                <w:highlight w:val="none"/>
              </w:rPr>
              <w:t>航延(不含早)：</w:t>
            </w:r>
            <w:r>
              <w:rPr>
                <w:rFonts w:hint="eastAsia" w:ascii="宋体" w:hAnsi="宋体"/>
                <w:szCs w:val="21"/>
                <w:highlight w:val="none"/>
              </w:rPr>
              <w:t>【】</w:t>
            </w:r>
            <w:r>
              <w:rPr>
                <w:rFonts w:hint="eastAsia" w:ascii="宋体" w:hAnsi="宋体" w:cs="宋体"/>
                <w:szCs w:val="21"/>
                <w:highlight w:val="none"/>
              </w:rPr>
              <w:t xml:space="preserve">元/间/天 </w:t>
            </w:r>
          </w:p>
        </w:tc>
        <w:tc>
          <w:tcPr>
            <w:tcW w:w="1593" w:type="dxa"/>
            <w:vAlign w:val="center"/>
          </w:tcPr>
          <w:p>
            <w:pPr>
              <w:rPr>
                <w:rFonts w:hint="eastAsia" w:ascii="宋体" w:hAnsi="宋体" w:cs="宋体"/>
                <w:szCs w:val="21"/>
                <w:highlight w:val="none"/>
              </w:rPr>
            </w:pPr>
            <w:bookmarkStart w:id="326" w:name="_Toc24447"/>
            <w:r>
              <w:rPr>
                <w:rFonts w:hint="eastAsia" w:ascii="宋体" w:hAnsi="宋体" w:cs="宋体"/>
                <w:szCs w:val="21"/>
                <w:highlight w:val="none"/>
              </w:rPr>
              <w:t>航延旅客餐食不高于：</w:t>
            </w:r>
            <w:bookmarkEnd w:id="326"/>
          </w:p>
          <w:p>
            <w:pPr>
              <w:rPr>
                <w:rFonts w:hint="eastAsia" w:ascii="宋体" w:hAnsi="宋体" w:cs="宋体"/>
                <w:szCs w:val="21"/>
                <w:highlight w:val="none"/>
              </w:rPr>
            </w:pPr>
            <w:bookmarkStart w:id="327" w:name="_Toc29062"/>
            <w:r>
              <w:rPr>
                <w:rFonts w:hint="eastAsia" w:ascii="宋体" w:hAnsi="宋体" w:cs="宋体"/>
                <w:szCs w:val="21"/>
                <w:highlight w:val="none"/>
              </w:rPr>
              <w:t>早餐</w:t>
            </w:r>
            <w:r>
              <w:rPr>
                <w:rFonts w:hint="eastAsia" w:ascii="宋体" w:hAnsi="宋体"/>
                <w:szCs w:val="21"/>
                <w:highlight w:val="none"/>
              </w:rPr>
              <w:t>【】</w:t>
            </w:r>
            <w:r>
              <w:rPr>
                <w:rFonts w:hint="eastAsia" w:ascii="宋体" w:hAnsi="宋体" w:cs="宋体"/>
                <w:szCs w:val="21"/>
                <w:highlight w:val="none"/>
              </w:rPr>
              <w:t>元</w:t>
            </w:r>
            <w:bookmarkEnd w:id="327"/>
          </w:p>
          <w:p>
            <w:pPr>
              <w:rPr>
                <w:rFonts w:hint="eastAsia" w:ascii="宋体" w:hAnsi="宋体" w:cs="宋体"/>
                <w:szCs w:val="21"/>
                <w:highlight w:val="none"/>
              </w:rPr>
            </w:pPr>
            <w:bookmarkStart w:id="328" w:name="_Toc22795"/>
            <w:r>
              <w:rPr>
                <w:rFonts w:hint="eastAsia" w:ascii="宋体" w:hAnsi="宋体" w:cs="宋体"/>
                <w:szCs w:val="21"/>
                <w:highlight w:val="none"/>
              </w:rPr>
              <w:t>午餐、晚餐</w:t>
            </w:r>
            <w:r>
              <w:rPr>
                <w:rFonts w:hint="eastAsia" w:ascii="宋体" w:hAnsi="宋体"/>
                <w:szCs w:val="21"/>
                <w:highlight w:val="none"/>
              </w:rPr>
              <w:t>【】</w:t>
            </w:r>
            <w:r>
              <w:rPr>
                <w:rFonts w:hint="eastAsia" w:ascii="宋体" w:hAnsi="宋体" w:cs="宋体"/>
                <w:szCs w:val="21"/>
                <w:highlight w:val="none"/>
              </w:rPr>
              <w:t>元</w:t>
            </w:r>
            <w:bookmarkEnd w:id="328"/>
          </w:p>
          <w:p>
            <w:pPr>
              <w:rPr>
                <w:rFonts w:hint="eastAsia" w:ascii="宋体" w:hAnsi="宋体" w:cs="宋体"/>
                <w:szCs w:val="21"/>
                <w:highlight w:val="none"/>
              </w:rPr>
            </w:pPr>
            <w:bookmarkStart w:id="329" w:name="_Toc14691"/>
            <w:r>
              <w:rPr>
                <w:rFonts w:hint="eastAsia" w:ascii="宋体" w:hAnsi="宋体" w:cs="宋体"/>
                <w:szCs w:val="21"/>
                <w:highlight w:val="none"/>
              </w:rPr>
              <w:t>宵夜</w:t>
            </w:r>
            <w:r>
              <w:rPr>
                <w:rFonts w:hint="eastAsia" w:ascii="宋体" w:hAnsi="宋体"/>
                <w:szCs w:val="21"/>
                <w:highlight w:val="none"/>
              </w:rPr>
              <w:t>【】</w:t>
            </w:r>
            <w:r>
              <w:rPr>
                <w:rFonts w:hint="eastAsia" w:ascii="宋体" w:hAnsi="宋体" w:cs="宋体"/>
                <w:szCs w:val="21"/>
                <w:highlight w:val="none"/>
              </w:rPr>
              <w:t>元</w:t>
            </w:r>
            <w:bookmarkEnd w:id="329"/>
          </w:p>
        </w:tc>
        <w:tc>
          <w:tcPr>
            <w:tcW w:w="1602" w:type="dxa"/>
            <w:vAlign w:val="center"/>
          </w:tcPr>
          <w:p>
            <w:pPr>
              <w:rPr>
                <w:rFonts w:hint="eastAsia" w:ascii="宋体" w:hAnsi="宋体" w:cs="宋体"/>
                <w:szCs w:val="21"/>
                <w:highlight w:val="none"/>
              </w:rPr>
            </w:pPr>
            <w:bookmarkStart w:id="330" w:name="_Toc17557"/>
            <w:r>
              <w:rPr>
                <w:rFonts w:hint="eastAsia" w:ascii="宋体" w:hAnsi="宋体" w:cs="宋体"/>
                <w:szCs w:val="21"/>
                <w:highlight w:val="none"/>
              </w:rPr>
              <w:t>航延旅客餐食：</w:t>
            </w:r>
            <w:bookmarkEnd w:id="330"/>
          </w:p>
          <w:p>
            <w:pPr>
              <w:rPr>
                <w:rFonts w:hint="eastAsia" w:ascii="宋体" w:hAnsi="宋体" w:cs="宋体"/>
                <w:szCs w:val="21"/>
                <w:highlight w:val="none"/>
              </w:rPr>
            </w:pPr>
            <w:r>
              <w:rPr>
                <w:rFonts w:hint="eastAsia" w:ascii="宋体" w:hAnsi="宋体" w:cs="宋体"/>
                <w:szCs w:val="21"/>
                <w:highlight w:val="none"/>
              </w:rPr>
              <w:t>早餐</w:t>
            </w:r>
            <w:r>
              <w:rPr>
                <w:rFonts w:hint="eastAsia" w:ascii="宋体" w:hAnsi="宋体"/>
                <w:szCs w:val="21"/>
                <w:highlight w:val="none"/>
              </w:rPr>
              <w:t>【】</w:t>
            </w:r>
            <w:r>
              <w:rPr>
                <w:rFonts w:hint="eastAsia" w:ascii="宋体" w:hAnsi="宋体" w:cs="宋体"/>
                <w:szCs w:val="21"/>
                <w:highlight w:val="none"/>
              </w:rPr>
              <w:t>元</w:t>
            </w:r>
          </w:p>
          <w:p>
            <w:pPr>
              <w:rPr>
                <w:rFonts w:hint="eastAsia" w:ascii="宋体" w:hAnsi="宋体" w:cs="宋体"/>
                <w:szCs w:val="21"/>
                <w:highlight w:val="none"/>
              </w:rPr>
            </w:pPr>
            <w:r>
              <w:rPr>
                <w:rFonts w:hint="eastAsia" w:ascii="宋体" w:hAnsi="宋体" w:cs="宋体"/>
                <w:szCs w:val="21"/>
                <w:highlight w:val="none"/>
              </w:rPr>
              <w:t>午餐、晚餐</w:t>
            </w:r>
            <w:r>
              <w:rPr>
                <w:rFonts w:hint="eastAsia" w:ascii="宋体" w:hAnsi="宋体"/>
                <w:szCs w:val="21"/>
                <w:highlight w:val="none"/>
              </w:rPr>
              <w:t>【】</w:t>
            </w:r>
            <w:r>
              <w:rPr>
                <w:rFonts w:hint="eastAsia" w:ascii="宋体" w:hAnsi="宋体" w:cs="宋体"/>
                <w:szCs w:val="21"/>
                <w:highlight w:val="none"/>
              </w:rPr>
              <w:t>元</w:t>
            </w:r>
          </w:p>
          <w:p>
            <w:pPr>
              <w:rPr>
                <w:highlight w:val="none"/>
              </w:rPr>
            </w:pPr>
            <w:r>
              <w:rPr>
                <w:rFonts w:hint="eastAsia" w:ascii="宋体" w:hAnsi="宋体" w:cs="宋体"/>
                <w:szCs w:val="21"/>
                <w:highlight w:val="none"/>
              </w:rPr>
              <w:t>宵夜</w:t>
            </w:r>
            <w:r>
              <w:rPr>
                <w:rFonts w:hint="eastAsia" w:ascii="宋体" w:hAnsi="宋体"/>
                <w:szCs w:val="21"/>
                <w:highlight w:val="none"/>
              </w:rPr>
              <w:t>【】</w:t>
            </w:r>
            <w:r>
              <w:rPr>
                <w:rFonts w:hint="eastAsia" w:ascii="宋体" w:hAnsi="宋体" w:cs="宋体"/>
                <w:szCs w:val="21"/>
                <w:highlight w:val="none"/>
              </w:rPr>
              <w:t>元</w:t>
            </w:r>
          </w:p>
        </w:tc>
        <w:tc>
          <w:tcPr>
            <w:tcW w:w="804" w:type="dxa"/>
            <w:vMerge w:val="continue"/>
            <w:vAlign w:val="center"/>
          </w:tcPr>
          <w:p>
            <w:pPr>
              <w:rPr>
                <w:rFonts w:hint="eastAsia" w:ascii="宋体" w:hAnsi="宋体" w:cs="宋体"/>
                <w:szCs w:val="21"/>
                <w:highlight w:val="none"/>
              </w:rPr>
            </w:pPr>
          </w:p>
        </w:tc>
        <w:tc>
          <w:tcPr>
            <w:tcW w:w="801" w:type="dxa"/>
            <w:vMerge w:val="continue"/>
            <w:vAlign w:val="center"/>
          </w:tcPr>
          <w:p>
            <w:pPr>
              <w:rPr>
                <w:rFonts w:hint="eastAsia" w:ascii="宋体" w:hAnsi="宋体" w:cs="宋体"/>
                <w:szCs w:val="21"/>
                <w:highlight w:val="none"/>
              </w:rPr>
            </w:pPr>
          </w:p>
        </w:tc>
      </w:tr>
    </w:tbl>
    <w:p>
      <w:pPr>
        <w:spacing w:line="360" w:lineRule="auto"/>
        <w:rPr>
          <w:rFonts w:hint="eastAsia" w:ascii="宋体" w:hAnsi="宋体" w:cs="宋体"/>
          <w:bCs/>
          <w:sz w:val="22"/>
          <w:szCs w:val="22"/>
          <w:highlight w:val="none"/>
          <w:lang w:val="en-US"/>
        </w:rPr>
      </w:pPr>
    </w:p>
    <w:p>
      <w:pPr>
        <w:rPr>
          <w:highlight w:val="none"/>
        </w:rPr>
      </w:pPr>
      <w:r>
        <w:rPr>
          <w:rFonts w:hint="eastAsia"/>
          <w:highlight w:val="none"/>
        </w:rPr>
        <w:t>子包二：</w:t>
      </w:r>
    </w:p>
    <w:tbl>
      <w:tblPr>
        <w:tblStyle w:val="25"/>
        <w:tblW w:w="10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814"/>
        <w:gridCol w:w="1714"/>
        <w:gridCol w:w="1328"/>
        <w:gridCol w:w="1540"/>
        <w:gridCol w:w="1593"/>
        <w:gridCol w:w="1602"/>
        <w:gridCol w:w="804"/>
        <w:gridCol w:w="8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500" w:type="dxa"/>
            <w:vAlign w:val="center"/>
          </w:tcPr>
          <w:p>
            <w:pPr>
              <w:jc w:val="center"/>
              <w:rPr>
                <w:rFonts w:hint="eastAsia" w:ascii="宋体" w:hAnsi="宋体" w:cs="宋体"/>
                <w:szCs w:val="21"/>
                <w:highlight w:val="none"/>
              </w:rPr>
            </w:pPr>
            <w:r>
              <w:rPr>
                <w:rFonts w:hint="eastAsia" w:ascii="宋体" w:hAnsi="宋体" w:cs="宋体"/>
                <w:szCs w:val="21"/>
                <w:highlight w:val="none"/>
              </w:rPr>
              <w:t>序号</w:t>
            </w:r>
          </w:p>
        </w:tc>
        <w:tc>
          <w:tcPr>
            <w:tcW w:w="814" w:type="dxa"/>
            <w:vAlign w:val="center"/>
          </w:tcPr>
          <w:p>
            <w:pPr>
              <w:jc w:val="center"/>
              <w:rPr>
                <w:rFonts w:hint="eastAsia" w:ascii="宋体" w:hAnsi="宋体" w:cs="宋体"/>
                <w:szCs w:val="21"/>
                <w:highlight w:val="none"/>
              </w:rPr>
            </w:pPr>
            <w:r>
              <w:rPr>
                <w:rFonts w:hint="eastAsia" w:ascii="宋体" w:hAnsi="宋体" w:cs="宋体"/>
                <w:szCs w:val="21"/>
                <w:highlight w:val="none"/>
              </w:rPr>
              <w:t>供应商</w:t>
            </w:r>
          </w:p>
          <w:p>
            <w:pPr>
              <w:jc w:val="center"/>
              <w:rPr>
                <w:rFonts w:hint="eastAsia" w:ascii="宋体" w:hAnsi="宋体" w:cs="宋体"/>
                <w:szCs w:val="21"/>
                <w:highlight w:val="none"/>
              </w:rPr>
            </w:pPr>
            <w:r>
              <w:rPr>
                <w:rFonts w:hint="eastAsia" w:ascii="宋体" w:hAnsi="宋体" w:cs="宋体"/>
                <w:szCs w:val="21"/>
                <w:highlight w:val="none"/>
              </w:rPr>
              <w:t>名称</w:t>
            </w:r>
          </w:p>
        </w:tc>
        <w:tc>
          <w:tcPr>
            <w:tcW w:w="1714" w:type="dxa"/>
            <w:vAlign w:val="center"/>
          </w:tcPr>
          <w:p>
            <w:pPr>
              <w:spacing w:line="360" w:lineRule="auto"/>
              <w:jc w:val="center"/>
              <w:rPr>
                <w:rFonts w:hint="eastAsia" w:ascii="宋体" w:hAnsi="宋体" w:cs="宋体"/>
                <w:szCs w:val="21"/>
                <w:highlight w:val="none"/>
              </w:rPr>
            </w:pPr>
            <w:r>
              <w:rPr>
                <w:rFonts w:hint="eastAsia" w:ascii="宋体" w:hAnsi="宋体" w:cs="宋体"/>
                <w:szCs w:val="21"/>
                <w:highlight w:val="none"/>
              </w:rPr>
              <w:t>酒店</w:t>
            </w:r>
          </w:p>
        </w:tc>
        <w:tc>
          <w:tcPr>
            <w:tcW w:w="1328" w:type="dxa"/>
            <w:vAlign w:val="center"/>
          </w:tcPr>
          <w:p>
            <w:pPr>
              <w:spacing w:line="360" w:lineRule="auto"/>
              <w:jc w:val="center"/>
              <w:rPr>
                <w:rFonts w:hint="eastAsia" w:ascii="宋体" w:hAnsi="宋体" w:cs="宋体"/>
                <w:szCs w:val="21"/>
                <w:highlight w:val="none"/>
              </w:rPr>
            </w:pPr>
            <w:r>
              <w:rPr>
                <w:rFonts w:hint="eastAsia" w:ascii="宋体" w:hAnsi="宋体" w:cs="宋体"/>
                <w:b/>
                <w:szCs w:val="21"/>
                <w:highlight w:val="none"/>
                <w:lang w:eastAsia="zh"/>
              </w:rPr>
              <w:t>单人间/双人间</w:t>
            </w:r>
            <w:r>
              <w:rPr>
                <w:rFonts w:hint="eastAsia" w:ascii="宋体" w:hAnsi="宋体" w:cs="宋体"/>
                <w:b/>
                <w:szCs w:val="21"/>
                <w:highlight w:val="none"/>
              </w:rPr>
              <w:t>房间最高限价（元/间/天）</w:t>
            </w:r>
          </w:p>
        </w:tc>
        <w:tc>
          <w:tcPr>
            <w:tcW w:w="1540" w:type="dxa"/>
            <w:vAlign w:val="center"/>
          </w:tcPr>
          <w:p>
            <w:pPr>
              <w:jc w:val="center"/>
              <w:rPr>
                <w:rFonts w:hint="eastAsia" w:ascii="宋体" w:hAnsi="宋体" w:cs="宋体"/>
                <w:b/>
                <w:szCs w:val="21"/>
                <w:highlight w:val="none"/>
              </w:rPr>
            </w:pPr>
            <w:r>
              <w:rPr>
                <w:rFonts w:hint="eastAsia" w:ascii="宋体" w:hAnsi="宋体" w:cs="宋体"/>
                <w:b/>
                <w:szCs w:val="21"/>
                <w:highlight w:val="none"/>
                <w:lang w:eastAsia="zh"/>
              </w:rPr>
              <w:t>单人间/双人间</w:t>
            </w:r>
            <w:r>
              <w:rPr>
                <w:rFonts w:hint="eastAsia" w:ascii="宋体" w:hAnsi="宋体" w:cs="宋体"/>
                <w:b/>
                <w:szCs w:val="21"/>
                <w:highlight w:val="none"/>
              </w:rPr>
              <w:t>房间单价报价</w:t>
            </w:r>
          </w:p>
          <w:p>
            <w:pPr>
              <w:jc w:val="center"/>
              <w:rPr>
                <w:highlight w:val="none"/>
              </w:rPr>
            </w:pPr>
            <w:r>
              <w:rPr>
                <w:rFonts w:hint="eastAsia" w:ascii="宋体" w:hAnsi="宋体" w:cs="宋体"/>
                <w:b/>
                <w:szCs w:val="21"/>
                <w:highlight w:val="none"/>
              </w:rPr>
              <w:t>（元/间/天 ）</w:t>
            </w:r>
          </w:p>
        </w:tc>
        <w:tc>
          <w:tcPr>
            <w:tcW w:w="1593" w:type="dxa"/>
            <w:vAlign w:val="center"/>
          </w:tcPr>
          <w:p>
            <w:pPr>
              <w:rPr>
                <w:rFonts w:hint="eastAsia" w:ascii="宋体" w:hAnsi="宋体" w:cs="宋体"/>
                <w:b/>
                <w:szCs w:val="21"/>
                <w:highlight w:val="none"/>
              </w:rPr>
            </w:pPr>
            <w:r>
              <w:rPr>
                <w:rFonts w:hint="eastAsia" w:ascii="宋体" w:hAnsi="宋体" w:cs="宋体"/>
                <w:b/>
                <w:szCs w:val="21"/>
                <w:highlight w:val="none"/>
              </w:rPr>
              <w:t>餐食限价</w:t>
            </w:r>
          </w:p>
          <w:p>
            <w:pPr>
              <w:rPr>
                <w:rFonts w:hint="eastAsia" w:ascii="宋体" w:hAnsi="宋体" w:cs="宋体"/>
                <w:b/>
                <w:szCs w:val="21"/>
                <w:highlight w:val="none"/>
              </w:rPr>
            </w:pPr>
            <w:r>
              <w:rPr>
                <w:rFonts w:hint="eastAsia" w:ascii="宋体" w:hAnsi="宋体" w:cs="宋体"/>
                <w:b/>
                <w:szCs w:val="21"/>
                <w:highlight w:val="none"/>
              </w:rPr>
              <w:t>（早/中/晚/宵夜）</w:t>
            </w:r>
          </w:p>
          <w:p>
            <w:pPr>
              <w:rPr>
                <w:rFonts w:hint="eastAsia" w:ascii="宋体" w:hAnsi="宋体" w:cs="宋体"/>
                <w:szCs w:val="21"/>
                <w:highlight w:val="none"/>
              </w:rPr>
            </w:pPr>
            <w:r>
              <w:rPr>
                <w:rFonts w:hint="eastAsia" w:ascii="宋体" w:hAnsi="宋体" w:cs="宋体"/>
                <w:b/>
                <w:szCs w:val="21"/>
                <w:highlight w:val="none"/>
              </w:rPr>
              <w:t>（元/人/餐）</w:t>
            </w:r>
          </w:p>
        </w:tc>
        <w:tc>
          <w:tcPr>
            <w:tcW w:w="1602" w:type="dxa"/>
            <w:vAlign w:val="center"/>
          </w:tcPr>
          <w:p>
            <w:pPr>
              <w:rPr>
                <w:rFonts w:hint="eastAsia" w:ascii="宋体" w:hAnsi="宋体" w:cs="宋体"/>
                <w:b/>
                <w:szCs w:val="21"/>
                <w:highlight w:val="none"/>
              </w:rPr>
            </w:pPr>
            <w:r>
              <w:rPr>
                <w:rFonts w:hint="eastAsia" w:ascii="宋体" w:hAnsi="宋体" w:cs="宋体"/>
                <w:b/>
                <w:szCs w:val="21"/>
                <w:highlight w:val="none"/>
              </w:rPr>
              <w:t>餐食单价报价</w:t>
            </w:r>
          </w:p>
          <w:p>
            <w:pPr>
              <w:rPr>
                <w:rFonts w:hint="eastAsia" w:ascii="宋体" w:hAnsi="宋体" w:cs="宋体"/>
                <w:szCs w:val="21"/>
                <w:highlight w:val="none"/>
              </w:rPr>
            </w:pPr>
            <w:r>
              <w:rPr>
                <w:rFonts w:hint="eastAsia" w:ascii="宋体" w:hAnsi="宋体" w:cs="宋体"/>
                <w:b/>
                <w:szCs w:val="21"/>
                <w:highlight w:val="none"/>
              </w:rPr>
              <w:t>（早/中/晚/宵夜）（元/人/餐）</w:t>
            </w:r>
          </w:p>
        </w:tc>
        <w:tc>
          <w:tcPr>
            <w:tcW w:w="804" w:type="dxa"/>
            <w:vAlign w:val="center"/>
          </w:tcPr>
          <w:p>
            <w:pPr>
              <w:jc w:val="center"/>
              <w:rPr>
                <w:rFonts w:hint="eastAsia" w:ascii="宋体" w:hAnsi="宋体" w:cs="宋体"/>
                <w:szCs w:val="21"/>
                <w:highlight w:val="none"/>
              </w:rPr>
            </w:pPr>
            <w:r>
              <w:rPr>
                <w:rFonts w:hint="eastAsia" w:ascii="宋体" w:hAnsi="宋体" w:cs="宋体"/>
                <w:szCs w:val="21"/>
                <w:highlight w:val="none"/>
              </w:rPr>
              <w:t>车费</w:t>
            </w:r>
          </w:p>
          <w:p>
            <w:pPr>
              <w:jc w:val="center"/>
              <w:rPr>
                <w:rFonts w:hint="eastAsia" w:ascii="宋体" w:hAnsi="宋体" w:cs="宋体"/>
                <w:b/>
                <w:szCs w:val="21"/>
                <w:highlight w:val="none"/>
              </w:rPr>
            </w:pPr>
            <w:r>
              <w:rPr>
                <w:rFonts w:hint="eastAsia" w:ascii="宋体" w:hAnsi="宋体" w:cs="宋体"/>
                <w:szCs w:val="21"/>
                <w:highlight w:val="none"/>
              </w:rPr>
              <w:t>限价（元/人/往返程）</w:t>
            </w:r>
          </w:p>
        </w:tc>
        <w:tc>
          <w:tcPr>
            <w:tcW w:w="801" w:type="dxa"/>
            <w:vAlign w:val="center"/>
          </w:tcPr>
          <w:p>
            <w:pPr>
              <w:jc w:val="center"/>
              <w:rPr>
                <w:rFonts w:hint="eastAsia" w:ascii="宋体" w:hAnsi="宋体" w:cs="宋体"/>
                <w:szCs w:val="21"/>
                <w:highlight w:val="none"/>
              </w:rPr>
            </w:pPr>
            <w:r>
              <w:rPr>
                <w:rFonts w:hint="eastAsia" w:ascii="宋体" w:hAnsi="宋体" w:cs="宋体"/>
                <w:szCs w:val="21"/>
                <w:highlight w:val="none"/>
              </w:rPr>
              <w:t>车费</w:t>
            </w:r>
          </w:p>
          <w:p>
            <w:pPr>
              <w:jc w:val="center"/>
              <w:rPr>
                <w:rFonts w:hint="eastAsia" w:ascii="宋体" w:hAnsi="宋体" w:cs="宋体"/>
                <w:b/>
                <w:szCs w:val="21"/>
                <w:highlight w:val="none"/>
              </w:rPr>
            </w:pPr>
            <w:r>
              <w:rPr>
                <w:rFonts w:hint="eastAsia" w:ascii="宋体" w:hAnsi="宋体" w:cs="宋体"/>
                <w:szCs w:val="21"/>
                <w:highlight w:val="none"/>
              </w:rPr>
              <w:t>单价报价（元/人/往返程）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6" w:hRule="atLeast"/>
          <w:jc w:val="center"/>
        </w:trPr>
        <w:tc>
          <w:tcPr>
            <w:tcW w:w="500" w:type="dxa"/>
            <w:vMerge w:val="restart"/>
            <w:vAlign w:val="center"/>
          </w:tcPr>
          <w:p>
            <w:pPr>
              <w:spacing w:line="360" w:lineRule="auto"/>
              <w:jc w:val="center"/>
              <w:rPr>
                <w:rFonts w:hint="eastAsia" w:ascii="宋体" w:hAnsi="宋体" w:cs="宋体"/>
                <w:szCs w:val="21"/>
                <w:highlight w:val="none"/>
              </w:rPr>
            </w:pPr>
            <w:r>
              <w:rPr>
                <w:rFonts w:hint="eastAsia" w:ascii="宋体" w:hAnsi="宋体" w:cs="宋体"/>
                <w:szCs w:val="21"/>
                <w:highlight w:val="none"/>
              </w:rPr>
              <w:t>1</w:t>
            </w:r>
          </w:p>
        </w:tc>
        <w:tc>
          <w:tcPr>
            <w:tcW w:w="814" w:type="dxa"/>
            <w:vMerge w:val="restart"/>
            <w:vAlign w:val="center"/>
          </w:tcPr>
          <w:p>
            <w:pPr>
              <w:spacing w:line="360" w:lineRule="auto"/>
              <w:jc w:val="center"/>
              <w:rPr>
                <w:rFonts w:hint="eastAsia" w:ascii="宋体" w:hAnsi="宋体" w:cs="宋体"/>
                <w:szCs w:val="21"/>
                <w:highlight w:val="none"/>
              </w:rPr>
            </w:pPr>
          </w:p>
        </w:tc>
        <w:tc>
          <w:tcPr>
            <w:tcW w:w="1714" w:type="dxa"/>
            <w:vMerge w:val="restart"/>
            <w:vAlign w:val="center"/>
          </w:tcPr>
          <w:p>
            <w:pPr>
              <w:spacing w:line="360" w:lineRule="auto"/>
              <w:jc w:val="center"/>
              <w:rPr>
                <w:rFonts w:hint="eastAsia" w:ascii="宋体" w:hAnsi="宋体" w:cs="宋体"/>
                <w:szCs w:val="21"/>
                <w:highlight w:val="none"/>
                <w:u w:val="single"/>
              </w:rPr>
            </w:pPr>
            <w:r>
              <w:rPr>
                <w:rFonts w:hint="eastAsia" w:ascii="宋体" w:hAnsi="宋体" w:cs="宋体"/>
                <w:szCs w:val="21"/>
                <w:highlight w:val="none"/>
              </w:rPr>
              <w:t>挂牌</w:t>
            </w:r>
            <w:r>
              <w:rPr>
                <w:rFonts w:hint="eastAsia" w:ascii="宋体" w:hAnsi="宋体"/>
                <w:szCs w:val="21"/>
                <w:highlight w:val="none"/>
              </w:rPr>
              <w:t>【】</w:t>
            </w:r>
            <w:r>
              <w:rPr>
                <w:rFonts w:hint="eastAsia" w:ascii="宋体" w:hAnsi="宋体" w:cs="宋体"/>
                <w:szCs w:val="21"/>
                <w:highlight w:val="none"/>
              </w:rPr>
              <w:t>（含）以上且携程评分</w:t>
            </w:r>
            <w:r>
              <w:rPr>
                <w:rFonts w:hint="eastAsia" w:ascii="宋体" w:hAnsi="宋体"/>
                <w:szCs w:val="21"/>
                <w:highlight w:val="none"/>
              </w:rPr>
              <w:t>【】</w:t>
            </w:r>
            <w:r>
              <w:rPr>
                <w:rFonts w:hint="eastAsia" w:ascii="宋体" w:hAnsi="宋体" w:cs="宋体"/>
                <w:szCs w:val="21"/>
                <w:highlight w:val="none"/>
              </w:rPr>
              <w:t>分（含）以上酒店或携程评级</w:t>
            </w:r>
            <w:r>
              <w:rPr>
                <w:rFonts w:hint="eastAsia" w:ascii="宋体" w:hAnsi="宋体"/>
                <w:szCs w:val="21"/>
                <w:highlight w:val="none"/>
              </w:rPr>
              <w:t>【】</w:t>
            </w:r>
            <w:r>
              <w:rPr>
                <w:rFonts w:hint="eastAsia" w:ascii="宋体" w:hAnsi="宋体" w:cs="宋体"/>
                <w:szCs w:val="21"/>
                <w:highlight w:val="none"/>
              </w:rPr>
              <w:t>（含）以上且携程评分</w:t>
            </w:r>
            <w:r>
              <w:rPr>
                <w:rFonts w:hint="eastAsia" w:ascii="宋体" w:hAnsi="宋体"/>
                <w:szCs w:val="21"/>
                <w:highlight w:val="none"/>
              </w:rPr>
              <w:t>【】</w:t>
            </w:r>
            <w:r>
              <w:rPr>
                <w:rFonts w:hint="eastAsia" w:ascii="宋体" w:hAnsi="宋体" w:cs="宋体"/>
                <w:szCs w:val="21"/>
                <w:highlight w:val="none"/>
              </w:rPr>
              <w:t>分（含）以上酒店</w:t>
            </w:r>
          </w:p>
        </w:tc>
        <w:tc>
          <w:tcPr>
            <w:tcW w:w="1328" w:type="dxa"/>
            <w:vAlign w:val="center"/>
          </w:tcPr>
          <w:p>
            <w:pPr>
              <w:rPr>
                <w:rFonts w:hint="eastAsia" w:ascii="宋体" w:hAnsi="宋体" w:cs="宋体"/>
                <w:szCs w:val="21"/>
                <w:highlight w:val="none"/>
                <w:u w:val="single"/>
              </w:rPr>
            </w:pPr>
            <w:r>
              <w:rPr>
                <w:rFonts w:hint="eastAsia" w:ascii="宋体" w:hAnsi="宋体" w:cs="宋体"/>
                <w:szCs w:val="21"/>
                <w:highlight w:val="none"/>
              </w:rPr>
              <w:t>中转(含早)：不高于</w:t>
            </w:r>
            <w:r>
              <w:rPr>
                <w:rFonts w:hint="eastAsia" w:ascii="宋体" w:hAnsi="宋体"/>
                <w:szCs w:val="21"/>
                <w:highlight w:val="none"/>
              </w:rPr>
              <w:t>【】</w:t>
            </w:r>
            <w:r>
              <w:rPr>
                <w:rFonts w:hint="eastAsia" w:ascii="宋体" w:hAnsi="宋体" w:cs="宋体"/>
                <w:szCs w:val="21"/>
                <w:highlight w:val="none"/>
              </w:rPr>
              <w:t>元/间/天</w:t>
            </w:r>
          </w:p>
        </w:tc>
        <w:tc>
          <w:tcPr>
            <w:tcW w:w="1540" w:type="dxa"/>
            <w:vAlign w:val="center"/>
          </w:tcPr>
          <w:p>
            <w:pPr>
              <w:spacing w:line="360" w:lineRule="auto"/>
              <w:rPr>
                <w:rFonts w:hint="eastAsia" w:ascii="宋体" w:hAnsi="宋体" w:cs="宋体"/>
                <w:szCs w:val="21"/>
                <w:highlight w:val="none"/>
              </w:rPr>
            </w:pPr>
            <w:r>
              <w:rPr>
                <w:rFonts w:hint="eastAsia" w:ascii="宋体" w:hAnsi="宋体" w:cs="宋体"/>
                <w:szCs w:val="21"/>
                <w:highlight w:val="none"/>
              </w:rPr>
              <w:t>中转(含早)：</w:t>
            </w:r>
            <w:r>
              <w:rPr>
                <w:rFonts w:hint="eastAsia" w:ascii="宋体" w:hAnsi="宋体"/>
                <w:szCs w:val="21"/>
                <w:highlight w:val="none"/>
              </w:rPr>
              <w:t>【】</w:t>
            </w:r>
            <w:r>
              <w:rPr>
                <w:rFonts w:hint="eastAsia" w:ascii="宋体" w:hAnsi="宋体" w:cs="宋体"/>
                <w:szCs w:val="21"/>
                <w:highlight w:val="none"/>
              </w:rPr>
              <w:t xml:space="preserve">元/间/天   </w:t>
            </w:r>
          </w:p>
        </w:tc>
        <w:tc>
          <w:tcPr>
            <w:tcW w:w="1593" w:type="dxa"/>
            <w:vAlign w:val="center"/>
          </w:tcPr>
          <w:p>
            <w:pPr>
              <w:rPr>
                <w:rFonts w:hint="eastAsia" w:ascii="宋体" w:hAnsi="宋体" w:cs="宋体"/>
                <w:szCs w:val="21"/>
                <w:highlight w:val="none"/>
              </w:rPr>
            </w:pPr>
            <w:r>
              <w:rPr>
                <w:rFonts w:hint="eastAsia" w:ascii="宋体" w:hAnsi="宋体" w:cs="宋体"/>
                <w:szCs w:val="21"/>
                <w:highlight w:val="none"/>
              </w:rPr>
              <w:t>中转旅客餐食：含入住人数早餐，每间房每天最多不超2份。</w:t>
            </w:r>
          </w:p>
        </w:tc>
        <w:tc>
          <w:tcPr>
            <w:tcW w:w="1602" w:type="dxa"/>
            <w:vAlign w:val="center"/>
          </w:tcPr>
          <w:p>
            <w:pPr>
              <w:spacing w:line="360" w:lineRule="auto"/>
              <w:jc w:val="center"/>
              <w:rPr>
                <w:rFonts w:hint="eastAsia" w:ascii="宋体" w:hAnsi="宋体" w:cs="宋体"/>
                <w:szCs w:val="21"/>
                <w:highlight w:val="none"/>
              </w:rPr>
            </w:pPr>
            <w:r>
              <w:rPr>
                <w:rFonts w:hint="eastAsia" w:ascii="宋体" w:hAnsi="宋体" w:cs="宋体"/>
                <w:szCs w:val="21"/>
                <w:highlight w:val="none"/>
              </w:rPr>
              <w:t>中转旅客餐食：含入住人数早餐，每间房每天最多不超2份。</w:t>
            </w:r>
          </w:p>
        </w:tc>
        <w:tc>
          <w:tcPr>
            <w:tcW w:w="804" w:type="dxa"/>
            <w:vMerge w:val="restart"/>
            <w:vAlign w:val="center"/>
          </w:tcPr>
          <w:p>
            <w:pPr>
              <w:spacing w:line="360" w:lineRule="auto"/>
              <w:jc w:val="center"/>
              <w:rPr>
                <w:rFonts w:hint="eastAsia" w:ascii="宋体" w:hAnsi="宋体" w:cs="宋体"/>
                <w:szCs w:val="21"/>
                <w:highlight w:val="none"/>
              </w:rPr>
            </w:pPr>
            <w:r>
              <w:rPr>
                <w:rFonts w:hint="eastAsia" w:ascii="宋体" w:hAnsi="宋体"/>
                <w:szCs w:val="21"/>
                <w:highlight w:val="none"/>
              </w:rPr>
              <w:t>【】</w:t>
            </w:r>
            <w:r>
              <w:rPr>
                <w:rFonts w:hint="eastAsia" w:ascii="宋体" w:hAnsi="宋体" w:cs="宋体"/>
                <w:szCs w:val="21"/>
                <w:highlight w:val="none"/>
              </w:rPr>
              <w:t>元/人/往返程，报价含车辆全险。</w:t>
            </w:r>
          </w:p>
        </w:tc>
        <w:tc>
          <w:tcPr>
            <w:tcW w:w="801" w:type="dxa"/>
            <w:vMerge w:val="restart"/>
            <w:vAlign w:val="center"/>
          </w:tcPr>
          <w:p>
            <w:pPr>
              <w:spacing w:line="360" w:lineRule="auto"/>
              <w:jc w:val="center"/>
              <w:rPr>
                <w:rFonts w:hint="eastAsia" w:ascii="宋体" w:hAnsi="宋体" w:cs="宋体"/>
                <w:szCs w:val="21"/>
                <w:highlight w:val="none"/>
              </w:rPr>
            </w:pPr>
            <w:r>
              <w:rPr>
                <w:rFonts w:hint="eastAsia" w:ascii="宋体" w:hAnsi="宋体"/>
                <w:szCs w:val="21"/>
                <w:highlight w:val="none"/>
              </w:rPr>
              <w:t>【】</w:t>
            </w:r>
            <w:r>
              <w:rPr>
                <w:rFonts w:hint="eastAsia" w:ascii="宋体" w:hAnsi="宋体" w:cs="宋体"/>
                <w:szCs w:val="21"/>
                <w:highlight w:val="none"/>
              </w:rPr>
              <w:t>元/人/往返程，报价含车辆全险。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8" w:hRule="atLeast"/>
          <w:jc w:val="center"/>
        </w:trPr>
        <w:tc>
          <w:tcPr>
            <w:tcW w:w="500" w:type="dxa"/>
            <w:vMerge w:val="continue"/>
            <w:vAlign w:val="center"/>
          </w:tcPr>
          <w:p>
            <w:pPr>
              <w:spacing w:line="360" w:lineRule="auto"/>
              <w:jc w:val="center"/>
              <w:rPr>
                <w:rFonts w:hint="eastAsia" w:ascii="宋体" w:hAnsi="宋体" w:cs="宋体"/>
                <w:szCs w:val="21"/>
                <w:highlight w:val="none"/>
              </w:rPr>
            </w:pPr>
          </w:p>
        </w:tc>
        <w:tc>
          <w:tcPr>
            <w:tcW w:w="814" w:type="dxa"/>
            <w:vMerge w:val="continue"/>
            <w:vAlign w:val="center"/>
          </w:tcPr>
          <w:p>
            <w:pPr>
              <w:spacing w:line="360" w:lineRule="auto"/>
              <w:jc w:val="center"/>
              <w:rPr>
                <w:rFonts w:hint="eastAsia" w:ascii="宋体" w:hAnsi="宋体" w:cs="宋体"/>
                <w:szCs w:val="21"/>
                <w:highlight w:val="none"/>
              </w:rPr>
            </w:pPr>
          </w:p>
        </w:tc>
        <w:tc>
          <w:tcPr>
            <w:tcW w:w="1714" w:type="dxa"/>
            <w:vMerge w:val="continue"/>
            <w:vAlign w:val="center"/>
          </w:tcPr>
          <w:p>
            <w:pPr>
              <w:spacing w:line="360" w:lineRule="auto"/>
              <w:jc w:val="center"/>
              <w:rPr>
                <w:rFonts w:hint="eastAsia" w:ascii="宋体" w:hAnsi="宋体" w:cs="宋体"/>
                <w:szCs w:val="21"/>
                <w:highlight w:val="none"/>
                <w:u w:val="single"/>
              </w:rPr>
            </w:pPr>
          </w:p>
        </w:tc>
        <w:tc>
          <w:tcPr>
            <w:tcW w:w="1328" w:type="dxa"/>
            <w:vAlign w:val="center"/>
          </w:tcPr>
          <w:p>
            <w:pPr>
              <w:rPr>
                <w:rFonts w:hint="eastAsia" w:ascii="宋体" w:hAnsi="宋体" w:cs="宋体"/>
                <w:b/>
                <w:szCs w:val="21"/>
                <w:highlight w:val="none"/>
              </w:rPr>
            </w:pPr>
            <w:r>
              <w:rPr>
                <w:rFonts w:hint="eastAsia" w:ascii="宋体" w:hAnsi="宋体" w:cs="宋体"/>
                <w:szCs w:val="21"/>
                <w:highlight w:val="none"/>
              </w:rPr>
              <w:t>航延(不含早)：不高于</w:t>
            </w:r>
            <w:r>
              <w:rPr>
                <w:rFonts w:hint="eastAsia" w:ascii="宋体" w:hAnsi="宋体"/>
                <w:szCs w:val="21"/>
                <w:highlight w:val="none"/>
              </w:rPr>
              <w:t>【】</w:t>
            </w:r>
            <w:r>
              <w:rPr>
                <w:rFonts w:hint="eastAsia" w:ascii="宋体" w:hAnsi="宋体" w:cs="宋体"/>
                <w:szCs w:val="21"/>
                <w:highlight w:val="none"/>
              </w:rPr>
              <w:t>元/间/天</w:t>
            </w:r>
          </w:p>
        </w:tc>
        <w:tc>
          <w:tcPr>
            <w:tcW w:w="1540" w:type="dxa"/>
            <w:vAlign w:val="center"/>
          </w:tcPr>
          <w:p>
            <w:pPr>
              <w:spacing w:line="360" w:lineRule="auto"/>
              <w:rPr>
                <w:rFonts w:hint="eastAsia" w:ascii="宋体" w:hAnsi="宋体" w:cs="宋体"/>
                <w:szCs w:val="21"/>
                <w:highlight w:val="none"/>
              </w:rPr>
            </w:pPr>
            <w:r>
              <w:rPr>
                <w:rFonts w:hint="eastAsia" w:ascii="宋体" w:hAnsi="宋体" w:cs="宋体"/>
                <w:szCs w:val="21"/>
                <w:highlight w:val="none"/>
              </w:rPr>
              <w:t>航延(不含早)：</w:t>
            </w:r>
            <w:r>
              <w:rPr>
                <w:rFonts w:hint="eastAsia" w:ascii="宋体" w:hAnsi="宋体"/>
                <w:szCs w:val="21"/>
                <w:highlight w:val="none"/>
              </w:rPr>
              <w:t>【】</w:t>
            </w:r>
            <w:r>
              <w:rPr>
                <w:rFonts w:hint="eastAsia" w:ascii="宋体" w:hAnsi="宋体" w:cs="宋体"/>
                <w:szCs w:val="21"/>
                <w:highlight w:val="none"/>
              </w:rPr>
              <w:t xml:space="preserve">元/间/天 </w:t>
            </w:r>
          </w:p>
        </w:tc>
        <w:tc>
          <w:tcPr>
            <w:tcW w:w="1593" w:type="dxa"/>
            <w:vAlign w:val="center"/>
          </w:tcPr>
          <w:p>
            <w:pPr>
              <w:rPr>
                <w:rFonts w:hint="eastAsia" w:ascii="宋体" w:hAnsi="宋体" w:cs="宋体"/>
                <w:szCs w:val="21"/>
                <w:highlight w:val="none"/>
              </w:rPr>
            </w:pPr>
            <w:r>
              <w:rPr>
                <w:rFonts w:hint="eastAsia" w:ascii="宋体" w:hAnsi="宋体" w:cs="宋体"/>
                <w:szCs w:val="21"/>
                <w:highlight w:val="none"/>
              </w:rPr>
              <w:t>航延旅客餐食不高于：</w:t>
            </w:r>
          </w:p>
          <w:p>
            <w:pPr>
              <w:rPr>
                <w:rFonts w:hint="eastAsia" w:ascii="宋体" w:hAnsi="宋体" w:cs="宋体"/>
                <w:szCs w:val="21"/>
                <w:highlight w:val="none"/>
              </w:rPr>
            </w:pPr>
            <w:r>
              <w:rPr>
                <w:rFonts w:hint="eastAsia" w:ascii="宋体" w:hAnsi="宋体" w:cs="宋体"/>
                <w:szCs w:val="21"/>
                <w:highlight w:val="none"/>
              </w:rPr>
              <w:t>早餐</w:t>
            </w:r>
            <w:r>
              <w:rPr>
                <w:rFonts w:hint="eastAsia" w:ascii="宋体" w:hAnsi="宋体"/>
                <w:szCs w:val="21"/>
                <w:highlight w:val="none"/>
              </w:rPr>
              <w:t>【】</w:t>
            </w:r>
            <w:r>
              <w:rPr>
                <w:rFonts w:hint="eastAsia" w:ascii="宋体" w:hAnsi="宋体" w:cs="宋体"/>
                <w:szCs w:val="21"/>
                <w:highlight w:val="none"/>
              </w:rPr>
              <w:t>元</w:t>
            </w:r>
          </w:p>
          <w:p>
            <w:pPr>
              <w:rPr>
                <w:rFonts w:hint="eastAsia" w:ascii="宋体" w:hAnsi="宋体" w:cs="宋体"/>
                <w:szCs w:val="21"/>
                <w:highlight w:val="none"/>
              </w:rPr>
            </w:pPr>
            <w:r>
              <w:rPr>
                <w:rFonts w:hint="eastAsia" w:ascii="宋体" w:hAnsi="宋体" w:cs="宋体"/>
                <w:szCs w:val="21"/>
                <w:highlight w:val="none"/>
              </w:rPr>
              <w:t>午餐、晚餐</w:t>
            </w:r>
            <w:r>
              <w:rPr>
                <w:rFonts w:hint="eastAsia" w:ascii="宋体" w:hAnsi="宋体"/>
                <w:szCs w:val="21"/>
                <w:highlight w:val="none"/>
              </w:rPr>
              <w:t>【】</w:t>
            </w:r>
            <w:r>
              <w:rPr>
                <w:rFonts w:hint="eastAsia" w:ascii="宋体" w:hAnsi="宋体" w:cs="宋体"/>
                <w:szCs w:val="21"/>
                <w:highlight w:val="none"/>
              </w:rPr>
              <w:t>元</w:t>
            </w:r>
          </w:p>
          <w:p>
            <w:pPr>
              <w:rPr>
                <w:rFonts w:hint="eastAsia" w:ascii="宋体" w:hAnsi="宋体" w:cs="宋体"/>
                <w:szCs w:val="21"/>
                <w:highlight w:val="none"/>
              </w:rPr>
            </w:pPr>
            <w:r>
              <w:rPr>
                <w:rFonts w:hint="eastAsia" w:ascii="宋体" w:hAnsi="宋体" w:cs="宋体"/>
                <w:szCs w:val="21"/>
                <w:highlight w:val="none"/>
              </w:rPr>
              <w:t>宵夜</w:t>
            </w:r>
            <w:r>
              <w:rPr>
                <w:rFonts w:hint="eastAsia" w:ascii="宋体" w:hAnsi="宋体"/>
                <w:szCs w:val="21"/>
                <w:highlight w:val="none"/>
              </w:rPr>
              <w:t>【】</w:t>
            </w:r>
            <w:r>
              <w:rPr>
                <w:rFonts w:hint="eastAsia" w:ascii="宋体" w:hAnsi="宋体" w:cs="宋体"/>
                <w:szCs w:val="21"/>
                <w:highlight w:val="none"/>
              </w:rPr>
              <w:t>元</w:t>
            </w:r>
          </w:p>
        </w:tc>
        <w:tc>
          <w:tcPr>
            <w:tcW w:w="1602" w:type="dxa"/>
            <w:vAlign w:val="center"/>
          </w:tcPr>
          <w:p>
            <w:pPr>
              <w:rPr>
                <w:rFonts w:hint="eastAsia" w:ascii="宋体" w:hAnsi="宋体" w:cs="宋体"/>
                <w:szCs w:val="21"/>
                <w:highlight w:val="none"/>
              </w:rPr>
            </w:pPr>
            <w:r>
              <w:rPr>
                <w:rFonts w:hint="eastAsia" w:ascii="宋体" w:hAnsi="宋体" w:cs="宋体"/>
                <w:szCs w:val="21"/>
                <w:highlight w:val="none"/>
              </w:rPr>
              <w:t>航延旅客餐食：</w:t>
            </w:r>
          </w:p>
          <w:p>
            <w:pPr>
              <w:rPr>
                <w:rFonts w:hint="eastAsia" w:ascii="宋体" w:hAnsi="宋体" w:cs="宋体"/>
                <w:szCs w:val="21"/>
                <w:highlight w:val="none"/>
              </w:rPr>
            </w:pPr>
            <w:r>
              <w:rPr>
                <w:rFonts w:hint="eastAsia" w:ascii="宋体" w:hAnsi="宋体" w:cs="宋体"/>
                <w:szCs w:val="21"/>
                <w:highlight w:val="none"/>
              </w:rPr>
              <w:t>早餐</w:t>
            </w:r>
            <w:r>
              <w:rPr>
                <w:rFonts w:hint="eastAsia" w:ascii="宋体" w:hAnsi="宋体"/>
                <w:szCs w:val="21"/>
                <w:highlight w:val="none"/>
              </w:rPr>
              <w:t>【】</w:t>
            </w:r>
            <w:r>
              <w:rPr>
                <w:rFonts w:hint="eastAsia" w:ascii="宋体" w:hAnsi="宋体" w:cs="宋体"/>
                <w:szCs w:val="21"/>
                <w:highlight w:val="none"/>
              </w:rPr>
              <w:t>元</w:t>
            </w:r>
          </w:p>
          <w:p>
            <w:pPr>
              <w:rPr>
                <w:rFonts w:hint="eastAsia" w:ascii="宋体" w:hAnsi="宋体" w:cs="宋体"/>
                <w:szCs w:val="21"/>
                <w:highlight w:val="none"/>
              </w:rPr>
            </w:pPr>
            <w:r>
              <w:rPr>
                <w:rFonts w:hint="eastAsia" w:ascii="宋体" w:hAnsi="宋体" w:cs="宋体"/>
                <w:szCs w:val="21"/>
                <w:highlight w:val="none"/>
              </w:rPr>
              <w:t>午餐、晚餐</w:t>
            </w:r>
            <w:r>
              <w:rPr>
                <w:rFonts w:hint="eastAsia" w:ascii="宋体" w:hAnsi="宋体"/>
                <w:szCs w:val="21"/>
                <w:highlight w:val="none"/>
              </w:rPr>
              <w:t>【】</w:t>
            </w:r>
            <w:r>
              <w:rPr>
                <w:rFonts w:hint="eastAsia" w:ascii="宋体" w:hAnsi="宋体" w:cs="宋体"/>
                <w:szCs w:val="21"/>
                <w:highlight w:val="none"/>
              </w:rPr>
              <w:t>元</w:t>
            </w:r>
          </w:p>
          <w:p>
            <w:pPr>
              <w:rPr>
                <w:highlight w:val="none"/>
              </w:rPr>
            </w:pPr>
            <w:r>
              <w:rPr>
                <w:rFonts w:hint="eastAsia" w:ascii="宋体" w:hAnsi="宋体" w:cs="宋体"/>
                <w:szCs w:val="21"/>
                <w:highlight w:val="none"/>
              </w:rPr>
              <w:t>宵夜</w:t>
            </w:r>
            <w:r>
              <w:rPr>
                <w:rFonts w:hint="eastAsia" w:ascii="宋体" w:hAnsi="宋体"/>
                <w:szCs w:val="21"/>
                <w:highlight w:val="none"/>
              </w:rPr>
              <w:t>【】</w:t>
            </w:r>
            <w:r>
              <w:rPr>
                <w:rFonts w:hint="eastAsia" w:ascii="宋体" w:hAnsi="宋体" w:cs="宋体"/>
                <w:szCs w:val="21"/>
                <w:highlight w:val="none"/>
              </w:rPr>
              <w:t>元</w:t>
            </w:r>
          </w:p>
        </w:tc>
        <w:tc>
          <w:tcPr>
            <w:tcW w:w="804" w:type="dxa"/>
            <w:vMerge w:val="continue"/>
            <w:vAlign w:val="center"/>
          </w:tcPr>
          <w:p>
            <w:pPr>
              <w:rPr>
                <w:rFonts w:hint="eastAsia" w:ascii="宋体" w:hAnsi="宋体" w:cs="宋体"/>
                <w:szCs w:val="21"/>
                <w:highlight w:val="none"/>
              </w:rPr>
            </w:pPr>
          </w:p>
        </w:tc>
        <w:tc>
          <w:tcPr>
            <w:tcW w:w="801" w:type="dxa"/>
            <w:vMerge w:val="continue"/>
            <w:vAlign w:val="center"/>
          </w:tcPr>
          <w:p>
            <w:pPr>
              <w:rPr>
                <w:rFonts w:hint="eastAsia" w:ascii="宋体" w:hAnsi="宋体" w:cs="宋体"/>
                <w:szCs w:val="21"/>
                <w:highlight w:val="none"/>
              </w:rPr>
            </w:pPr>
          </w:p>
        </w:tc>
      </w:tr>
    </w:tbl>
    <w:p>
      <w:pPr>
        <w:pStyle w:val="9"/>
        <w:rPr>
          <w:highlight w:val="none"/>
          <w:lang w:val="en-US"/>
        </w:rPr>
      </w:pPr>
    </w:p>
    <w:p>
      <w:pPr>
        <w:rPr>
          <w:highlight w:val="none"/>
          <w:lang w:val="zh-CN"/>
        </w:rPr>
      </w:pPr>
      <w:r>
        <w:rPr>
          <w:rFonts w:hint="eastAsia"/>
          <w:highlight w:val="none"/>
        </w:rPr>
        <w:t>子包三：</w:t>
      </w:r>
    </w:p>
    <w:tbl>
      <w:tblPr>
        <w:tblStyle w:val="25"/>
        <w:tblW w:w="10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814"/>
        <w:gridCol w:w="1714"/>
        <w:gridCol w:w="1328"/>
        <w:gridCol w:w="1540"/>
        <w:gridCol w:w="1593"/>
        <w:gridCol w:w="1602"/>
        <w:gridCol w:w="804"/>
        <w:gridCol w:w="8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500" w:type="dxa"/>
            <w:vAlign w:val="center"/>
          </w:tcPr>
          <w:p>
            <w:pPr>
              <w:jc w:val="center"/>
              <w:rPr>
                <w:rFonts w:hint="eastAsia" w:ascii="宋体" w:hAnsi="宋体" w:cs="宋体"/>
                <w:szCs w:val="21"/>
                <w:highlight w:val="none"/>
              </w:rPr>
            </w:pPr>
            <w:r>
              <w:rPr>
                <w:rFonts w:hint="eastAsia" w:ascii="宋体" w:hAnsi="宋体" w:cs="宋体"/>
                <w:szCs w:val="21"/>
                <w:highlight w:val="none"/>
              </w:rPr>
              <w:t>序号</w:t>
            </w:r>
          </w:p>
        </w:tc>
        <w:tc>
          <w:tcPr>
            <w:tcW w:w="814" w:type="dxa"/>
            <w:vAlign w:val="center"/>
          </w:tcPr>
          <w:p>
            <w:pPr>
              <w:jc w:val="center"/>
              <w:rPr>
                <w:rFonts w:hint="eastAsia" w:ascii="宋体" w:hAnsi="宋体" w:cs="宋体"/>
                <w:szCs w:val="21"/>
                <w:highlight w:val="none"/>
              </w:rPr>
            </w:pPr>
            <w:r>
              <w:rPr>
                <w:rFonts w:hint="eastAsia" w:ascii="宋体" w:hAnsi="宋体" w:cs="宋体"/>
                <w:szCs w:val="21"/>
                <w:highlight w:val="none"/>
              </w:rPr>
              <w:t>供应商</w:t>
            </w:r>
          </w:p>
          <w:p>
            <w:pPr>
              <w:jc w:val="center"/>
              <w:rPr>
                <w:rFonts w:hint="eastAsia" w:ascii="宋体" w:hAnsi="宋体" w:cs="宋体"/>
                <w:szCs w:val="21"/>
                <w:highlight w:val="none"/>
              </w:rPr>
            </w:pPr>
            <w:r>
              <w:rPr>
                <w:rFonts w:hint="eastAsia" w:ascii="宋体" w:hAnsi="宋体" w:cs="宋体"/>
                <w:szCs w:val="21"/>
                <w:highlight w:val="none"/>
              </w:rPr>
              <w:t>名称</w:t>
            </w:r>
          </w:p>
        </w:tc>
        <w:tc>
          <w:tcPr>
            <w:tcW w:w="1714" w:type="dxa"/>
            <w:vAlign w:val="center"/>
          </w:tcPr>
          <w:p>
            <w:pPr>
              <w:spacing w:line="360" w:lineRule="auto"/>
              <w:jc w:val="center"/>
              <w:rPr>
                <w:rFonts w:hint="eastAsia" w:ascii="宋体" w:hAnsi="宋体" w:cs="宋体"/>
                <w:szCs w:val="21"/>
                <w:highlight w:val="none"/>
              </w:rPr>
            </w:pPr>
            <w:r>
              <w:rPr>
                <w:rFonts w:hint="eastAsia" w:ascii="宋体" w:hAnsi="宋体" w:cs="宋体"/>
                <w:szCs w:val="21"/>
                <w:highlight w:val="none"/>
              </w:rPr>
              <w:t>酒店</w:t>
            </w:r>
          </w:p>
        </w:tc>
        <w:tc>
          <w:tcPr>
            <w:tcW w:w="1328" w:type="dxa"/>
            <w:vAlign w:val="center"/>
          </w:tcPr>
          <w:p>
            <w:pPr>
              <w:spacing w:line="360" w:lineRule="auto"/>
              <w:jc w:val="center"/>
              <w:rPr>
                <w:rFonts w:hint="eastAsia" w:ascii="宋体" w:hAnsi="宋体" w:cs="宋体"/>
                <w:szCs w:val="21"/>
                <w:highlight w:val="none"/>
              </w:rPr>
            </w:pPr>
            <w:r>
              <w:rPr>
                <w:rFonts w:hint="eastAsia" w:ascii="宋体" w:hAnsi="宋体" w:cs="宋体"/>
                <w:b/>
                <w:szCs w:val="21"/>
                <w:highlight w:val="none"/>
                <w:lang w:eastAsia="zh"/>
              </w:rPr>
              <w:t>单人间/双人间</w:t>
            </w:r>
            <w:r>
              <w:rPr>
                <w:rFonts w:hint="eastAsia" w:ascii="宋体" w:hAnsi="宋体" w:cs="宋体"/>
                <w:b/>
                <w:szCs w:val="21"/>
                <w:highlight w:val="none"/>
              </w:rPr>
              <w:t>房间最高限价（元/间/天）</w:t>
            </w:r>
          </w:p>
        </w:tc>
        <w:tc>
          <w:tcPr>
            <w:tcW w:w="1540" w:type="dxa"/>
            <w:vAlign w:val="center"/>
          </w:tcPr>
          <w:p>
            <w:pPr>
              <w:jc w:val="center"/>
              <w:rPr>
                <w:rFonts w:hint="eastAsia" w:ascii="宋体" w:hAnsi="宋体" w:cs="宋体"/>
                <w:b/>
                <w:szCs w:val="21"/>
                <w:highlight w:val="none"/>
              </w:rPr>
            </w:pPr>
            <w:r>
              <w:rPr>
                <w:rFonts w:hint="eastAsia" w:ascii="宋体" w:hAnsi="宋体" w:cs="宋体"/>
                <w:b/>
                <w:szCs w:val="21"/>
                <w:highlight w:val="none"/>
                <w:lang w:eastAsia="zh"/>
              </w:rPr>
              <w:t>单人间/双人间</w:t>
            </w:r>
            <w:r>
              <w:rPr>
                <w:rFonts w:hint="eastAsia" w:ascii="宋体" w:hAnsi="宋体" w:cs="宋体"/>
                <w:b/>
                <w:szCs w:val="21"/>
                <w:highlight w:val="none"/>
              </w:rPr>
              <w:t>房间单价报价</w:t>
            </w:r>
          </w:p>
          <w:p>
            <w:pPr>
              <w:jc w:val="center"/>
              <w:rPr>
                <w:highlight w:val="none"/>
              </w:rPr>
            </w:pPr>
            <w:r>
              <w:rPr>
                <w:rFonts w:hint="eastAsia" w:ascii="宋体" w:hAnsi="宋体" w:cs="宋体"/>
                <w:b/>
                <w:szCs w:val="21"/>
                <w:highlight w:val="none"/>
              </w:rPr>
              <w:t>（元/间/天 ）</w:t>
            </w:r>
          </w:p>
        </w:tc>
        <w:tc>
          <w:tcPr>
            <w:tcW w:w="1593" w:type="dxa"/>
            <w:vAlign w:val="center"/>
          </w:tcPr>
          <w:p>
            <w:pPr>
              <w:rPr>
                <w:rFonts w:hint="eastAsia" w:ascii="宋体" w:hAnsi="宋体" w:cs="宋体"/>
                <w:b/>
                <w:szCs w:val="21"/>
                <w:highlight w:val="none"/>
              </w:rPr>
            </w:pPr>
            <w:r>
              <w:rPr>
                <w:rFonts w:hint="eastAsia" w:ascii="宋体" w:hAnsi="宋体" w:cs="宋体"/>
                <w:b/>
                <w:szCs w:val="21"/>
                <w:highlight w:val="none"/>
              </w:rPr>
              <w:t>餐食限价</w:t>
            </w:r>
          </w:p>
          <w:p>
            <w:pPr>
              <w:rPr>
                <w:rFonts w:hint="eastAsia" w:ascii="宋体" w:hAnsi="宋体" w:cs="宋体"/>
                <w:b/>
                <w:szCs w:val="21"/>
                <w:highlight w:val="none"/>
              </w:rPr>
            </w:pPr>
            <w:r>
              <w:rPr>
                <w:rFonts w:hint="eastAsia" w:ascii="宋体" w:hAnsi="宋体" w:cs="宋体"/>
                <w:b/>
                <w:szCs w:val="21"/>
                <w:highlight w:val="none"/>
              </w:rPr>
              <w:t>（早/中/晚/宵夜）</w:t>
            </w:r>
          </w:p>
          <w:p>
            <w:pPr>
              <w:rPr>
                <w:rFonts w:hint="eastAsia" w:ascii="宋体" w:hAnsi="宋体" w:cs="宋体"/>
                <w:szCs w:val="21"/>
                <w:highlight w:val="none"/>
              </w:rPr>
            </w:pPr>
            <w:r>
              <w:rPr>
                <w:rFonts w:hint="eastAsia" w:ascii="宋体" w:hAnsi="宋体" w:cs="宋体"/>
                <w:b/>
                <w:szCs w:val="21"/>
                <w:highlight w:val="none"/>
              </w:rPr>
              <w:t>（元/人/餐）</w:t>
            </w:r>
          </w:p>
        </w:tc>
        <w:tc>
          <w:tcPr>
            <w:tcW w:w="1602" w:type="dxa"/>
            <w:vAlign w:val="center"/>
          </w:tcPr>
          <w:p>
            <w:pPr>
              <w:rPr>
                <w:rFonts w:hint="eastAsia" w:ascii="宋体" w:hAnsi="宋体" w:cs="宋体"/>
                <w:b/>
                <w:szCs w:val="21"/>
                <w:highlight w:val="none"/>
              </w:rPr>
            </w:pPr>
            <w:r>
              <w:rPr>
                <w:rFonts w:hint="eastAsia" w:ascii="宋体" w:hAnsi="宋体" w:cs="宋体"/>
                <w:b/>
                <w:szCs w:val="21"/>
                <w:highlight w:val="none"/>
              </w:rPr>
              <w:t>餐食单价报价</w:t>
            </w:r>
          </w:p>
          <w:p>
            <w:pPr>
              <w:rPr>
                <w:rFonts w:hint="eastAsia" w:ascii="宋体" w:hAnsi="宋体" w:cs="宋体"/>
                <w:szCs w:val="21"/>
                <w:highlight w:val="none"/>
              </w:rPr>
            </w:pPr>
            <w:r>
              <w:rPr>
                <w:rFonts w:hint="eastAsia" w:ascii="宋体" w:hAnsi="宋体" w:cs="宋体"/>
                <w:b/>
                <w:szCs w:val="21"/>
                <w:highlight w:val="none"/>
              </w:rPr>
              <w:t>（早/中/晚/宵夜）（元/人/餐）</w:t>
            </w:r>
          </w:p>
        </w:tc>
        <w:tc>
          <w:tcPr>
            <w:tcW w:w="804" w:type="dxa"/>
            <w:vAlign w:val="center"/>
          </w:tcPr>
          <w:p>
            <w:pPr>
              <w:jc w:val="center"/>
              <w:rPr>
                <w:rFonts w:hint="eastAsia" w:ascii="宋体" w:hAnsi="宋体" w:cs="宋体"/>
                <w:szCs w:val="21"/>
                <w:highlight w:val="none"/>
              </w:rPr>
            </w:pPr>
            <w:r>
              <w:rPr>
                <w:rFonts w:hint="eastAsia" w:ascii="宋体" w:hAnsi="宋体" w:cs="宋体"/>
                <w:szCs w:val="21"/>
                <w:highlight w:val="none"/>
              </w:rPr>
              <w:t>车费</w:t>
            </w:r>
          </w:p>
          <w:p>
            <w:pPr>
              <w:jc w:val="center"/>
              <w:rPr>
                <w:rFonts w:hint="eastAsia" w:ascii="宋体" w:hAnsi="宋体" w:cs="宋体"/>
                <w:b/>
                <w:szCs w:val="21"/>
                <w:highlight w:val="none"/>
              </w:rPr>
            </w:pPr>
            <w:r>
              <w:rPr>
                <w:rFonts w:hint="eastAsia" w:ascii="宋体" w:hAnsi="宋体" w:cs="宋体"/>
                <w:szCs w:val="21"/>
                <w:highlight w:val="none"/>
              </w:rPr>
              <w:t>限价（元/人/往返程）</w:t>
            </w:r>
          </w:p>
        </w:tc>
        <w:tc>
          <w:tcPr>
            <w:tcW w:w="801" w:type="dxa"/>
            <w:vAlign w:val="center"/>
          </w:tcPr>
          <w:p>
            <w:pPr>
              <w:jc w:val="center"/>
              <w:rPr>
                <w:rFonts w:hint="eastAsia" w:ascii="宋体" w:hAnsi="宋体" w:cs="宋体"/>
                <w:szCs w:val="21"/>
                <w:highlight w:val="none"/>
              </w:rPr>
            </w:pPr>
            <w:r>
              <w:rPr>
                <w:rFonts w:hint="eastAsia" w:ascii="宋体" w:hAnsi="宋体" w:cs="宋体"/>
                <w:szCs w:val="21"/>
                <w:highlight w:val="none"/>
              </w:rPr>
              <w:t>车费</w:t>
            </w:r>
          </w:p>
          <w:p>
            <w:pPr>
              <w:jc w:val="center"/>
              <w:rPr>
                <w:rFonts w:hint="eastAsia" w:ascii="宋体" w:hAnsi="宋体" w:cs="宋体"/>
                <w:b/>
                <w:szCs w:val="21"/>
                <w:highlight w:val="none"/>
              </w:rPr>
            </w:pPr>
            <w:r>
              <w:rPr>
                <w:rFonts w:hint="eastAsia" w:ascii="宋体" w:hAnsi="宋体" w:cs="宋体"/>
                <w:szCs w:val="21"/>
                <w:highlight w:val="none"/>
              </w:rPr>
              <w:t>单价报价（元/人/往返程）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6" w:hRule="atLeast"/>
          <w:jc w:val="center"/>
        </w:trPr>
        <w:tc>
          <w:tcPr>
            <w:tcW w:w="500" w:type="dxa"/>
            <w:vMerge w:val="restart"/>
            <w:vAlign w:val="center"/>
          </w:tcPr>
          <w:p>
            <w:pPr>
              <w:spacing w:line="360" w:lineRule="auto"/>
              <w:jc w:val="center"/>
              <w:rPr>
                <w:rFonts w:hint="eastAsia" w:ascii="宋体" w:hAnsi="宋体" w:cs="宋体"/>
                <w:szCs w:val="21"/>
                <w:highlight w:val="none"/>
              </w:rPr>
            </w:pPr>
            <w:r>
              <w:rPr>
                <w:rFonts w:hint="eastAsia" w:ascii="宋体" w:hAnsi="宋体" w:cs="宋体"/>
                <w:szCs w:val="21"/>
                <w:highlight w:val="none"/>
              </w:rPr>
              <w:t>1</w:t>
            </w:r>
          </w:p>
        </w:tc>
        <w:tc>
          <w:tcPr>
            <w:tcW w:w="814" w:type="dxa"/>
            <w:vMerge w:val="restart"/>
            <w:vAlign w:val="center"/>
          </w:tcPr>
          <w:p>
            <w:pPr>
              <w:spacing w:line="360" w:lineRule="auto"/>
              <w:jc w:val="center"/>
              <w:rPr>
                <w:rFonts w:hint="eastAsia" w:ascii="宋体" w:hAnsi="宋体" w:cs="宋体"/>
                <w:szCs w:val="21"/>
                <w:highlight w:val="none"/>
              </w:rPr>
            </w:pPr>
          </w:p>
        </w:tc>
        <w:tc>
          <w:tcPr>
            <w:tcW w:w="1714" w:type="dxa"/>
            <w:vMerge w:val="restart"/>
            <w:vAlign w:val="center"/>
          </w:tcPr>
          <w:p>
            <w:pPr>
              <w:spacing w:line="360" w:lineRule="auto"/>
              <w:jc w:val="center"/>
              <w:rPr>
                <w:rFonts w:hint="eastAsia" w:ascii="宋体" w:hAnsi="宋体" w:cs="宋体"/>
                <w:szCs w:val="21"/>
                <w:highlight w:val="none"/>
                <w:u w:val="single"/>
              </w:rPr>
            </w:pPr>
            <w:r>
              <w:rPr>
                <w:rFonts w:hint="eastAsia" w:ascii="宋体" w:hAnsi="宋体" w:cs="宋体"/>
                <w:szCs w:val="21"/>
                <w:highlight w:val="none"/>
              </w:rPr>
              <w:t>挂牌</w:t>
            </w:r>
            <w:r>
              <w:rPr>
                <w:rFonts w:hint="eastAsia" w:ascii="宋体" w:hAnsi="宋体"/>
                <w:szCs w:val="21"/>
                <w:highlight w:val="none"/>
              </w:rPr>
              <w:t>【】</w:t>
            </w:r>
            <w:r>
              <w:rPr>
                <w:rFonts w:hint="eastAsia" w:ascii="宋体" w:hAnsi="宋体" w:cs="宋体"/>
                <w:szCs w:val="21"/>
                <w:highlight w:val="none"/>
              </w:rPr>
              <w:t>（含）以上且携程评分</w:t>
            </w:r>
            <w:r>
              <w:rPr>
                <w:rFonts w:hint="eastAsia" w:ascii="宋体" w:hAnsi="宋体"/>
                <w:szCs w:val="21"/>
                <w:highlight w:val="none"/>
              </w:rPr>
              <w:t>【】</w:t>
            </w:r>
            <w:r>
              <w:rPr>
                <w:rFonts w:hint="eastAsia" w:ascii="宋体" w:hAnsi="宋体" w:cs="宋体"/>
                <w:szCs w:val="21"/>
                <w:highlight w:val="none"/>
              </w:rPr>
              <w:t>分（含）以上酒店或携程评级</w:t>
            </w:r>
            <w:r>
              <w:rPr>
                <w:rFonts w:hint="eastAsia" w:ascii="宋体" w:hAnsi="宋体"/>
                <w:szCs w:val="21"/>
                <w:highlight w:val="none"/>
              </w:rPr>
              <w:t>【】</w:t>
            </w:r>
            <w:r>
              <w:rPr>
                <w:rFonts w:hint="eastAsia" w:ascii="宋体" w:hAnsi="宋体" w:cs="宋体"/>
                <w:szCs w:val="21"/>
                <w:highlight w:val="none"/>
              </w:rPr>
              <w:t>（含）以上且携程评分</w:t>
            </w:r>
            <w:r>
              <w:rPr>
                <w:rFonts w:hint="eastAsia" w:ascii="宋体" w:hAnsi="宋体"/>
                <w:szCs w:val="21"/>
                <w:highlight w:val="none"/>
              </w:rPr>
              <w:t>【】</w:t>
            </w:r>
            <w:r>
              <w:rPr>
                <w:rFonts w:hint="eastAsia" w:ascii="宋体" w:hAnsi="宋体" w:cs="宋体"/>
                <w:szCs w:val="21"/>
                <w:highlight w:val="none"/>
              </w:rPr>
              <w:t>分（含）以上酒店</w:t>
            </w:r>
          </w:p>
        </w:tc>
        <w:tc>
          <w:tcPr>
            <w:tcW w:w="1328" w:type="dxa"/>
            <w:vAlign w:val="center"/>
          </w:tcPr>
          <w:p>
            <w:pPr>
              <w:rPr>
                <w:rFonts w:hint="eastAsia" w:ascii="宋体" w:hAnsi="宋体" w:cs="宋体"/>
                <w:szCs w:val="21"/>
                <w:highlight w:val="none"/>
                <w:u w:val="single"/>
              </w:rPr>
            </w:pPr>
            <w:r>
              <w:rPr>
                <w:rFonts w:hint="eastAsia" w:ascii="宋体" w:hAnsi="宋体" w:cs="宋体"/>
                <w:szCs w:val="21"/>
                <w:highlight w:val="none"/>
              </w:rPr>
              <w:t>中转(含早)：不高于</w:t>
            </w:r>
            <w:r>
              <w:rPr>
                <w:rFonts w:hint="eastAsia" w:ascii="宋体" w:hAnsi="宋体"/>
                <w:szCs w:val="21"/>
                <w:highlight w:val="none"/>
              </w:rPr>
              <w:t>【】</w:t>
            </w:r>
            <w:r>
              <w:rPr>
                <w:rFonts w:hint="eastAsia" w:ascii="宋体" w:hAnsi="宋体" w:cs="宋体"/>
                <w:szCs w:val="21"/>
                <w:highlight w:val="none"/>
              </w:rPr>
              <w:t>元/间/天</w:t>
            </w:r>
          </w:p>
        </w:tc>
        <w:tc>
          <w:tcPr>
            <w:tcW w:w="1540" w:type="dxa"/>
            <w:vAlign w:val="center"/>
          </w:tcPr>
          <w:p>
            <w:pPr>
              <w:spacing w:line="360" w:lineRule="auto"/>
              <w:rPr>
                <w:rFonts w:hint="eastAsia" w:ascii="宋体" w:hAnsi="宋体" w:cs="宋体"/>
                <w:szCs w:val="21"/>
                <w:highlight w:val="none"/>
              </w:rPr>
            </w:pPr>
            <w:r>
              <w:rPr>
                <w:rFonts w:hint="eastAsia" w:ascii="宋体" w:hAnsi="宋体" w:cs="宋体"/>
                <w:szCs w:val="21"/>
                <w:highlight w:val="none"/>
              </w:rPr>
              <w:t>中转(含早)：</w:t>
            </w:r>
            <w:r>
              <w:rPr>
                <w:rFonts w:hint="eastAsia" w:ascii="宋体" w:hAnsi="宋体"/>
                <w:szCs w:val="21"/>
                <w:highlight w:val="none"/>
              </w:rPr>
              <w:t>【】</w:t>
            </w:r>
            <w:r>
              <w:rPr>
                <w:rFonts w:hint="eastAsia" w:ascii="宋体" w:hAnsi="宋体" w:cs="宋体"/>
                <w:szCs w:val="21"/>
                <w:highlight w:val="none"/>
              </w:rPr>
              <w:t xml:space="preserve">元/间/天   </w:t>
            </w:r>
          </w:p>
        </w:tc>
        <w:tc>
          <w:tcPr>
            <w:tcW w:w="1593" w:type="dxa"/>
            <w:vAlign w:val="center"/>
          </w:tcPr>
          <w:p>
            <w:pPr>
              <w:rPr>
                <w:rFonts w:hint="eastAsia" w:ascii="宋体" w:hAnsi="宋体" w:cs="宋体"/>
                <w:szCs w:val="21"/>
                <w:highlight w:val="none"/>
              </w:rPr>
            </w:pPr>
            <w:r>
              <w:rPr>
                <w:rFonts w:hint="eastAsia" w:ascii="宋体" w:hAnsi="宋体" w:cs="宋体"/>
                <w:szCs w:val="21"/>
                <w:highlight w:val="none"/>
              </w:rPr>
              <w:t>中转旅客餐食：含入住人数早餐，每间房每天最多不超2份。</w:t>
            </w:r>
          </w:p>
        </w:tc>
        <w:tc>
          <w:tcPr>
            <w:tcW w:w="1602" w:type="dxa"/>
            <w:vAlign w:val="center"/>
          </w:tcPr>
          <w:p>
            <w:pPr>
              <w:spacing w:line="360" w:lineRule="auto"/>
              <w:jc w:val="center"/>
              <w:rPr>
                <w:rFonts w:hint="eastAsia" w:ascii="宋体" w:hAnsi="宋体" w:cs="宋体"/>
                <w:szCs w:val="21"/>
                <w:highlight w:val="none"/>
              </w:rPr>
            </w:pPr>
            <w:r>
              <w:rPr>
                <w:rFonts w:hint="eastAsia" w:ascii="宋体" w:hAnsi="宋体" w:cs="宋体"/>
                <w:szCs w:val="21"/>
                <w:highlight w:val="none"/>
              </w:rPr>
              <w:t>中转旅客餐食：含入住人数早餐，每间房每天最多不超2份。</w:t>
            </w:r>
          </w:p>
        </w:tc>
        <w:tc>
          <w:tcPr>
            <w:tcW w:w="804" w:type="dxa"/>
            <w:vMerge w:val="restart"/>
            <w:vAlign w:val="center"/>
          </w:tcPr>
          <w:p>
            <w:pPr>
              <w:spacing w:line="360" w:lineRule="auto"/>
              <w:jc w:val="center"/>
              <w:rPr>
                <w:rFonts w:hint="eastAsia" w:ascii="宋体" w:hAnsi="宋体" w:cs="宋体"/>
                <w:szCs w:val="21"/>
                <w:highlight w:val="none"/>
              </w:rPr>
            </w:pPr>
            <w:r>
              <w:rPr>
                <w:rFonts w:hint="eastAsia" w:ascii="宋体" w:hAnsi="宋体"/>
                <w:szCs w:val="21"/>
                <w:highlight w:val="none"/>
              </w:rPr>
              <w:t>【】</w:t>
            </w:r>
            <w:r>
              <w:rPr>
                <w:rFonts w:hint="eastAsia" w:ascii="宋体" w:hAnsi="宋体" w:cs="宋体"/>
                <w:szCs w:val="21"/>
                <w:highlight w:val="none"/>
              </w:rPr>
              <w:t>元/人/往返程，报价含车辆全险。</w:t>
            </w:r>
          </w:p>
        </w:tc>
        <w:tc>
          <w:tcPr>
            <w:tcW w:w="801" w:type="dxa"/>
            <w:vMerge w:val="restart"/>
            <w:vAlign w:val="center"/>
          </w:tcPr>
          <w:p>
            <w:pPr>
              <w:spacing w:line="360" w:lineRule="auto"/>
              <w:jc w:val="center"/>
              <w:rPr>
                <w:rFonts w:hint="eastAsia" w:ascii="宋体" w:hAnsi="宋体" w:cs="宋体"/>
                <w:szCs w:val="21"/>
                <w:highlight w:val="none"/>
              </w:rPr>
            </w:pPr>
            <w:r>
              <w:rPr>
                <w:rFonts w:hint="eastAsia" w:ascii="宋体" w:hAnsi="宋体"/>
                <w:szCs w:val="21"/>
                <w:highlight w:val="none"/>
              </w:rPr>
              <w:t>【】</w:t>
            </w:r>
            <w:r>
              <w:rPr>
                <w:rFonts w:hint="eastAsia" w:ascii="宋体" w:hAnsi="宋体" w:cs="宋体"/>
                <w:szCs w:val="21"/>
                <w:highlight w:val="none"/>
              </w:rPr>
              <w:t>元/人/往返程，报价含车辆全险。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8" w:hRule="atLeast"/>
          <w:jc w:val="center"/>
        </w:trPr>
        <w:tc>
          <w:tcPr>
            <w:tcW w:w="500" w:type="dxa"/>
            <w:vMerge w:val="continue"/>
            <w:vAlign w:val="center"/>
          </w:tcPr>
          <w:p>
            <w:pPr>
              <w:spacing w:line="360" w:lineRule="auto"/>
              <w:jc w:val="center"/>
              <w:rPr>
                <w:rFonts w:hint="eastAsia" w:ascii="宋体" w:hAnsi="宋体" w:cs="宋体"/>
                <w:szCs w:val="21"/>
                <w:highlight w:val="none"/>
              </w:rPr>
            </w:pPr>
          </w:p>
        </w:tc>
        <w:tc>
          <w:tcPr>
            <w:tcW w:w="814" w:type="dxa"/>
            <w:vMerge w:val="continue"/>
            <w:vAlign w:val="center"/>
          </w:tcPr>
          <w:p>
            <w:pPr>
              <w:spacing w:line="360" w:lineRule="auto"/>
              <w:jc w:val="center"/>
              <w:rPr>
                <w:rFonts w:hint="eastAsia" w:ascii="宋体" w:hAnsi="宋体" w:cs="宋体"/>
                <w:szCs w:val="21"/>
                <w:highlight w:val="none"/>
              </w:rPr>
            </w:pPr>
          </w:p>
        </w:tc>
        <w:tc>
          <w:tcPr>
            <w:tcW w:w="1714" w:type="dxa"/>
            <w:vMerge w:val="continue"/>
            <w:vAlign w:val="center"/>
          </w:tcPr>
          <w:p>
            <w:pPr>
              <w:spacing w:line="360" w:lineRule="auto"/>
              <w:jc w:val="center"/>
              <w:rPr>
                <w:rFonts w:hint="eastAsia" w:ascii="宋体" w:hAnsi="宋体" w:cs="宋体"/>
                <w:szCs w:val="21"/>
                <w:highlight w:val="none"/>
                <w:u w:val="single"/>
              </w:rPr>
            </w:pPr>
          </w:p>
        </w:tc>
        <w:tc>
          <w:tcPr>
            <w:tcW w:w="1328" w:type="dxa"/>
            <w:vAlign w:val="center"/>
          </w:tcPr>
          <w:p>
            <w:pPr>
              <w:rPr>
                <w:rFonts w:hint="eastAsia" w:ascii="宋体" w:hAnsi="宋体" w:cs="宋体"/>
                <w:b/>
                <w:szCs w:val="21"/>
                <w:highlight w:val="none"/>
              </w:rPr>
            </w:pPr>
            <w:r>
              <w:rPr>
                <w:rFonts w:hint="eastAsia" w:ascii="宋体" w:hAnsi="宋体" w:cs="宋体"/>
                <w:szCs w:val="21"/>
                <w:highlight w:val="none"/>
              </w:rPr>
              <w:t>航延(不含早)：不高于</w:t>
            </w:r>
            <w:r>
              <w:rPr>
                <w:rFonts w:hint="eastAsia" w:ascii="宋体" w:hAnsi="宋体"/>
                <w:szCs w:val="21"/>
                <w:highlight w:val="none"/>
              </w:rPr>
              <w:t>【】</w:t>
            </w:r>
            <w:r>
              <w:rPr>
                <w:rFonts w:hint="eastAsia" w:ascii="宋体" w:hAnsi="宋体" w:cs="宋体"/>
                <w:szCs w:val="21"/>
                <w:highlight w:val="none"/>
              </w:rPr>
              <w:t>元/间/天</w:t>
            </w:r>
          </w:p>
        </w:tc>
        <w:tc>
          <w:tcPr>
            <w:tcW w:w="1540" w:type="dxa"/>
            <w:vAlign w:val="center"/>
          </w:tcPr>
          <w:p>
            <w:pPr>
              <w:spacing w:line="360" w:lineRule="auto"/>
              <w:rPr>
                <w:rFonts w:hint="eastAsia" w:ascii="宋体" w:hAnsi="宋体" w:cs="宋体"/>
                <w:szCs w:val="21"/>
                <w:highlight w:val="none"/>
              </w:rPr>
            </w:pPr>
            <w:r>
              <w:rPr>
                <w:rFonts w:hint="eastAsia" w:ascii="宋体" w:hAnsi="宋体" w:cs="宋体"/>
                <w:szCs w:val="21"/>
                <w:highlight w:val="none"/>
              </w:rPr>
              <w:t>航延(不含早)：</w:t>
            </w:r>
            <w:r>
              <w:rPr>
                <w:rFonts w:hint="eastAsia" w:ascii="宋体" w:hAnsi="宋体"/>
                <w:szCs w:val="21"/>
                <w:highlight w:val="none"/>
              </w:rPr>
              <w:t>【】</w:t>
            </w:r>
            <w:r>
              <w:rPr>
                <w:rFonts w:hint="eastAsia" w:ascii="宋体" w:hAnsi="宋体" w:cs="宋体"/>
                <w:szCs w:val="21"/>
                <w:highlight w:val="none"/>
              </w:rPr>
              <w:t xml:space="preserve">元/间/天 </w:t>
            </w:r>
          </w:p>
        </w:tc>
        <w:tc>
          <w:tcPr>
            <w:tcW w:w="1593" w:type="dxa"/>
            <w:vAlign w:val="center"/>
          </w:tcPr>
          <w:p>
            <w:pPr>
              <w:rPr>
                <w:rFonts w:hint="eastAsia" w:ascii="宋体" w:hAnsi="宋体" w:cs="宋体"/>
                <w:szCs w:val="21"/>
                <w:highlight w:val="none"/>
              </w:rPr>
            </w:pPr>
            <w:r>
              <w:rPr>
                <w:rFonts w:hint="eastAsia" w:ascii="宋体" w:hAnsi="宋体" w:cs="宋体"/>
                <w:szCs w:val="21"/>
                <w:highlight w:val="none"/>
              </w:rPr>
              <w:t>航延旅客餐食不高于：</w:t>
            </w:r>
          </w:p>
          <w:p>
            <w:pPr>
              <w:rPr>
                <w:rFonts w:hint="eastAsia" w:ascii="宋体" w:hAnsi="宋体" w:cs="宋体"/>
                <w:szCs w:val="21"/>
                <w:highlight w:val="none"/>
              </w:rPr>
            </w:pPr>
            <w:r>
              <w:rPr>
                <w:rFonts w:hint="eastAsia" w:ascii="宋体" w:hAnsi="宋体" w:cs="宋体"/>
                <w:szCs w:val="21"/>
                <w:highlight w:val="none"/>
              </w:rPr>
              <w:t>早餐</w:t>
            </w:r>
            <w:r>
              <w:rPr>
                <w:rFonts w:hint="eastAsia" w:ascii="宋体" w:hAnsi="宋体"/>
                <w:szCs w:val="21"/>
                <w:highlight w:val="none"/>
              </w:rPr>
              <w:t>【】</w:t>
            </w:r>
            <w:r>
              <w:rPr>
                <w:rFonts w:hint="eastAsia" w:ascii="宋体" w:hAnsi="宋体" w:cs="宋体"/>
                <w:szCs w:val="21"/>
                <w:highlight w:val="none"/>
              </w:rPr>
              <w:t>元</w:t>
            </w:r>
          </w:p>
          <w:p>
            <w:pPr>
              <w:rPr>
                <w:rFonts w:hint="eastAsia" w:ascii="宋体" w:hAnsi="宋体" w:cs="宋体"/>
                <w:szCs w:val="21"/>
                <w:highlight w:val="none"/>
              </w:rPr>
            </w:pPr>
            <w:r>
              <w:rPr>
                <w:rFonts w:hint="eastAsia" w:ascii="宋体" w:hAnsi="宋体" w:cs="宋体"/>
                <w:szCs w:val="21"/>
                <w:highlight w:val="none"/>
              </w:rPr>
              <w:t>午餐、晚餐</w:t>
            </w:r>
            <w:r>
              <w:rPr>
                <w:rFonts w:hint="eastAsia" w:ascii="宋体" w:hAnsi="宋体"/>
                <w:szCs w:val="21"/>
                <w:highlight w:val="none"/>
              </w:rPr>
              <w:t>【】</w:t>
            </w:r>
            <w:r>
              <w:rPr>
                <w:rFonts w:hint="eastAsia" w:ascii="宋体" w:hAnsi="宋体" w:cs="宋体"/>
                <w:szCs w:val="21"/>
                <w:highlight w:val="none"/>
              </w:rPr>
              <w:t>元</w:t>
            </w:r>
          </w:p>
          <w:p>
            <w:pPr>
              <w:rPr>
                <w:rFonts w:hint="eastAsia" w:ascii="宋体" w:hAnsi="宋体" w:cs="宋体"/>
                <w:szCs w:val="21"/>
                <w:highlight w:val="none"/>
              </w:rPr>
            </w:pPr>
            <w:r>
              <w:rPr>
                <w:rFonts w:hint="eastAsia" w:ascii="宋体" w:hAnsi="宋体" w:cs="宋体"/>
                <w:szCs w:val="21"/>
                <w:highlight w:val="none"/>
              </w:rPr>
              <w:t>宵夜</w:t>
            </w:r>
            <w:r>
              <w:rPr>
                <w:rFonts w:hint="eastAsia" w:ascii="宋体" w:hAnsi="宋体"/>
                <w:szCs w:val="21"/>
                <w:highlight w:val="none"/>
              </w:rPr>
              <w:t>【】</w:t>
            </w:r>
            <w:r>
              <w:rPr>
                <w:rFonts w:hint="eastAsia" w:ascii="宋体" w:hAnsi="宋体" w:cs="宋体"/>
                <w:szCs w:val="21"/>
                <w:highlight w:val="none"/>
              </w:rPr>
              <w:t>元</w:t>
            </w:r>
          </w:p>
        </w:tc>
        <w:tc>
          <w:tcPr>
            <w:tcW w:w="1602" w:type="dxa"/>
            <w:vAlign w:val="center"/>
          </w:tcPr>
          <w:p>
            <w:pPr>
              <w:rPr>
                <w:rFonts w:hint="eastAsia" w:ascii="宋体" w:hAnsi="宋体" w:cs="宋体"/>
                <w:szCs w:val="21"/>
                <w:highlight w:val="none"/>
              </w:rPr>
            </w:pPr>
            <w:r>
              <w:rPr>
                <w:rFonts w:hint="eastAsia" w:ascii="宋体" w:hAnsi="宋体" w:cs="宋体"/>
                <w:szCs w:val="21"/>
                <w:highlight w:val="none"/>
              </w:rPr>
              <w:t>航延旅客餐食：</w:t>
            </w:r>
          </w:p>
          <w:p>
            <w:pPr>
              <w:rPr>
                <w:rFonts w:hint="eastAsia" w:ascii="宋体" w:hAnsi="宋体" w:cs="宋体"/>
                <w:szCs w:val="21"/>
                <w:highlight w:val="none"/>
              </w:rPr>
            </w:pPr>
            <w:r>
              <w:rPr>
                <w:rFonts w:hint="eastAsia" w:ascii="宋体" w:hAnsi="宋体" w:cs="宋体"/>
                <w:szCs w:val="21"/>
                <w:highlight w:val="none"/>
              </w:rPr>
              <w:t>早餐</w:t>
            </w:r>
            <w:r>
              <w:rPr>
                <w:rFonts w:hint="eastAsia" w:ascii="宋体" w:hAnsi="宋体"/>
                <w:szCs w:val="21"/>
                <w:highlight w:val="none"/>
              </w:rPr>
              <w:t>【】</w:t>
            </w:r>
            <w:r>
              <w:rPr>
                <w:rFonts w:hint="eastAsia" w:ascii="宋体" w:hAnsi="宋体" w:cs="宋体"/>
                <w:szCs w:val="21"/>
                <w:highlight w:val="none"/>
              </w:rPr>
              <w:t>元</w:t>
            </w:r>
          </w:p>
          <w:p>
            <w:pPr>
              <w:rPr>
                <w:rFonts w:hint="eastAsia" w:ascii="宋体" w:hAnsi="宋体" w:cs="宋体"/>
                <w:szCs w:val="21"/>
                <w:highlight w:val="none"/>
              </w:rPr>
            </w:pPr>
            <w:r>
              <w:rPr>
                <w:rFonts w:hint="eastAsia" w:ascii="宋体" w:hAnsi="宋体" w:cs="宋体"/>
                <w:szCs w:val="21"/>
                <w:highlight w:val="none"/>
              </w:rPr>
              <w:t>午餐、晚餐</w:t>
            </w:r>
            <w:r>
              <w:rPr>
                <w:rFonts w:hint="eastAsia" w:ascii="宋体" w:hAnsi="宋体"/>
                <w:szCs w:val="21"/>
                <w:highlight w:val="none"/>
              </w:rPr>
              <w:t>【】</w:t>
            </w:r>
            <w:r>
              <w:rPr>
                <w:rFonts w:hint="eastAsia" w:ascii="宋体" w:hAnsi="宋体" w:cs="宋体"/>
                <w:szCs w:val="21"/>
                <w:highlight w:val="none"/>
              </w:rPr>
              <w:t>元</w:t>
            </w:r>
          </w:p>
          <w:p>
            <w:pPr>
              <w:rPr>
                <w:highlight w:val="none"/>
              </w:rPr>
            </w:pPr>
            <w:r>
              <w:rPr>
                <w:rFonts w:hint="eastAsia" w:ascii="宋体" w:hAnsi="宋体" w:cs="宋体"/>
                <w:szCs w:val="21"/>
                <w:highlight w:val="none"/>
              </w:rPr>
              <w:t>宵夜</w:t>
            </w:r>
            <w:r>
              <w:rPr>
                <w:rFonts w:hint="eastAsia" w:ascii="宋体" w:hAnsi="宋体"/>
                <w:szCs w:val="21"/>
                <w:highlight w:val="none"/>
              </w:rPr>
              <w:t>【】</w:t>
            </w:r>
            <w:r>
              <w:rPr>
                <w:rFonts w:hint="eastAsia" w:ascii="宋体" w:hAnsi="宋体" w:cs="宋体"/>
                <w:szCs w:val="21"/>
                <w:highlight w:val="none"/>
              </w:rPr>
              <w:t>元</w:t>
            </w:r>
          </w:p>
        </w:tc>
        <w:tc>
          <w:tcPr>
            <w:tcW w:w="804" w:type="dxa"/>
            <w:vMerge w:val="continue"/>
            <w:vAlign w:val="center"/>
          </w:tcPr>
          <w:p>
            <w:pPr>
              <w:rPr>
                <w:rFonts w:hint="eastAsia" w:ascii="宋体" w:hAnsi="宋体" w:cs="宋体"/>
                <w:szCs w:val="21"/>
                <w:highlight w:val="none"/>
              </w:rPr>
            </w:pPr>
          </w:p>
        </w:tc>
        <w:tc>
          <w:tcPr>
            <w:tcW w:w="801" w:type="dxa"/>
            <w:vMerge w:val="continue"/>
            <w:vAlign w:val="center"/>
          </w:tcPr>
          <w:p>
            <w:pPr>
              <w:rPr>
                <w:rFonts w:hint="eastAsia" w:ascii="宋体" w:hAnsi="宋体" w:cs="宋体"/>
                <w:szCs w:val="21"/>
                <w:highlight w:val="none"/>
              </w:rPr>
            </w:pPr>
          </w:p>
        </w:tc>
      </w:tr>
    </w:tbl>
    <w:p>
      <w:pPr>
        <w:rPr>
          <w:highlight w:val="none"/>
          <w:lang w:val="zh-CN"/>
        </w:rPr>
      </w:pPr>
      <w:r>
        <w:rPr>
          <w:rFonts w:hint="eastAsia"/>
          <w:highlight w:val="none"/>
          <w:lang w:val="zh-CN"/>
        </w:rPr>
        <w:t>其它说明事项：</w:t>
      </w:r>
      <w:r>
        <w:rPr>
          <w:rFonts w:hint="eastAsia"/>
          <w:highlight w:val="none"/>
        </w:rPr>
        <w:t xml:space="preserve">  以上协议价格请包含税率后进行填写</w:t>
      </w:r>
    </w:p>
    <w:p>
      <w:pPr>
        <w:rPr>
          <w:highlight w:val="none"/>
        </w:rPr>
      </w:pPr>
      <w:r>
        <w:rPr>
          <w:rFonts w:hint="eastAsia"/>
          <w:highlight w:val="none"/>
        </w:rPr>
        <w:t xml:space="preserve">房间数量（大床/双床）：          </w:t>
      </w:r>
    </w:p>
    <w:p>
      <w:pPr>
        <w:rPr>
          <w:highlight w:val="none"/>
        </w:rPr>
      </w:pPr>
      <w:r>
        <w:rPr>
          <w:rFonts w:hint="eastAsia"/>
          <w:highlight w:val="none"/>
        </w:rPr>
        <w:t xml:space="preserve">住宿类发票（是/否）：      税率：   %     </w:t>
      </w:r>
    </w:p>
    <w:p>
      <w:pPr>
        <w:rPr>
          <w:highlight w:val="none"/>
        </w:rPr>
      </w:pPr>
      <w:r>
        <w:rPr>
          <w:rFonts w:hint="eastAsia"/>
          <w:highlight w:val="none"/>
          <w:lang w:val="zh-CN"/>
        </w:rPr>
        <w:t>餐饮类发票（是</w:t>
      </w:r>
      <w:r>
        <w:rPr>
          <w:rFonts w:hint="eastAsia"/>
          <w:highlight w:val="none"/>
        </w:rPr>
        <w:t>/否</w:t>
      </w:r>
      <w:r>
        <w:rPr>
          <w:rFonts w:hint="eastAsia"/>
          <w:highlight w:val="none"/>
          <w:lang w:val="zh-CN"/>
        </w:rPr>
        <w:t>）：</w:t>
      </w:r>
      <w:r>
        <w:rPr>
          <w:rFonts w:hint="eastAsia"/>
          <w:highlight w:val="none"/>
        </w:rPr>
        <w:t xml:space="preserve">      税率：   %       </w:t>
      </w:r>
    </w:p>
    <w:p>
      <w:pPr>
        <w:rPr>
          <w:highlight w:val="none"/>
        </w:rPr>
      </w:pPr>
      <w:r>
        <w:rPr>
          <w:rFonts w:hint="eastAsia"/>
          <w:highlight w:val="none"/>
        </w:rPr>
        <w:t>交通</w:t>
      </w:r>
      <w:r>
        <w:rPr>
          <w:rFonts w:hint="eastAsia"/>
          <w:highlight w:val="none"/>
          <w:lang w:val="zh-CN"/>
        </w:rPr>
        <w:t>类发票（是</w:t>
      </w:r>
      <w:r>
        <w:rPr>
          <w:rFonts w:hint="eastAsia"/>
          <w:highlight w:val="none"/>
        </w:rPr>
        <w:t>/否</w:t>
      </w:r>
      <w:r>
        <w:rPr>
          <w:rFonts w:hint="eastAsia"/>
          <w:highlight w:val="none"/>
          <w:lang w:val="zh-CN"/>
        </w:rPr>
        <w:t>）：</w:t>
      </w:r>
      <w:r>
        <w:rPr>
          <w:rFonts w:hint="eastAsia"/>
          <w:highlight w:val="none"/>
        </w:rPr>
        <w:t xml:space="preserve">    税率：    %</w:t>
      </w:r>
    </w:p>
    <w:p>
      <w:pPr>
        <w:rPr>
          <w:highlight w:val="none"/>
        </w:rPr>
      </w:pPr>
      <w:r>
        <w:rPr>
          <w:rFonts w:hint="eastAsia"/>
          <w:highlight w:val="none"/>
        </w:rPr>
        <w:t xml:space="preserve">夜间联系人及电话：                </w:t>
      </w:r>
    </w:p>
    <w:permEnd w:id="33"/>
    <w:p>
      <w:pPr>
        <w:spacing w:line="360" w:lineRule="auto"/>
        <w:rPr>
          <w:rFonts w:hint="eastAsia" w:ascii="宋体" w:hAnsi="宋体"/>
          <w:szCs w:val="21"/>
          <w:highlight w:val="none"/>
        </w:rPr>
      </w:pPr>
      <w:r>
        <w:rPr>
          <w:rFonts w:hint="eastAsia" w:ascii="宋体" w:hAnsi="宋体"/>
          <w:szCs w:val="21"/>
          <w:highlight w:val="none"/>
        </w:rPr>
        <w:t>注：</w:t>
      </w:r>
    </w:p>
    <w:p>
      <w:pPr>
        <w:spacing w:line="360" w:lineRule="auto"/>
        <w:ind w:firstLine="420" w:firstLineChars="200"/>
        <w:rPr>
          <w:rFonts w:hint="eastAsia" w:ascii="宋体" w:hAnsi="宋体"/>
          <w:szCs w:val="21"/>
          <w:highlight w:val="none"/>
        </w:rPr>
      </w:pPr>
      <w:r>
        <w:rPr>
          <w:rFonts w:hint="eastAsia" w:ascii="宋体" w:hAnsi="宋体"/>
          <w:szCs w:val="21"/>
          <w:highlight w:val="none"/>
        </w:rPr>
        <w:t>1、此表总报价是所有需采购人支付的金额总数（含税），包括《用户需求》要求的全部内容。</w:t>
      </w:r>
    </w:p>
    <w:p>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2、此表内报价为最终价（含税），响应文件内不得含有任何对本报价进行修改的其他说明或资料，否则为无效报价。</w:t>
      </w:r>
    </w:p>
    <w:p>
      <w:pPr>
        <w:spacing w:line="360" w:lineRule="auto"/>
        <w:ind w:firstLine="2940" w:firstLineChars="1400"/>
        <w:jc w:val="left"/>
        <w:rPr>
          <w:rFonts w:hint="eastAsia" w:ascii="宋体" w:hAnsi="宋体"/>
          <w:szCs w:val="21"/>
          <w:highlight w:val="none"/>
          <w:u w:val="single"/>
        </w:rPr>
      </w:pPr>
      <w:r>
        <w:rPr>
          <w:rFonts w:hint="eastAsia" w:ascii="宋体" w:hAnsi="宋体"/>
          <w:szCs w:val="21"/>
          <w:highlight w:val="none"/>
        </w:rPr>
        <w:t>供应商（单位公章）：</w:t>
      </w:r>
      <w:r>
        <w:rPr>
          <w:rFonts w:hint="eastAsia" w:ascii="宋体" w:hAnsi="宋体"/>
          <w:szCs w:val="21"/>
          <w:highlight w:val="none"/>
          <w:u w:val="single"/>
        </w:rPr>
        <w:t xml:space="preserve">               </w:t>
      </w:r>
    </w:p>
    <w:p>
      <w:pPr>
        <w:spacing w:before="156" w:beforeLines="50" w:after="156" w:afterLines="50" w:line="360" w:lineRule="auto"/>
        <w:ind w:firstLine="3570" w:firstLineChars="1700"/>
        <w:rPr>
          <w:rFonts w:hint="eastAsia" w:ascii="宋体" w:hAnsi="宋体" w:cs="Arial"/>
          <w:szCs w:val="21"/>
          <w:highlight w:val="none"/>
        </w:rPr>
      </w:pPr>
      <w:r>
        <w:rPr>
          <w:rFonts w:hint="eastAsia" w:ascii="宋体" w:hAnsi="宋体" w:cs="Arial"/>
          <w:szCs w:val="21"/>
          <w:highlight w:val="none"/>
          <w:u w:val="single"/>
        </w:rPr>
        <w:t xml:space="preserve">    </w:t>
      </w:r>
      <w:r>
        <w:rPr>
          <w:rFonts w:hint="eastAsia" w:ascii="宋体" w:hAnsi="宋体" w:cs="Arial"/>
          <w:szCs w:val="21"/>
          <w:highlight w:val="none"/>
        </w:rPr>
        <w:t>年</w:t>
      </w:r>
      <w:r>
        <w:rPr>
          <w:rFonts w:hint="eastAsia" w:ascii="宋体" w:hAnsi="宋体" w:cs="Arial"/>
          <w:szCs w:val="21"/>
          <w:highlight w:val="none"/>
          <w:u w:val="single"/>
        </w:rPr>
        <w:t xml:space="preserve">    </w:t>
      </w:r>
      <w:r>
        <w:rPr>
          <w:rFonts w:hint="eastAsia" w:ascii="宋体" w:hAnsi="宋体" w:cs="Arial"/>
          <w:szCs w:val="21"/>
          <w:highlight w:val="none"/>
        </w:rPr>
        <w:t>月</w:t>
      </w:r>
      <w:r>
        <w:rPr>
          <w:rFonts w:hint="eastAsia" w:ascii="宋体" w:hAnsi="宋体" w:cs="Arial"/>
          <w:szCs w:val="21"/>
          <w:highlight w:val="none"/>
          <w:u w:val="single"/>
        </w:rPr>
        <w:t xml:space="preserve">   </w:t>
      </w:r>
      <w:r>
        <w:rPr>
          <w:rFonts w:hint="eastAsia" w:ascii="宋体" w:hAnsi="宋体" w:cs="Arial"/>
          <w:szCs w:val="21"/>
          <w:highlight w:val="none"/>
        </w:rPr>
        <w:t>日</w:t>
      </w:r>
    </w:p>
    <w:p>
      <w:pPr>
        <w:pStyle w:val="4"/>
        <w:pageBreakBefore/>
        <w:spacing w:before="156" w:beforeLines="50" w:after="156" w:afterLines="50" w:line="360" w:lineRule="auto"/>
        <w:ind w:left="0"/>
        <w:jc w:val="center"/>
        <w:rPr>
          <w:b/>
          <w:highlight w:val="none"/>
        </w:rPr>
      </w:pPr>
      <w:bookmarkStart w:id="331" w:name="_Toc24953"/>
      <w:bookmarkStart w:id="332" w:name="_Toc27654"/>
      <w:bookmarkStart w:id="333" w:name="_Toc29171"/>
      <w:bookmarkStart w:id="334" w:name="_Toc12682"/>
      <w:bookmarkStart w:id="335" w:name="_Toc26715"/>
      <w:bookmarkStart w:id="336" w:name="_Toc8148"/>
      <w:bookmarkStart w:id="337" w:name="_Toc10786"/>
      <w:bookmarkStart w:id="338" w:name="_Toc18923"/>
      <w:bookmarkStart w:id="339" w:name="_Toc31392"/>
      <w:r>
        <w:rPr>
          <w:rFonts w:hint="eastAsia"/>
          <w:b/>
          <w:highlight w:val="none"/>
        </w:rPr>
        <w:t>格式三、分项报价表</w:t>
      </w:r>
      <w:bookmarkEnd w:id="331"/>
    </w:p>
    <w:p>
      <w:pPr>
        <w:pStyle w:val="5"/>
        <w:jc w:val="center"/>
        <w:rPr>
          <w:highlight w:val="none"/>
        </w:rPr>
      </w:pPr>
      <w:r>
        <w:rPr>
          <w:rFonts w:hint="eastAsia"/>
          <w:highlight w:val="none"/>
        </w:rPr>
        <w:t>【本项目不适用】</w:t>
      </w:r>
    </w:p>
    <w:p>
      <w:pPr>
        <w:pStyle w:val="4"/>
        <w:pageBreakBefore/>
        <w:spacing w:before="156" w:beforeLines="50" w:after="156" w:afterLines="50" w:line="360" w:lineRule="auto"/>
        <w:ind w:left="0"/>
        <w:jc w:val="center"/>
        <w:rPr>
          <w:b/>
          <w:highlight w:val="none"/>
        </w:rPr>
      </w:pPr>
      <w:bookmarkStart w:id="340" w:name="_Toc13289"/>
      <w:r>
        <w:rPr>
          <w:rFonts w:hint="eastAsia"/>
          <w:b/>
          <w:highlight w:val="none"/>
        </w:rPr>
        <w:t>格式四、报价函</w:t>
      </w:r>
      <w:bookmarkEnd w:id="315"/>
      <w:bookmarkEnd w:id="316"/>
      <w:bookmarkEnd w:id="317"/>
      <w:bookmarkEnd w:id="332"/>
      <w:bookmarkEnd w:id="333"/>
      <w:bookmarkEnd w:id="334"/>
      <w:bookmarkEnd w:id="335"/>
      <w:bookmarkEnd w:id="336"/>
      <w:bookmarkEnd w:id="337"/>
      <w:bookmarkEnd w:id="338"/>
      <w:bookmarkEnd w:id="339"/>
      <w:bookmarkEnd w:id="340"/>
    </w:p>
    <w:p>
      <w:pPr>
        <w:spacing w:line="360" w:lineRule="auto"/>
        <w:jc w:val="left"/>
        <w:rPr>
          <w:rFonts w:hint="eastAsia" w:ascii="宋体" w:hAnsi="宋体"/>
          <w:b/>
          <w:szCs w:val="21"/>
          <w:highlight w:val="none"/>
        </w:rPr>
      </w:pPr>
      <w:r>
        <w:rPr>
          <w:rFonts w:hint="eastAsia" w:ascii="宋体" w:hAnsi="宋体"/>
          <w:szCs w:val="21"/>
          <w:highlight w:val="none"/>
        </w:rPr>
        <w:t>致：【采购人全称】</w:t>
      </w:r>
    </w:p>
    <w:p>
      <w:pPr>
        <w:pStyle w:val="13"/>
        <w:spacing w:line="360" w:lineRule="auto"/>
        <w:ind w:firstLine="420" w:firstLineChars="200"/>
        <w:rPr>
          <w:rFonts w:hint="eastAsia" w:hAnsi="宋体"/>
          <w:highlight w:val="none"/>
        </w:rPr>
      </w:pPr>
      <w:r>
        <w:rPr>
          <w:rFonts w:hint="eastAsia" w:hAnsi="宋体"/>
          <w:highlight w:val="none"/>
        </w:rPr>
        <w:t>为报价你方组织的</w:t>
      </w:r>
      <w:r>
        <w:rPr>
          <w:rFonts w:hint="eastAsia" w:hAnsi="宋体"/>
          <w:highlight w:val="none"/>
          <w:u w:val="single"/>
        </w:rPr>
        <w:t xml:space="preserve">            </w:t>
      </w:r>
      <w:r>
        <w:rPr>
          <w:rFonts w:hint="eastAsia" w:hAnsi="宋体"/>
          <w:kern w:val="28"/>
          <w:highlight w:val="none"/>
        </w:rPr>
        <w:t>项目</w:t>
      </w:r>
      <w:r>
        <w:rPr>
          <w:rFonts w:hint="eastAsia" w:hAnsi="宋体"/>
          <w:highlight w:val="none"/>
        </w:rPr>
        <w:t>的谈判[项目编号为：</w:t>
      </w:r>
      <w:r>
        <w:rPr>
          <w:rFonts w:hint="eastAsia" w:hAnsi="宋体"/>
          <w:highlight w:val="none"/>
          <w:u w:val="single"/>
        </w:rPr>
        <w:t xml:space="preserve">          </w:t>
      </w:r>
      <w:r>
        <w:rPr>
          <w:rFonts w:hint="eastAsia" w:hAnsi="宋体"/>
          <w:highlight w:val="none"/>
        </w:rPr>
        <w:t>]，我方愿参与报价和谈判。</w:t>
      </w:r>
    </w:p>
    <w:p>
      <w:pPr>
        <w:pStyle w:val="13"/>
        <w:spacing w:line="360" w:lineRule="auto"/>
        <w:ind w:firstLine="420" w:firstLineChars="200"/>
        <w:rPr>
          <w:rFonts w:hint="eastAsia" w:hAnsi="宋体"/>
          <w:highlight w:val="none"/>
        </w:rPr>
      </w:pPr>
      <w:r>
        <w:rPr>
          <w:rFonts w:hint="eastAsia" w:hAnsi="宋体"/>
          <w:highlight w:val="none"/>
        </w:rPr>
        <w:t>我方确认收到贵方提供的</w:t>
      </w:r>
      <w:r>
        <w:rPr>
          <w:rFonts w:hAnsi="宋体"/>
          <w:kern w:val="28"/>
          <w:highlight w:val="none"/>
          <w:u w:val="single"/>
        </w:rPr>
        <w:t xml:space="preserve">  </w:t>
      </w:r>
      <w:r>
        <w:rPr>
          <w:rFonts w:hint="eastAsia" w:hAnsi="宋体"/>
          <w:kern w:val="28"/>
          <w:highlight w:val="none"/>
          <w:u w:val="single"/>
        </w:rPr>
        <w:t xml:space="preserve">   </w:t>
      </w:r>
      <w:r>
        <w:rPr>
          <w:rFonts w:hint="eastAsia" w:hAnsi="宋体"/>
          <w:i/>
          <w:szCs w:val="21"/>
          <w:highlight w:val="none"/>
          <w:u w:val="single"/>
        </w:rPr>
        <w:t xml:space="preserve">项目名称 </w:t>
      </w:r>
      <w:r>
        <w:rPr>
          <w:rFonts w:hint="eastAsia" w:hAnsi="宋体"/>
          <w:kern w:val="28"/>
          <w:highlight w:val="none"/>
          <w:u w:val="single"/>
        </w:rPr>
        <w:t xml:space="preserve">       </w:t>
      </w:r>
      <w:r>
        <w:rPr>
          <w:rFonts w:hint="eastAsia" w:hAnsi="宋体"/>
          <w:highlight w:val="none"/>
        </w:rPr>
        <w:t>谈判文件的全部内容。</w:t>
      </w:r>
    </w:p>
    <w:p>
      <w:pPr>
        <w:pStyle w:val="13"/>
        <w:spacing w:line="360" w:lineRule="auto"/>
        <w:ind w:firstLine="420" w:firstLineChars="200"/>
        <w:rPr>
          <w:rFonts w:hint="eastAsia" w:hAnsi="宋体"/>
          <w:highlight w:val="none"/>
        </w:rPr>
      </w:pPr>
      <w:r>
        <w:rPr>
          <w:rFonts w:hint="eastAsia" w:hAnsi="宋体"/>
          <w:highlight w:val="none"/>
        </w:rPr>
        <w:t>我方在参与报价和谈判前已详细研究了谈判文件的所有内容，包括澄清、修改文件（如果有）和所有已提供的参考资料以及有关附件，我方完全明白并认为此谈判文件没有倾向性，也不存在排斥潜在供应商的内容，我方同意谈判文件的相关条款，放弃对谈判文件提出误解和异议的一切权利。</w:t>
      </w:r>
    </w:p>
    <w:p>
      <w:pPr>
        <w:spacing w:line="360" w:lineRule="auto"/>
        <w:ind w:firstLine="420" w:firstLineChars="200"/>
        <w:rPr>
          <w:rFonts w:hint="eastAsia" w:ascii="宋体" w:hAnsi="宋体"/>
          <w:szCs w:val="21"/>
          <w:highlight w:val="none"/>
        </w:rPr>
      </w:pPr>
      <w:r>
        <w:rPr>
          <w:rFonts w:hint="eastAsia" w:ascii="宋体" w:hAnsi="宋体"/>
          <w:szCs w:val="21"/>
          <w:highlight w:val="none"/>
          <w:u w:val="single"/>
        </w:rPr>
        <w:t xml:space="preserve">      </w:t>
      </w:r>
      <w:r>
        <w:rPr>
          <w:rFonts w:hint="eastAsia" w:ascii="宋体" w:hAnsi="宋体"/>
          <w:i/>
          <w:szCs w:val="21"/>
          <w:highlight w:val="none"/>
          <w:u w:val="single"/>
        </w:rPr>
        <w:t>(供应商名称)</w:t>
      </w:r>
      <w:r>
        <w:rPr>
          <w:rFonts w:hint="eastAsia" w:ascii="宋体" w:hAnsi="宋体"/>
          <w:szCs w:val="21"/>
          <w:highlight w:val="none"/>
          <w:u w:val="single"/>
        </w:rPr>
        <w:t xml:space="preserve">      </w:t>
      </w:r>
      <w:r>
        <w:rPr>
          <w:rFonts w:hint="eastAsia" w:ascii="宋体" w:hAnsi="宋体"/>
          <w:szCs w:val="21"/>
          <w:highlight w:val="none"/>
        </w:rPr>
        <w:t>作为供应商正式授权</w:t>
      </w:r>
      <w:r>
        <w:rPr>
          <w:rFonts w:hint="eastAsia" w:ascii="宋体" w:hAnsi="宋体"/>
          <w:szCs w:val="21"/>
          <w:highlight w:val="none"/>
          <w:u w:val="single"/>
        </w:rPr>
        <w:t xml:space="preserve">  </w:t>
      </w:r>
      <w:r>
        <w:rPr>
          <w:rFonts w:hint="eastAsia" w:ascii="宋体" w:hAnsi="宋体"/>
          <w:i/>
          <w:szCs w:val="21"/>
          <w:highlight w:val="none"/>
          <w:u w:val="single"/>
        </w:rPr>
        <w:t xml:space="preserve">(授权代表全名, 职务)  </w:t>
      </w:r>
      <w:r>
        <w:rPr>
          <w:rFonts w:hint="eastAsia" w:ascii="宋体" w:hAnsi="宋体"/>
          <w:szCs w:val="21"/>
          <w:highlight w:val="none"/>
        </w:rPr>
        <w:t>代表我方全权处理有关本次</w:t>
      </w:r>
      <w:r>
        <w:rPr>
          <w:rFonts w:hint="eastAsia" w:hAnsi="宋体"/>
          <w:highlight w:val="none"/>
        </w:rPr>
        <w:t>报价和谈判</w:t>
      </w:r>
      <w:r>
        <w:rPr>
          <w:rFonts w:hint="eastAsia" w:ascii="宋体" w:hAnsi="宋体"/>
          <w:szCs w:val="21"/>
          <w:highlight w:val="none"/>
        </w:rPr>
        <w:t>的一切事宜。</w:t>
      </w:r>
    </w:p>
    <w:p>
      <w:pPr>
        <w:spacing w:line="360" w:lineRule="auto"/>
        <w:ind w:firstLine="420" w:firstLineChars="200"/>
        <w:rPr>
          <w:highlight w:val="none"/>
        </w:rPr>
      </w:pPr>
      <w:r>
        <w:rPr>
          <w:rFonts w:hint="eastAsia" w:ascii="宋体" w:hAnsi="宋体" w:cs="宋体"/>
          <w:szCs w:val="21"/>
          <w:highlight w:val="none"/>
        </w:rPr>
        <w:t>我方具有良好的商业信誉和健全的财务会计制度，没有处于被责令停业，财产被接管、查封、扣押、冻结、破产状态；有良好的经营业绩和相应的责任承担能力。</w:t>
      </w:r>
    </w:p>
    <w:p>
      <w:pPr>
        <w:spacing w:line="360" w:lineRule="auto"/>
        <w:ind w:firstLine="420" w:firstLineChars="200"/>
        <w:rPr>
          <w:rFonts w:hint="eastAsia" w:hAnsi="宋体"/>
          <w:highlight w:val="none"/>
        </w:rPr>
      </w:pPr>
      <w:r>
        <w:rPr>
          <w:rFonts w:hint="eastAsia" w:ascii="宋体" w:hAnsi="宋体"/>
          <w:szCs w:val="21"/>
          <w:highlight w:val="none"/>
        </w:rPr>
        <w:t>在此提交的响应文件，</w:t>
      </w:r>
      <w:r>
        <w:rPr>
          <w:rFonts w:hint="eastAsia" w:hAnsi="宋体"/>
          <w:highlight w:val="none"/>
        </w:rPr>
        <w:t>我方已完全明白谈判文件的所有条款要求，并申明如下：</w:t>
      </w:r>
    </w:p>
    <w:p>
      <w:pPr>
        <w:pStyle w:val="13"/>
        <w:spacing w:line="360" w:lineRule="auto"/>
        <w:ind w:firstLine="420" w:firstLineChars="200"/>
        <w:rPr>
          <w:rFonts w:hint="eastAsia" w:hAnsi="宋体"/>
          <w:highlight w:val="none"/>
        </w:rPr>
      </w:pPr>
      <w:r>
        <w:rPr>
          <w:rFonts w:hint="eastAsia" w:hAnsi="宋体"/>
          <w:highlight w:val="none"/>
        </w:rPr>
        <w:t>（一）按谈判文件提供的全部货物与相关服务的报价详见《报价一览表》。</w:t>
      </w:r>
    </w:p>
    <w:p>
      <w:pPr>
        <w:pStyle w:val="13"/>
        <w:spacing w:line="360" w:lineRule="auto"/>
        <w:ind w:firstLine="420" w:firstLineChars="200"/>
        <w:rPr>
          <w:rFonts w:hint="eastAsia" w:hAnsi="宋体"/>
          <w:highlight w:val="none"/>
        </w:rPr>
      </w:pPr>
      <w:r>
        <w:rPr>
          <w:rFonts w:hint="eastAsia" w:hAnsi="宋体"/>
          <w:highlight w:val="none"/>
        </w:rPr>
        <w:t>（二）本响应文件的有效期为报价截止时间起90天。如成交，有效期将延至合同终止日为止。在此提交的资格证明文件均至报价截止日有效，如有在报价有效期内失效的，我方承诺在成交后补齐一切手续，保证所有资格证明文件能在签订合同时直至合同终止日有效。</w:t>
      </w:r>
    </w:p>
    <w:p>
      <w:pPr>
        <w:pStyle w:val="13"/>
        <w:spacing w:line="360" w:lineRule="auto"/>
        <w:ind w:firstLine="420" w:firstLineChars="200"/>
        <w:rPr>
          <w:rFonts w:hint="eastAsia" w:hAnsi="宋体"/>
          <w:highlight w:val="none"/>
        </w:rPr>
      </w:pPr>
      <w:r>
        <w:rPr>
          <w:rFonts w:hint="eastAsia" w:hAnsi="宋体"/>
          <w:highlight w:val="none"/>
        </w:rPr>
        <w:t>（三）我方明白并同意，在规定的报价截止日期之后，报价有效期之内撤回响应文件或成交后不按规定与采购人签订合同或不提交履约保证金, 则贵方将不予退还谈判保证金</w:t>
      </w:r>
      <w:r>
        <w:rPr>
          <w:rFonts w:hint="eastAsia" w:hAnsi="宋体" w:cs="宋体"/>
          <w:highlight w:val="none"/>
        </w:rPr>
        <w:t>，我方</w:t>
      </w:r>
      <w:r>
        <w:rPr>
          <w:rFonts w:hint="eastAsia" w:hAnsi="宋体" w:cs="宋体"/>
          <w:szCs w:val="21"/>
          <w:highlight w:val="none"/>
        </w:rPr>
        <w:t>以保函形式递交保证金的，贵方有权要求保函出具机构（担保人）向贵方全额支付保函金额</w:t>
      </w:r>
      <w:r>
        <w:rPr>
          <w:rFonts w:hint="eastAsia" w:hAnsi="宋体"/>
          <w:highlight w:val="none"/>
        </w:rPr>
        <w:t>。</w:t>
      </w:r>
    </w:p>
    <w:p>
      <w:pPr>
        <w:pStyle w:val="13"/>
        <w:spacing w:line="360" w:lineRule="auto"/>
        <w:ind w:firstLine="420" w:firstLineChars="200"/>
        <w:rPr>
          <w:rFonts w:hint="eastAsia" w:hAnsi="宋体"/>
          <w:highlight w:val="none"/>
        </w:rPr>
      </w:pPr>
      <w:r>
        <w:rPr>
          <w:rFonts w:hint="eastAsia" w:hAnsi="宋体"/>
          <w:highlight w:val="none"/>
        </w:rPr>
        <w:t>（四）我方同意按照贵方可能提出的要求而提供与报价和谈判有关的任何其他数据、信息或资料。</w:t>
      </w:r>
    </w:p>
    <w:p>
      <w:pPr>
        <w:pStyle w:val="13"/>
        <w:spacing w:line="360" w:lineRule="auto"/>
        <w:ind w:firstLine="420" w:firstLineChars="200"/>
        <w:rPr>
          <w:rFonts w:hint="eastAsia" w:hAnsi="宋体"/>
          <w:highlight w:val="none"/>
        </w:rPr>
      </w:pPr>
      <w:r>
        <w:rPr>
          <w:rFonts w:hint="eastAsia" w:hAnsi="宋体"/>
          <w:highlight w:val="none"/>
        </w:rPr>
        <w:t>（五）我方理解贵方不一定接受最低报价或任何贵方可能收到的响应文件。</w:t>
      </w:r>
    </w:p>
    <w:p>
      <w:pPr>
        <w:pStyle w:val="13"/>
        <w:spacing w:line="360" w:lineRule="auto"/>
        <w:ind w:firstLine="420" w:firstLineChars="200"/>
        <w:rPr>
          <w:rFonts w:hint="eastAsia" w:hAnsi="宋体"/>
          <w:highlight w:val="none"/>
        </w:rPr>
      </w:pPr>
      <w:r>
        <w:rPr>
          <w:rFonts w:hint="eastAsia" w:hAnsi="宋体"/>
          <w:highlight w:val="none"/>
        </w:rPr>
        <w:t>（六）我方如果为成交供应商，将保证履行谈判文件及其澄清、修改文件（如果有）中的全部责任和义务，按质、按量、按期完成《用户需求》及《合同条款及格式》中的全部任务。</w:t>
      </w:r>
    </w:p>
    <w:p>
      <w:pPr>
        <w:pStyle w:val="13"/>
        <w:spacing w:line="360" w:lineRule="auto"/>
        <w:ind w:firstLine="420" w:firstLineChars="200"/>
        <w:rPr>
          <w:rFonts w:hint="eastAsia" w:hAnsi="宋体"/>
          <w:highlight w:val="none"/>
        </w:rPr>
      </w:pPr>
      <w:r>
        <w:rPr>
          <w:rFonts w:hint="eastAsia" w:hAnsi="宋体"/>
          <w:highlight w:val="none"/>
        </w:rPr>
        <w:t>（七）如我方为成交供应商，我方承诺支付就本次谈判应支付或将支付的成交服务费。</w:t>
      </w:r>
    </w:p>
    <w:p>
      <w:pPr>
        <w:pStyle w:val="13"/>
        <w:tabs>
          <w:tab w:val="left" w:pos="9360"/>
        </w:tabs>
        <w:spacing w:line="360" w:lineRule="auto"/>
        <w:ind w:firstLine="420" w:firstLineChars="200"/>
        <w:rPr>
          <w:rFonts w:hint="eastAsia" w:hAnsi="宋体"/>
          <w:highlight w:val="none"/>
        </w:rPr>
      </w:pPr>
      <w:r>
        <w:rPr>
          <w:rFonts w:hint="eastAsia" w:hAnsi="宋体"/>
          <w:highlight w:val="none"/>
        </w:rPr>
        <w:t>（八）我方作为</w:t>
      </w:r>
      <w:r>
        <w:rPr>
          <w:rFonts w:hint="eastAsia" w:hAnsi="宋体"/>
          <w:highlight w:val="none"/>
          <w:u w:val="single"/>
        </w:rPr>
        <w:t xml:space="preserve">   </w:t>
      </w:r>
      <w:r>
        <w:rPr>
          <w:rFonts w:hint="eastAsia" w:hAnsi="宋体"/>
          <w:i/>
          <w:highlight w:val="none"/>
          <w:u w:val="single"/>
        </w:rPr>
        <w:t xml:space="preserve">服务商 </w:t>
      </w:r>
      <w:r>
        <w:rPr>
          <w:rFonts w:hint="eastAsia" w:hAnsi="宋体"/>
          <w:highlight w:val="none"/>
          <w:u w:val="single"/>
        </w:rPr>
        <w:t xml:space="preserve">  </w:t>
      </w:r>
      <w:r>
        <w:rPr>
          <w:rFonts w:hint="eastAsia" w:hAnsi="宋体"/>
          <w:highlight w:val="none"/>
        </w:rPr>
        <w:t>是在法律、财务和运作上独立于采购人的供应商，在此保证所提交的所有文件和全部说明是真实的和正确的。</w:t>
      </w:r>
    </w:p>
    <w:p>
      <w:pPr>
        <w:spacing w:line="360" w:lineRule="auto"/>
        <w:ind w:firstLine="420" w:firstLineChars="200"/>
        <w:rPr>
          <w:rFonts w:hint="eastAsia" w:ascii="宋体" w:hAnsi="宋体"/>
          <w:szCs w:val="21"/>
          <w:highlight w:val="none"/>
        </w:rPr>
      </w:pPr>
      <w:r>
        <w:rPr>
          <w:rFonts w:hint="eastAsia" w:ascii="宋体" w:hAnsi="宋体"/>
          <w:szCs w:val="21"/>
          <w:highlight w:val="none"/>
        </w:rPr>
        <w:t xml:space="preserve">（九）我方报价已包含应向知识产权所有权人支付的所有相关税费，并保证采购人在中国使用我方提供的货物时，如有第三方提出侵犯其知识产权主张的，责任由我方承担。 </w:t>
      </w:r>
    </w:p>
    <w:p>
      <w:pPr>
        <w:spacing w:line="360" w:lineRule="auto"/>
        <w:ind w:firstLine="420" w:firstLineChars="200"/>
        <w:rPr>
          <w:rFonts w:hint="eastAsia" w:hAnsi="宋体"/>
          <w:highlight w:val="none"/>
        </w:rPr>
      </w:pPr>
      <w:r>
        <w:rPr>
          <w:rFonts w:hint="eastAsia" w:ascii="宋体" w:hAnsi="宋体"/>
          <w:szCs w:val="21"/>
          <w:highlight w:val="none"/>
        </w:rPr>
        <w:t>（十）我方对在本函及响应文件中所作的所有承诺承担法律责任。</w:t>
      </w:r>
    </w:p>
    <w:p>
      <w:pPr>
        <w:pStyle w:val="13"/>
        <w:spacing w:line="360" w:lineRule="auto"/>
        <w:ind w:firstLine="420" w:firstLineChars="200"/>
        <w:rPr>
          <w:rFonts w:hint="eastAsia" w:hAnsi="宋体"/>
          <w:highlight w:val="none"/>
        </w:rPr>
      </w:pPr>
      <w:r>
        <w:rPr>
          <w:rFonts w:hint="eastAsia" w:hAnsi="宋体"/>
          <w:highlight w:val="none"/>
        </w:rPr>
        <w:t>（十一）所有与本报价和谈判活动有关的函件请发往下列地址：</w:t>
      </w:r>
    </w:p>
    <w:p>
      <w:pPr>
        <w:spacing w:line="360" w:lineRule="auto"/>
        <w:ind w:firstLine="420" w:firstLineChars="200"/>
        <w:rPr>
          <w:rFonts w:hint="eastAsia" w:ascii="宋体" w:hAnsi="宋体"/>
          <w:szCs w:val="21"/>
          <w:highlight w:val="none"/>
          <w:u w:val="single"/>
        </w:rPr>
      </w:pPr>
      <w:r>
        <w:rPr>
          <w:rFonts w:hint="eastAsia" w:ascii="宋体" w:hAnsi="宋体"/>
          <w:szCs w:val="21"/>
          <w:highlight w:val="none"/>
        </w:rPr>
        <w:t>地    址：</w:t>
      </w:r>
      <w:r>
        <w:rPr>
          <w:rFonts w:hint="eastAsia" w:ascii="宋体" w:hAnsi="宋体"/>
          <w:szCs w:val="21"/>
          <w:highlight w:val="none"/>
          <w:u w:val="single"/>
        </w:rPr>
        <w:t xml:space="preserve">                             </w:t>
      </w:r>
      <w:r>
        <w:rPr>
          <w:rFonts w:hint="eastAsia" w:ascii="宋体" w:hAnsi="宋体"/>
          <w:szCs w:val="21"/>
          <w:highlight w:val="none"/>
        </w:rPr>
        <w:t>.邮政编码：</w:t>
      </w:r>
      <w:r>
        <w:rPr>
          <w:rFonts w:hint="eastAsia" w:ascii="宋体" w:hAnsi="宋体"/>
          <w:szCs w:val="21"/>
          <w:highlight w:val="none"/>
          <w:u w:val="single"/>
        </w:rPr>
        <w:t xml:space="preserve">                  </w:t>
      </w:r>
      <w:r>
        <w:rPr>
          <w:rFonts w:hint="eastAsia" w:ascii="宋体" w:hAnsi="宋体"/>
          <w:szCs w:val="21"/>
          <w:highlight w:val="none"/>
        </w:rPr>
        <w:t>.</w:t>
      </w:r>
    </w:p>
    <w:p>
      <w:pPr>
        <w:spacing w:line="360" w:lineRule="auto"/>
        <w:ind w:firstLine="420" w:firstLineChars="200"/>
        <w:rPr>
          <w:rFonts w:hint="eastAsia" w:ascii="宋体" w:hAnsi="宋体"/>
          <w:szCs w:val="21"/>
          <w:highlight w:val="none"/>
        </w:rPr>
      </w:pPr>
      <w:r>
        <w:rPr>
          <w:rFonts w:hint="eastAsia" w:ascii="宋体" w:hAnsi="宋体"/>
          <w:szCs w:val="21"/>
          <w:highlight w:val="none"/>
        </w:rPr>
        <w:t>电    话：</w:t>
      </w:r>
      <w:r>
        <w:rPr>
          <w:rFonts w:hint="eastAsia" w:ascii="宋体" w:hAnsi="宋体"/>
          <w:szCs w:val="21"/>
          <w:highlight w:val="none"/>
          <w:u w:val="single"/>
        </w:rPr>
        <w:t xml:space="preserve">                             </w:t>
      </w:r>
      <w:r>
        <w:rPr>
          <w:rFonts w:hint="eastAsia" w:ascii="宋体" w:hAnsi="宋体"/>
          <w:szCs w:val="21"/>
          <w:highlight w:val="none"/>
        </w:rPr>
        <w:t>.传    真：</w:t>
      </w:r>
      <w:r>
        <w:rPr>
          <w:rFonts w:hint="eastAsia" w:ascii="宋体" w:hAnsi="宋体"/>
          <w:szCs w:val="21"/>
          <w:highlight w:val="none"/>
          <w:u w:val="single"/>
        </w:rPr>
        <w:t xml:space="preserve">                  </w:t>
      </w:r>
      <w:r>
        <w:rPr>
          <w:rFonts w:hint="eastAsia" w:ascii="宋体" w:hAnsi="宋体"/>
          <w:szCs w:val="21"/>
          <w:highlight w:val="none"/>
        </w:rPr>
        <w:t>.</w:t>
      </w:r>
    </w:p>
    <w:p>
      <w:pPr>
        <w:spacing w:line="360" w:lineRule="auto"/>
        <w:ind w:firstLine="420" w:firstLineChars="200"/>
        <w:rPr>
          <w:rFonts w:hint="eastAsia" w:ascii="宋体" w:hAnsi="宋体"/>
          <w:szCs w:val="21"/>
          <w:highlight w:val="none"/>
          <w:u w:val="single"/>
        </w:rPr>
      </w:pPr>
      <w:r>
        <w:rPr>
          <w:rFonts w:hint="eastAsia" w:ascii="宋体" w:hAnsi="宋体"/>
          <w:szCs w:val="21"/>
          <w:highlight w:val="none"/>
        </w:rPr>
        <w:t>代表姓名：</w:t>
      </w:r>
      <w:r>
        <w:rPr>
          <w:rFonts w:hint="eastAsia" w:ascii="宋体" w:hAnsi="宋体"/>
          <w:szCs w:val="21"/>
          <w:highlight w:val="none"/>
          <w:u w:val="single"/>
        </w:rPr>
        <w:t xml:space="preserve">                             </w:t>
      </w:r>
      <w:r>
        <w:rPr>
          <w:rFonts w:hint="eastAsia" w:ascii="宋体" w:hAnsi="宋体"/>
          <w:szCs w:val="21"/>
          <w:highlight w:val="none"/>
        </w:rPr>
        <w:t>.职    务：</w:t>
      </w:r>
      <w:r>
        <w:rPr>
          <w:rFonts w:hint="eastAsia" w:ascii="宋体" w:hAnsi="宋体"/>
          <w:szCs w:val="21"/>
          <w:highlight w:val="none"/>
          <w:u w:val="single"/>
        </w:rPr>
        <w:t xml:space="preserve">                  </w:t>
      </w:r>
      <w:r>
        <w:rPr>
          <w:rFonts w:hint="eastAsia" w:ascii="宋体" w:hAnsi="宋体"/>
          <w:szCs w:val="21"/>
          <w:highlight w:val="none"/>
        </w:rPr>
        <w:t>.</w:t>
      </w:r>
    </w:p>
    <w:p>
      <w:pPr>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 xml:space="preserve">供应商名称（盖章）：                                </w:t>
      </w:r>
    </w:p>
    <w:p>
      <w:pPr>
        <w:adjustRightInd w:val="0"/>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日期：   年   月   日</w:t>
      </w: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ind w:firstLine="420" w:firstLineChars="200"/>
        <w:rPr>
          <w:rFonts w:hint="eastAsia" w:ascii="宋体" w:hAnsi="宋体"/>
          <w:szCs w:val="21"/>
          <w:highlight w:val="none"/>
        </w:rPr>
      </w:pPr>
    </w:p>
    <w:p>
      <w:pPr>
        <w:adjustRightInd w:val="0"/>
        <w:snapToGrid w:val="0"/>
        <w:spacing w:line="360" w:lineRule="auto"/>
        <w:rPr>
          <w:rFonts w:hint="eastAsia" w:ascii="宋体" w:hAnsi="宋体"/>
          <w:szCs w:val="21"/>
          <w:highlight w:val="none"/>
        </w:rPr>
      </w:pPr>
    </w:p>
    <w:p>
      <w:pPr>
        <w:spacing w:line="360" w:lineRule="auto"/>
        <w:ind w:firstLine="422" w:firstLineChars="200"/>
        <w:jc w:val="center"/>
        <w:outlineLvl w:val="1"/>
        <w:rPr>
          <w:b/>
          <w:bCs/>
          <w:sz w:val="28"/>
          <w:szCs w:val="36"/>
          <w:highlight w:val="none"/>
        </w:rPr>
      </w:pPr>
      <w:bookmarkStart w:id="341" w:name="_Toc13022"/>
      <w:bookmarkStart w:id="342" w:name="_Toc504657636"/>
      <w:bookmarkStart w:id="343" w:name="_Toc18684"/>
      <w:bookmarkStart w:id="344" w:name="_Toc26461"/>
      <w:bookmarkStart w:id="345" w:name="_Toc30806"/>
      <w:bookmarkStart w:id="346" w:name="_Toc16076"/>
      <w:bookmarkStart w:id="347" w:name="_Toc21643"/>
      <w:bookmarkStart w:id="348" w:name="_Toc16416"/>
      <w:bookmarkStart w:id="349" w:name="_Toc18602"/>
      <w:bookmarkStart w:id="350" w:name="_Toc18791"/>
      <w:r>
        <w:rPr>
          <w:rFonts w:hint="eastAsia"/>
          <w:b/>
          <w:highlight w:val="none"/>
        </w:rPr>
        <w:br w:type="page"/>
      </w:r>
      <w:bookmarkStart w:id="351" w:name="_Toc28302"/>
      <w:r>
        <w:rPr>
          <w:rFonts w:hint="eastAsia"/>
          <w:b/>
          <w:sz w:val="28"/>
          <w:szCs w:val="20"/>
          <w:highlight w:val="none"/>
        </w:rPr>
        <w:t>格式五-1、授权委托书</w:t>
      </w:r>
      <w:bookmarkEnd w:id="351"/>
    </w:p>
    <w:p>
      <w:pPr>
        <w:pStyle w:val="9"/>
        <w:rPr>
          <w:highlight w:val="none"/>
        </w:rPr>
      </w:pPr>
    </w:p>
    <w:p>
      <w:pPr>
        <w:spacing w:line="360" w:lineRule="auto"/>
        <w:ind w:firstLine="420" w:firstLineChars="200"/>
        <w:jc w:val="center"/>
        <w:rPr>
          <w:color w:val="0000FF"/>
          <w:highlight w:val="none"/>
        </w:rPr>
      </w:pPr>
      <w:r>
        <w:rPr>
          <w:rFonts w:hint="eastAsia"/>
          <w:color w:val="0000FF"/>
          <w:highlight w:val="none"/>
        </w:rPr>
        <w:t>【适用于分支机构（分公司）以自己的名义参与谈判】</w:t>
      </w:r>
    </w:p>
    <w:p>
      <w:pPr>
        <w:snapToGrid w:val="0"/>
        <w:ind w:firstLine="420" w:firstLineChars="200"/>
        <w:jc w:val="left"/>
        <w:rPr>
          <w:highlight w:val="none"/>
          <w:u w:val="single"/>
        </w:rPr>
      </w:pPr>
    </w:p>
    <w:p>
      <w:pPr>
        <w:spacing w:line="360" w:lineRule="auto"/>
        <w:ind w:firstLine="420" w:firstLineChars="200"/>
        <w:jc w:val="left"/>
        <w:rPr>
          <w:highlight w:val="none"/>
        </w:rPr>
      </w:pPr>
      <w:r>
        <w:rPr>
          <w:rFonts w:hint="eastAsia"/>
          <w:highlight w:val="none"/>
          <w:u w:val="single"/>
        </w:rPr>
        <w:t xml:space="preserve">     </w:t>
      </w:r>
      <w:r>
        <w:rPr>
          <w:rFonts w:hint="eastAsia"/>
          <w:i/>
          <w:iCs/>
          <w:highlight w:val="none"/>
          <w:u w:val="single"/>
        </w:rPr>
        <w:t>（被授权单位）</w:t>
      </w:r>
      <w:r>
        <w:rPr>
          <w:rFonts w:hint="eastAsia"/>
          <w:highlight w:val="none"/>
          <w:u w:val="single"/>
        </w:rPr>
        <w:t xml:space="preserve">      </w:t>
      </w:r>
      <w:r>
        <w:rPr>
          <w:rFonts w:hint="eastAsia"/>
          <w:highlight w:val="none"/>
        </w:rPr>
        <w:t>是我司</w:t>
      </w:r>
      <w:r>
        <w:rPr>
          <w:rFonts w:hint="eastAsia"/>
          <w:highlight w:val="none"/>
          <w:u w:val="single"/>
        </w:rPr>
        <w:t xml:space="preserve">   </w:t>
      </w:r>
      <w:r>
        <w:rPr>
          <w:rFonts w:hint="eastAsia"/>
          <w:i/>
          <w:iCs/>
          <w:highlight w:val="none"/>
          <w:u w:val="single"/>
        </w:rPr>
        <w:t>（法人或总公司名称）</w:t>
      </w:r>
      <w:r>
        <w:rPr>
          <w:rFonts w:hint="eastAsia"/>
          <w:highlight w:val="none"/>
          <w:u w:val="single"/>
        </w:rPr>
        <w:t xml:space="preserve"> </w:t>
      </w:r>
      <w:r>
        <w:rPr>
          <w:rFonts w:hint="eastAsia"/>
          <w:highlight w:val="none"/>
        </w:rPr>
        <w:t>的分支机构（分公司）。现我司授权</w:t>
      </w:r>
      <w:r>
        <w:rPr>
          <w:rFonts w:hint="eastAsia"/>
          <w:highlight w:val="none"/>
          <w:u w:val="single"/>
        </w:rPr>
        <w:t xml:space="preserve">     </w:t>
      </w:r>
      <w:r>
        <w:rPr>
          <w:rFonts w:hint="eastAsia"/>
          <w:i/>
          <w:iCs/>
          <w:highlight w:val="none"/>
          <w:u w:val="single"/>
        </w:rPr>
        <w:t>（被授权单位）</w:t>
      </w:r>
      <w:r>
        <w:rPr>
          <w:rFonts w:hint="eastAsia"/>
          <w:highlight w:val="none"/>
          <w:u w:val="single"/>
        </w:rPr>
        <w:t xml:space="preserve">      </w:t>
      </w:r>
      <w:r>
        <w:rPr>
          <w:rFonts w:hint="eastAsia"/>
          <w:highlight w:val="none"/>
        </w:rPr>
        <w:t>以自己的名义参与</w:t>
      </w:r>
      <w:r>
        <w:rPr>
          <w:rFonts w:hint="eastAsia"/>
          <w:highlight w:val="none"/>
          <w:u w:val="single"/>
        </w:rPr>
        <w:t xml:space="preserve">   </w:t>
      </w:r>
      <w:r>
        <w:rPr>
          <w:rFonts w:hint="eastAsia"/>
          <w:i/>
          <w:iCs/>
          <w:highlight w:val="none"/>
          <w:u w:val="single"/>
        </w:rPr>
        <w:t>（项目名称/标包名称）</w:t>
      </w:r>
      <w:r>
        <w:rPr>
          <w:rFonts w:hint="eastAsia"/>
          <w:highlight w:val="none"/>
        </w:rPr>
        <w:t>（项目编号/包号:</w:t>
      </w:r>
      <w:r>
        <w:rPr>
          <w:rFonts w:hint="eastAsia"/>
          <w:highlight w:val="none"/>
          <w:u w:val="single"/>
        </w:rPr>
        <w:t xml:space="preserve">            </w:t>
      </w:r>
      <w:r>
        <w:rPr>
          <w:rFonts w:hint="eastAsia"/>
          <w:highlight w:val="none"/>
        </w:rPr>
        <w:t>），并由</w:t>
      </w:r>
      <w:r>
        <w:rPr>
          <w:rFonts w:hint="eastAsia"/>
          <w:highlight w:val="none"/>
          <w:u w:val="single"/>
        </w:rPr>
        <w:t xml:space="preserve">   </w:t>
      </w:r>
      <w:r>
        <w:rPr>
          <w:rFonts w:hint="eastAsia"/>
          <w:i/>
          <w:iCs/>
          <w:highlight w:val="none"/>
          <w:u w:val="single"/>
        </w:rPr>
        <w:t>（被授权单位）</w:t>
      </w:r>
      <w:r>
        <w:rPr>
          <w:rFonts w:hint="eastAsia"/>
          <w:highlight w:val="none"/>
          <w:u w:val="single"/>
        </w:rPr>
        <w:t xml:space="preserve">    </w:t>
      </w:r>
      <w:r>
        <w:rPr>
          <w:rFonts w:hint="eastAsia"/>
          <w:highlight w:val="none"/>
        </w:rPr>
        <w:t>全权负责谈判事宜及后续合同履行事宜（如成交）。</w:t>
      </w:r>
    </w:p>
    <w:p>
      <w:pPr>
        <w:spacing w:line="360" w:lineRule="auto"/>
        <w:ind w:firstLine="420" w:firstLineChars="200"/>
        <w:jc w:val="left"/>
        <w:rPr>
          <w:highlight w:val="none"/>
        </w:rPr>
      </w:pPr>
      <w:r>
        <w:rPr>
          <w:rFonts w:hint="eastAsia"/>
          <w:highlight w:val="none"/>
        </w:rPr>
        <w:t>我司承诺，对于</w:t>
      </w:r>
      <w:r>
        <w:rPr>
          <w:rFonts w:hint="eastAsia"/>
          <w:highlight w:val="none"/>
          <w:u w:val="single"/>
        </w:rPr>
        <w:t xml:space="preserve">     </w:t>
      </w:r>
      <w:r>
        <w:rPr>
          <w:rFonts w:hint="eastAsia"/>
          <w:i/>
          <w:iCs/>
          <w:highlight w:val="none"/>
          <w:u w:val="single"/>
        </w:rPr>
        <w:t>（被授权单位）</w:t>
      </w:r>
      <w:r>
        <w:rPr>
          <w:rFonts w:hint="eastAsia"/>
          <w:highlight w:val="none"/>
          <w:u w:val="single"/>
        </w:rPr>
        <w:t xml:space="preserve">      </w:t>
      </w:r>
      <w:r>
        <w:rPr>
          <w:rFonts w:hint="eastAsia"/>
          <w:highlight w:val="none"/>
        </w:rPr>
        <w:t>参与</w:t>
      </w:r>
      <w:r>
        <w:rPr>
          <w:rFonts w:hint="eastAsia"/>
          <w:highlight w:val="none"/>
          <w:u w:val="single"/>
        </w:rPr>
        <w:t xml:space="preserve">    </w:t>
      </w:r>
      <w:r>
        <w:rPr>
          <w:rFonts w:hint="eastAsia"/>
          <w:i/>
          <w:iCs/>
          <w:highlight w:val="none"/>
          <w:u w:val="single"/>
        </w:rPr>
        <w:t xml:space="preserve">（项目名称/标包名称）   </w:t>
      </w:r>
      <w:r>
        <w:rPr>
          <w:rFonts w:hint="eastAsia"/>
          <w:highlight w:val="none"/>
        </w:rPr>
        <w:t>所产生的一切结果，我司将承担连带责任，采购人有权直接要求我司承担，或者就</w:t>
      </w:r>
      <w:r>
        <w:rPr>
          <w:rFonts w:hint="eastAsia"/>
          <w:highlight w:val="none"/>
          <w:u w:val="single"/>
        </w:rPr>
        <w:t xml:space="preserve">  </w:t>
      </w:r>
      <w:r>
        <w:rPr>
          <w:rFonts w:hint="eastAsia"/>
          <w:i/>
          <w:iCs/>
          <w:highlight w:val="none"/>
          <w:u w:val="single"/>
        </w:rPr>
        <w:t>（被授权单位）</w:t>
      </w:r>
      <w:r>
        <w:rPr>
          <w:rFonts w:hint="eastAsia"/>
          <w:highlight w:val="none"/>
          <w:u w:val="single"/>
        </w:rPr>
        <w:t xml:space="preserve">  </w:t>
      </w:r>
      <w:r>
        <w:rPr>
          <w:rFonts w:hint="eastAsia"/>
          <w:highlight w:val="none"/>
        </w:rPr>
        <w:t>无法承担的部分要求我司承担。</w:t>
      </w:r>
    </w:p>
    <w:p>
      <w:pPr>
        <w:spacing w:line="360" w:lineRule="auto"/>
        <w:ind w:firstLine="420" w:firstLineChars="200"/>
        <w:jc w:val="left"/>
        <w:rPr>
          <w:highlight w:val="none"/>
        </w:rPr>
      </w:pPr>
      <w:r>
        <w:rPr>
          <w:highlight w:val="none"/>
        </w:rPr>
        <w:t>本授权书于</w:t>
      </w:r>
      <w:r>
        <w:rPr>
          <w:highlight w:val="none"/>
          <w:u w:val="single"/>
        </w:rPr>
        <w:t xml:space="preserve">       </w:t>
      </w:r>
      <w:r>
        <w:rPr>
          <w:highlight w:val="none"/>
        </w:rPr>
        <w:t>年</w:t>
      </w:r>
      <w:r>
        <w:rPr>
          <w:highlight w:val="none"/>
          <w:u w:val="single"/>
        </w:rPr>
        <w:t xml:space="preserve">    </w:t>
      </w:r>
      <w:r>
        <w:rPr>
          <w:highlight w:val="none"/>
        </w:rPr>
        <w:t>月</w:t>
      </w:r>
      <w:r>
        <w:rPr>
          <w:highlight w:val="none"/>
          <w:u w:val="single"/>
        </w:rPr>
        <w:t xml:space="preserve">    </w:t>
      </w:r>
      <w:r>
        <w:rPr>
          <w:highlight w:val="none"/>
        </w:rPr>
        <w:t>日</w:t>
      </w:r>
      <w:r>
        <w:rPr>
          <w:rFonts w:hint="eastAsia"/>
          <w:highlight w:val="none"/>
        </w:rPr>
        <w:t>经我司盖章</w:t>
      </w:r>
      <w:r>
        <w:rPr>
          <w:highlight w:val="none"/>
        </w:rPr>
        <w:t>生效，有效期</w:t>
      </w:r>
      <w:r>
        <w:rPr>
          <w:rFonts w:hint="eastAsia"/>
          <w:highlight w:val="none"/>
        </w:rPr>
        <w:t>自被授权单位提交有效响应文件至本项目结束时止（如被授权单位成交，本授权委托书的有效期延长至合同履行完毕时届满）</w:t>
      </w:r>
      <w:r>
        <w:rPr>
          <w:highlight w:val="none"/>
        </w:rPr>
        <w:t>，特此声明。</w:t>
      </w:r>
    </w:p>
    <w:p>
      <w:pPr>
        <w:spacing w:line="360" w:lineRule="auto"/>
        <w:ind w:firstLine="420" w:firstLineChars="200"/>
        <w:jc w:val="left"/>
        <w:rPr>
          <w:highlight w:val="none"/>
        </w:rPr>
      </w:pPr>
    </w:p>
    <w:p>
      <w:pPr>
        <w:spacing w:line="360" w:lineRule="auto"/>
        <w:ind w:firstLine="420" w:firstLineChars="200"/>
        <w:jc w:val="left"/>
        <w:rPr>
          <w:highlight w:val="none"/>
        </w:rPr>
      </w:pPr>
      <w:r>
        <w:rPr>
          <w:rFonts w:hint="eastAsia"/>
          <w:highlight w:val="none"/>
        </w:rPr>
        <w:t>授权单位</w:t>
      </w:r>
      <w:r>
        <w:rPr>
          <w:highlight w:val="none"/>
        </w:rPr>
        <w:t xml:space="preserve">（盖单位章）：  </w:t>
      </w:r>
    </w:p>
    <w:p>
      <w:pPr>
        <w:spacing w:line="360" w:lineRule="auto"/>
        <w:ind w:firstLine="420" w:firstLineChars="200"/>
        <w:jc w:val="left"/>
        <w:rPr>
          <w:highlight w:val="none"/>
        </w:rPr>
      </w:pPr>
      <w:r>
        <w:rPr>
          <w:rFonts w:hint="eastAsia"/>
          <w:highlight w:val="none"/>
        </w:rPr>
        <w:t>法定代表人（签字）：</w:t>
      </w:r>
    </w:p>
    <w:p>
      <w:pPr>
        <w:spacing w:line="360" w:lineRule="auto"/>
        <w:jc w:val="left"/>
        <w:rPr>
          <w:highlight w:val="none"/>
        </w:rPr>
      </w:pPr>
      <w:r>
        <w:rPr>
          <w:highlight w:val="none"/>
        </w:rPr>
        <w:t xml:space="preserve">         </w:t>
      </w:r>
    </w:p>
    <w:p>
      <w:pPr>
        <w:spacing w:line="360" w:lineRule="auto"/>
        <w:ind w:firstLine="420" w:firstLineChars="200"/>
        <w:jc w:val="left"/>
        <w:rPr>
          <w:highlight w:val="none"/>
        </w:rPr>
      </w:pPr>
      <w:r>
        <w:rPr>
          <w:highlight w:val="none"/>
        </w:rPr>
        <w:t>被授权</w:t>
      </w:r>
      <w:r>
        <w:rPr>
          <w:rFonts w:hint="eastAsia"/>
          <w:highlight w:val="none"/>
        </w:rPr>
        <w:t>单位</w:t>
      </w:r>
      <w:r>
        <w:rPr>
          <w:highlight w:val="none"/>
        </w:rPr>
        <w:t>（盖</w:t>
      </w:r>
      <w:r>
        <w:rPr>
          <w:rFonts w:hint="eastAsia"/>
          <w:highlight w:val="none"/>
        </w:rPr>
        <w:t>单位</w:t>
      </w:r>
      <w:r>
        <w:rPr>
          <w:highlight w:val="none"/>
        </w:rPr>
        <w:t>章）：           </w:t>
      </w:r>
    </w:p>
    <w:p>
      <w:pPr>
        <w:spacing w:line="360" w:lineRule="auto"/>
        <w:ind w:firstLine="420" w:firstLineChars="200"/>
        <w:jc w:val="left"/>
        <w:rPr>
          <w:highlight w:val="none"/>
        </w:rPr>
      </w:pPr>
    </w:p>
    <w:p>
      <w:pPr>
        <w:spacing w:line="360" w:lineRule="auto"/>
        <w:ind w:firstLine="420" w:firstLineChars="200"/>
        <w:jc w:val="left"/>
        <w:rPr>
          <w:highlight w:val="none"/>
        </w:rPr>
        <w:sectPr>
          <w:pgSz w:w="11906" w:h="16838"/>
          <w:pgMar w:top="1440" w:right="1800" w:bottom="1440" w:left="1800" w:header="851" w:footer="992" w:gutter="0"/>
          <w:cols w:space="720" w:num="1"/>
          <w:docGrid w:type="lines" w:linePitch="312" w:charSpace="0"/>
        </w:sectPr>
      </w:pPr>
      <w:r>
        <w:rPr>
          <w:highlight w:val="none"/>
        </w:rPr>
        <w:t>附件：</w:t>
      </w:r>
      <w:r>
        <w:rPr>
          <w:rFonts w:hint="eastAsia"/>
          <w:highlight w:val="none"/>
        </w:rPr>
        <w:t>授权单位与被授权单位营业执照</w:t>
      </w:r>
    </w:p>
    <w:p>
      <w:pPr>
        <w:spacing w:line="360" w:lineRule="auto"/>
        <w:ind w:firstLine="562" w:firstLineChars="200"/>
        <w:jc w:val="center"/>
        <w:outlineLvl w:val="1"/>
        <w:rPr>
          <w:b/>
          <w:bCs/>
          <w:sz w:val="28"/>
          <w:szCs w:val="36"/>
          <w:highlight w:val="none"/>
        </w:rPr>
      </w:pPr>
      <w:bookmarkStart w:id="352" w:name="_Toc16882"/>
      <w:r>
        <w:rPr>
          <w:rFonts w:hint="eastAsia"/>
          <w:b/>
          <w:bCs/>
          <w:sz w:val="28"/>
          <w:szCs w:val="36"/>
          <w:highlight w:val="none"/>
        </w:rPr>
        <w:t>格式五</w:t>
      </w:r>
      <w:r>
        <w:rPr>
          <w:rFonts w:hint="eastAsia" w:ascii="宋体" w:hAnsi="宋体" w:cs="宋体"/>
          <w:b/>
          <w:sz w:val="28"/>
          <w:szCs w:val="36"/>
          <w:highlight w:val="none"/>
        </w:rPr>
        <w:t>-2</w:t>
      </w:r>
      <w:r>
        <w:rPr>
          <w:rFonts w:hint="eastAsia"/>
          <w:b/>
          <w:bCs/>
          <w:sz w:val="28"/>
          <w:szCs w:val="36"/>
          <w:highlight w:val="none"/>
        </w:rPr>
        <w:t>、授权委托书</w:t>
      </w:r>
      <w:bookmarkEnd w:id="352"/>
    </w:p>
    <w:p>
      <w:pPr>
        <w:pStyle w:val="9"/>
        <w:rPr>
          <w:b/>
          <w:bCs/>
          <w:szCs w:val="36"/>
          <w:highlight w:val="none"/>
        </w:rPr>
      </w:pPr>
    </w:p>
    <w:p>
      <w:pPr>
        <w:snapToGrid w:val="0"/>
        <w:ind w:firstLine="420" w:firstLineChars="200"/>
        <w:jc w:val="center"/>
        <w:rPr>
          <w:color w:val="0000FF"/>
          <w:highlight w:val="none"/>
        </w:rPr>
      </w:pPr>
      <w:r>
        <w:rPr>
          <w:rFonts w:hint="eastAsia"/>
          <w:color w:val="0000FF"/>
          <w:highlight w:val="none"/>
        </w:rPr>
        <w:t>【适用于分支机构（分公司）以法人（总公司）的名义参与谈判】</w:t>
      </w:r>
    </w:p>
    <w:p>
      <w:pPr>
        <w:snapToGrid w:val="0"/>
        <w:ind w:firstLine="420" w:firstLineChars="200"/>
        <w:jc w:val="left"/>
        <w:rPr>
          <w:highlight w:val="none"/>
          <w:u w:val="single"/>
        </w:rPr>
      </w:pPr>
    </w:p>
    <w:p>
      <w:pPr>
        <w:spacing w:line="360" w:lineRule="auto"/>
        <w:ind w:firstLine="420" w:firstLineChars="200"/>
        <w:jc w:val="left"/>
        <w:rPr>
          <w:highlight w:val="none"/>
        </w:rPr>
      </w:pPr>
      <w:r>
        <w:rPr>
          <w:rFonts w:hint="eastAsia"/>
          <w:highlight w:val="none"/>
          <w:u w:val="single"/>
        </w:rPr>
        <w:t xml:space="preserve">     </w:t>
      </w:r>
      <w:r>
        <w:rPr>
          <w:rFonts w:hint="eastAsia"/>
          <w:i/>
          <w:iCs/>
          <w:highlight w:val="none"/>
          <w:u w:val="single"/>
        </w:rPr>
        <w:t>（被授权单位）</w:t>
      </w:r>
      <w:r>
        <w:rPr>
          <w:rFonts w:hint="eastAsia"/>
          <w:highlight w:val="none"/>
          <w:u w:val="single"/>
        </w:rPr>
        <w:t xml:space="preserve">      </w:t>
      </w:r>
      <w:r>
        <w:rPr>
          <w:rFonts w:hint="eastAsia"/>
          <w:highlight w:val="none"/>
        </w:rPr>
        <w:t>是我司</w:t>
      </w:r>
      <w:r>
        <w:rPr>
          <w:rFonts w:hint="eastAsia"/>
          <w:highlight w:val="none"/>
          <w:u w:val="single"/>
        </w:rPr>
        <w:t xml:space="preserve">   </w:t>
      </w:r>
      <w:r>
        <w:rPr>
          <w:rFonts w:hint="eastAsia"/>
          <w:i/>
          <w:iCs/>
          <w:highlight w:val="none"/>
          <w:u w:val="single"/>
        </w:rPr>
        <w:t>（法人或总公司名称）</w:t>
      </w:r>
      <w:r>
        <w:rPr>
          <w:rFonts w:hint="eastAsia"/>
          <w:highlight w:val="none"/>
          <w:u w:val="single"/>
        </w:rPr>
        <w:t xml:space="preserve"> </w:t>
      </w:r>
      <w:r>
        <w:rPr>
          <w:rFonts w:hint="eastAsia"/>
          <w:highlight w:val="none"/>
        </w:rPr>
        <w:t>的分支机构（分公司）。现我司授权</w:t>
      </w:r>
      <w:r>
        <w:rPr>
          <w:rFonts w:hint="eastAsia"/>
          <w:highlight w:val="none"/>
          <w:u w:val="single"/>
        </w:rPr>
        <w:t xml:space="preserve">     </w:t>
      </w:r>
      <w:r>
        <w:rPr>
          <w:rFonts w:hint="eastAsia"/>
          <w:i/>
          <w:iCs/>
          <w:highlight w:val="none"/>
          <w:u w:val="single"/>
        </w:rPr>
        <w:t>（被授权单位）</w:t>
      </w:r>
      <w:r>
        <w:rPr>
          <w:rFonts w:hint="eastAsia"/>
          <w:highlight w:val="none"/>
          <w:u w:val="single"/>
        </w:rPr>
        <w:t xml:space="preserve">      </w:t>
      </w:r>
      <w:r>
        <w:rPr>
          <w:rFonts w:hint="eastAsia"/>
          <w:highlight w:val="none"/>
        </w:rPr>
        <w:t>以</w:t>
      </w:r>
      <w:r>
        <w:rPr>
          <w:rFonts w:hint="eastAsia"/>
          <w:highlight w:val="none"/>
          <w:u w:val="single"/>
        </w:rPr>
        <w:t xml:space="preserve">   </w:t>
      </w:r>
      <w:r>
        <w:rPr>
          <w:rFonts w:hint="eastAsia"/>
          <w:i/>
          <w:iCs/>
          <w:highlight w:val="none"/>
          <w:u w:val="single"/>
        </w:rPr>
        <w:t xml:space="preserve">（法人或总公司名称） </w:t>
      </w:r>
      <w:r>
        <w:rPr>
          <w:rFonts w:hint="eastAsia"/>
          <w:highlight w:val="none"/>
        </w:rPr>
        <w:t>的名义参与</w:t>
      </w:r>
      <w:r>
        <w:rPr>
          <w:rFonts w:hint="eastAsia"/>
          <w:highlight w:val="none"/>
          <w:u w:val="single"/>
        </w:rPr>
        <w:t xml:space="preserve">  </w:t>
      </w:r>
      <w:r>
        <w:rPr>
          <w:rFonts w:hint="eastAsia"/>
          <w:i/>
          <w:iCs/>
          <w:highlight w:val="none"/>
          <w:u w:val="single"/>
        </w:rPr>
        <w:t>（项目名称/标包名称）</w:t>
      </w:r>
      <w:r>
        <w:rPr>
          <w:rFonts w:hint="eastAsia"/>
          <w:highlight w:val="none"/>
        </w:rPr>
        <w:t>（项目编号/包号:</w:t>
      </w:r>
      <w:r>
        <w:rPr>
          <w:rFonts w:hint="eastAsia"/>
          <w:highlight w:val="none"/>
          <w:u w:val="single"/>
        </w:rPr>
        <w:t xml:space="preserve">            </w:t>
      </w:r>
      <w:r>
        <w:rPr>
          <w:rFonts w:hint="eastAsia"/>
          <w:highlight w:val="none"/>
        </w:rPr>
        <w:t>），并由</w:t>
      </w:r>
      <w:r>
        <w:rPr>
          <w:rFonts w:hint="eastAsia"/>
          <w:highlight w:val="none"/>
          <w:u w:val="single"/>
        </w:rPr>
        <w:t xml:space="preserve">     </w:t>
      </w:r>
      <w:r>
        <w:rPr>
          <w:rFonts w:hint="eastAsia"/>
          <w:i/>
          <w:iCs/>
          <w:highlight w:val="none"/>
          <w:u w:val="single"/>
        </w:rPr>
        <w:t>（被授权单位）</w:t>
      </w:r>
      <w:r>
        <w:rPr>
          <w:rFonts w:hint="eastAsia"/>
          <w:highlight w:val="none"/>
          <w:u w:val="single"/>
        </w:rPr>
        <w:t xml:space="preserve">      </w:t>
      </w:r>
      <w:r>
        <w:rPr>
          <w:rFonts w:hint="eastAsia"/>
          <w:highlight w:val="none"/>
        </w:rPr>
        <w:t>全权负责谈判事宜。如果项目成交，将由我司负责后续合同履行事宜。</w:t>
      </w:r>
    </w:p>
    <w:p>
      <w:pPr>
        <w:spacing w:line="360" w:lineRule="auto"/>
        <w:ind w:firstLine="420" w:firstLineChars="200"/>
        <w:jc w:val="left"/>
        <w:rPr>
          <w:highlight w:val="none"/>
        </w:rPr>
      </w:pPr>
      <w:r>
        <w:rPr>
          <w:rFonts w:hint="eastAsia"/>
          <w:highlight w:val="none"/>
        </w:rPr>
        <w:t>我司承诺，对于</w:t>
      </w:r>
      <w:r>
        <w:rPr>
          <w:rFonts w:hint="eastAsia"/>
          <w:highlight w:val="none"/>
          <w:u w:val="single"/>
        </w:rPr>
        <w:t xml:space="preserve">     </w:t>
      </w:r>
      <w:r>
        <w:rPr>
          <w:rFonts w:hint="eastAsia"/>
          <w:i/>
          <w:iCs/>
          <w:highlight w:val="none"/>
          <w:u w:val="single"/>
        </w:rPr>
        <w:t>（被授权单位）</w:t>
      </w:r>
      <w:r>
        <w:rPr>
          <w:rFonts w:hint="eastAsia"/>
          <w:highlight w:val="none"/>
          <w:u w:val="single"/>
        </w:rPr>
        <w:t xml:space="preserve">      </w:t>
      </w:r>
      <w:r>
        <w:rPr>
          <w:rFonts w:hint="eastAsia"/>
          <w:highlight w:val="none"/>
        </w:rPr>
        <w:t>参与</w:t>
      </w:r>
      <w:r>
        <w:rPr>
          <w:rFonts w:hint="eastAsia"/>
          <w:highlight w:val="none"/>
          <w:u w:val="single"/>
        </w:rPr>
        <w:t xml:space="preserve">   </w:t>
      </w:r>
      <w:r>
        <w:rPr>
          <w:rFonts w:hint="eastAsia"/>
          <w:i/>
          <w:iCs/>
          <w:highlight w:val="none"/>
          <w:u w:val="single"/>
        </w:rPr>
        <w:t>（项目名称/标包名称）</w:t>
      </w:r>
      <w:r>
        <w:rPr>
          <w:rFonts w:hint="eastAsia"/>
          <w:highlight w:val="none"/>
        </w:rPr>
        <w:t>所产生的一切结果，均由我司承担责任。</w:t>
      </w:r>
    </w:p>
    <w:p>
      <w:pPr>
        <w:spacing w:line="360" w:lineRule="auto"/>
        <w:ind w:firstLine="420" w:firstLineChars="200"/>
        <w:jc w:val="left"/>
        <w:rPr>
          <w:highlight w:val="none"/>
        </w:rPr>
      </w:pPr>
      <w:r>
        <w:rPr>
          <w:highlight w:val="none"/>
        </w:rPr>
        <w:t>本授权书于</w:t>
      </w:r>
      <w:r>
        <w:rPr>
          <w:highlight w:val="none"/>
          <w:u w:val="single"/>
        </w:rPr>
        <w:t xml:space="preserve">       </w:t>
      </w:r>
      <w:r>
        <w:rPr>
          <w:highlight w:val="none"/>
        </w:rPr>
        <w:t>年</w:t>
      </w:r>
      <w:r>
        <w:rPr>
          <w:highlight w:val="none"/>
          <w:u w:val="single"/>
        </w:rPr>
        <w:t xml:space="preserve">    </w:t>
      </w:r>
      <w:r>
        <w:rPr>
          <w:highlight w:val="none"/>
        </w:rPr>
        <w:t>月</w:t>
      </w:r>
      <w:r>
        <w:rPr>
          <w:highlight w:val="none"/>
          <w:u w:val="single"/>
        </w:rPr>
        <w:t xml:space="preserve">    </w:t>
      </w:r>
      <w:r>
        <w:rPr>
          <w:highlight w:val="none"/>
        </w:rPr>
        <w:t>日</w:t>
      </w:r>
      <w:r>
        <w:rPr>
          <w:rFonts w:hint="eastAsia"/>
          <w:highlight w:val="none"/>
        </w:rPr>
        <w:t>经我司盖章</w:t>
      </w:r>
      <w:r>
        <w:rPr>
          <w:highlight w:val="none"/>
        </w:rPr>
        <w:t>生效，有效期</w:t>
      </w:r>
      <w:r>
        <w:rPr>
          <w:rFonts w:hint="eastAsia"/>
          <w:highlight w:val="none"/>
        </w:rPr>
        <w:t>自被授权单位提交有效响应文件至本项目结束时止</w:t>
      </w:r>
      <w:r>
        <w:rPr>
          <w:highlight w:val="none"/>
        </w:rPr>
        <w:t>，特此声明。</w:t>
      </w:r>
    </w:p>
    <w:p>
      <w:pPr>
        <w:spacing w:line="360" w:lineRule="auto"/>
        <w:ind w:firstLine="420" w:firstLineChars="200"/>
        <w:jc w:val="left"/>
        <w:rPr>
          <w:highlight w:val="none"/>
        </w:rPr>
      </w:pPr>
    </w:p>
    <w:p>
      <w:pPr>
        <w:spacing w:line="360" w:lineRule="auto"/>
        <w:ind w:firstLine="420" w:firstLineChars="200"/>
        <w:jc w:val="left"/>
        <w:rPr>
          <w:highlight w:val="none"/>
        </w:rPr>
      </w:pPr>
      <w:r>
        <w:rPr>
          <w:rFonts w:hint="eastAsia"/>
          <w:highlight w:val="none"/>
        </w:rPr>
        <w:t>授权单位</w:t>
      </w:r>
      <w:r>
        <w:rPr>
          <w:highlight w:val="none"/>
        </w:rPr>
        <w:t>（盖单位章）： </w:t>
      </w:r>
    </w:p>
    <w:p>
      <w:pPr>
        <w:spacing w:line="360" w:lineRule="auto"/>
        <w:ind w:firstLine="420" w:firstLineChars="200"/>
        <w:jc w:val="left"/>
        <w:rPr>
          <w:highlight w:val="none"/>
        </w:rPr>
      </w:pPr>
      <w:r>
        <w:rPr>
          <w:rFonts w:hint="eastAsia"/>
          <w:highlight w:val="none"/>
        </w:rPr>
        <w:t>法定代表人（签字）：</w:t>
      </w:r>
    </w:p>
    <w:p>
      <w:pPr>
        <w:spacing w:line="360" w:lineRule="auto"/>
        <w:ind w:firstLine="420" w:firstLineChars="200"/>
        <w:jc w:val="left"/>
        <w:rPr>
          <w:highlight w:val="none"/>
        </w:rPr>
      </w:pPr>
    </w:p>
    <w:p>
      <w:pPr>
        <w:spacing w:line="360" w:lineRule="auto"/>
        <w:ind w:firstLine="420" w:firstLineChars="200"/>
        <w:jc w:val="left"/>
        <w:rPr>
          <w:highlight w:val="none"/>
        </w:rPr>
      </w:pPr>
      <w:r>
        <w:rPr>
          <w:highlight w:val="none"/>
        </w:rPr>
        <w:t xml:space="preserve">           </w:t>
      </w:r>
    </w:p>
    <w:p>
      <w:pPr>
        <w:spacing w:line="360" w:lineRule="auto"/>
        <w:ind w:firstLine="420" w:firstLineChars="200"/>
        <w:jc w:val="left"/>
        <w:rPr>
          <w:highlight w:val="none"/>
        </w:rPr>
      </w:pPr>
      <w:r>
        <w:rPr>
          <w:highlight w:val="none"/>
        </w:rPr>
        <w:t>被授权</w:t>
      </w:r>
      <w:r>
        <w:rPr>
          <w:rFonts w:hint="eastAsia"/>
          <w:highlight w:val="none"/>
        </w:rPr>
        <w:t>单位</w:t>
      </w:r>
      <w:r>
        <w:rPr>
          <w:highlight w:val="none"/>
        </w:rPr>
        <w:t>（盖</w:t>
      </w:r>
      <w:r>
        <w:rPr>
          <w:rFonts w:hint="eastAsia"/>
          <w:highlight w:val="none"/>
        </w:rPr>
        <w:t>单位</w:t>
      </w:r>
      <w:r>
        <w:rPr>
          <w:highlight w:val="none"/>
        </w:rPr>
        <w:t>章）：           </w:t>
      </w:r>
    </w:p>
    <w:p>
      <w:pPr>
        <w:spacing w:line="360" w:lineRule="auto"/>
        <w:ind w:firstLine="420" w:firstLineChars="200"/>
        <w:jc w:val="left"/>
        <w:rPr>
          <w:highlight w:val="none"/>
        </w:rPr>
      </w:pPr>
    </w:p>
    <w:p>
      <w:pPr>
        <w:spacing w:line="360" w:lineRule="auto"/>
        <w:ind w:firstLine="420" w:firstLineChars="200"/>
        <w:jc w:val="left"/>
        <w:rPr>
          <w:highlight w:val="none"/>
        </w:rPr>
      </w:pPr>
      <w:r>
        <w:rPr>
          <w:highlight w:val="none"/>
        </w:rPr>
        <w:t>附件：</w:t>
      </w:r>
      <w:r>
        <w:rPr>
          <w:rFonts w:hint="eastAsia"/>
          <w:highlight w:val="none"/>
        </w:rPr>
        <w:t>授权单位与被授权单位营业执照</w:t>
      </w:r>
    </w:p>
    <w:p>
      <w:pPr>
        <w:pStyle w:val="4"/>
        <w:pageBreakBefore/>
        <w:spacing w:before="156" w:beforeLines="50" w:after="156" w:afterLines="50" w:line="360" w:lineRule="auto"/>
        <w:ind w:left="0"/>
        <w:jc w:val="center"/>
        <w:rPr>
          <w:b/>
          <w:highlight w:val="none"/>
        </w:rPr>
      </w:pPr>
      <w:bookmarkStart w:id="353" w:name="_Toc12230"/>
      <w:bookmarkStart w:id="354" w:name="_Toc12862"/>
      <w:r>
        <w:rPr>
          <w:rFonts w:hint="eastAsia" w:ascii="宋体" w:hAnsi="宋体" w:cs="宋体"/>
          <w:b/>
          <w:highlight w:val="none"/>
        </w:rPr>
        <w:t>格式六</w:t>
      </w:r>
      <w:r>
        <w:rPr>
          <w:rFonts w:hint="eastAsia"/>
          <w:b/>
          <w:highlight w:val="none"/>
        </w:rPr>
        <w:t>、法定代表人证明书</w:t>
      </w:r>
      <w:bookmarkEnd w:id="341"/>
      <w:bookmarkEnd w:id="342"/>
      <w:bookmarkEnd w:id="343"/>
      <w:bookmarkEnd w:id="344"/>
      <w:bookmarkEnd w:id="345"/>
      <w:bookmarkEnd w:id="346"/>
      <w:bookmarkEnd w:id="347"/>
      <w:bookmarkEnd w:id="348"/>
      <w:bookmarkEnd w:id="349"/>
      <w:bookmarkEnd w:id="350"/>
      <w:bookmarkEnd w:id="353"/>
      <w:bookmarkEnd w:id="354"/>
    </w:p>
    <w:p>
      <w:pPr>
        <w:spacing w:line="360" w:lineRule="auto"/>
        <w:rPr>
          <w:highlight w:val="none"/>
        </w:rPr>
      </w:pPr>
    </w:p>
    <w:p>
      <w:pPr>
        <w:spacing w:line="360" w:lineRule="auto"/>
        <w:rPr>
          <w:highlight w:val="none"/>
        </w:rPr>
      </w:pPr>
      <w:r>
        <w:rPr>
          <w:rFonts w:hint="eastAsia"/>
          <w:highlight w:val="none"/>
        </w:rPr>
        <w:t xml:space="preserve">  </w:t>
      </w:r>
      <w:r>
        <w:rPr>
          <w:rFonts w:hint="eastAsia"/>
          <w:highlight w:val="none"/>
          <w:u w:val="single"/>
        </w:rPr>
        <w:t xml:space="preserve">             </w:t>
      </w:r>
      <w:r>
        <w:rPr>
          <w:rFonts w:hint="eastAsia"/>
          <w:highlight w:val="none"/>
        </w:rPr>
        <w:t>先生/女士，现任我单位</w:t>
      </w:r>
      <w:r>
        <w:rPr>
          <w:rFonts w:hint="eastAsia"/>
          <w:highlight w:val="none"/>
          <w:u w:val="single"/>
        </w:rPr>
        <w:t xml:space="preserve">          </w:t>
      </w:r>
      <w:r>
        <w:rPr>
          <w:rFonts w:hint="eastAsia"/>
          <w:highlight w:val="none"/>
        </w:rPr>
        <w:t>职务，为法定代表人</w:t>
      </w:r>
      <w:r>
        <w:rPr>
          <w:rFonts w:hint="eastAsia" w:ascii="宋体" w:hAnsi="宋体" w:cs="宋体"/>
          <w:highlight w:val="none"/>
        </w:rPr>
        <w:t>（分公司则为营业执照记载的负责人）</w:t>
      </w:r>
      <w:r>
        <w:rPr>
          <w:rFonts w:hint="eastAsia"/>
          <w:highlight w:val="none"/>
        </w:rPr>
        <w:t>，特此证明。</w:t>
      </w:r>
    </w:p>
    <w:p>
      <w:pPr>
        <w:spacing w:line="360" w:lineRule="auto"/>
        <w:rPr>
          <w:highlight w:val="none"/>
          <w:u w:val="single"/>
        </w:rPr>
      </w:pPr>
      <w:r>
        <w:rPr>
          <w:rFonts w:hint="eastAsia"/>
          <w:highlight w:val="none"/>
        </w:rPr>
        <w:t>签发日期：</w:t>
      </w:r>
      <w:r>
        <w:rPr>
          <w:rFonts w:hint="eastAsia"/>
          <w:highlight w:val="none"/>
          <w:u w:val="single"/>
        </w:rPr>
        <w:t xml:space="preserve">                     </w:t>
      </w:r>
    </w:p>
    <w:p>
      <w:pPr>
        <w:spacing w:line="360" w:lineRule="auto"/>
        <w:rPr>
          <w:highlight w:val="none"/>
        </w:rPr>
      </w:pPr>
      <w:r>
        <w:rPr>
          <w:rFonts w:hint="eastAsia"/>
          <w:highlight w:val="none"/>
        </w:rPr>
        <w:t>供应商名称（单位盖章）：</w:t>
      </w:r>
      <w:r>
        <w:rPr>
          <w:rFonts w:hint="eastAsia"/>
          <w:highlight w:val="none"/>
          <w:u w:val="single"/>
        </w:rPr>
        <w:t xml:space="preserve">                   </w:t>
      </w:r>
    </w:p>
    <w:p>
      <w:pPr>
        <w:spacing w:line="360" w:lineRule="auto"/>
        <w:rPr>
          <w:highlight w:val="none"/>
        </w:rPr>
      </w:pPr>
    </w:p>
    <w:p>
      <w:pPr>
        <w:spacing w:before="156" w:beforeLines="50" w:after="156" w:afterLines="50" w:line="360" w:lineRule="auto"/>
        <w:jc w:val="center"/>
        <w:rPr>
          <w:rFonts w:hint="eastAsia" w:ascii="宋体" w:hAnsi="宋体" w:cs="宋体"/>
          <w:b/>
          <w:sz w:val="28"/>
          <w:szCs w:val="28"/>
          <w:highlight w:val="none"/>
        </w:rPr>
      </w:pPr>
      <w:r>
        <w:rPr>
          <w:rFonts w:hint="eastAsia" w:ascii="宋体" w:hAnsi="宋体" w:cs="宋体"/>
          <w:b/>
          <w:sz w:val="28"/>
          <w:szCs w:val="28"/>
          <w:highlight w:val="none"/>
        </w:rPr>
        <w:t>附件：法定代表人（营业执照记载的负责人）身份证扫描件</w:t>
      </w:r>
    </w:p>
    <w:p>
      <w:pPr>
        <w:spacing w:before="156" w:beforeLines="50" w:after="156" w:afterLines="50" w:line="360" w:lineRule="auto"/>
        <w:jc w:val="center"/>
        <w:rPr>
          <w:rFonts w:hint="eastAsia" w:ascii="宋体" w:hAnsi="宋体" w:cs="宋体"/>
          <w:b/>
          <w:sz w:val="28"/>
          <w:szCs w:val="28"/>
          <w:highlight w:val="none"/>
        </w:rPr>
      </w:pPr>
      <w:r>
        <w:rPr>
          <w:rFonts w:hint="eastAsia" w:ascii="宋体" w:hAnsi="宋体" w:cs="宋体"/>
          <w:b/>
          <w:sz w:val="28"/>
          <w:szCs w:val="28"/>
          <w:highlight w:val="none"/>
        </w:rPr>
        <w:t>或其他有效的身份证明</w:t>
      </w:r>
    </w:p>
    <w:p>
      <w:pPr>
        <w:tabs>
          <w:tab w:val="left" w:pos="8364"/>
        </w:tabs>
        <w:snapToGrid w:val="0"/>
        <w:spacing w:line="360" w:lineRule="auto"/>
        <w:ind w:right="-58"/>
        <w:rPr>
          <w:rFonts w:hint="eastAsia" w:ascii="宋体" w:hAnsi="宋体" w:cs="宋体"/>
          <w:highlight w:val="none"/>
        </w:rPr>
      </w:pPr>
      <w:r>
        <w:rPr>
          <w:rFonts w:ascii="宋体" w:hAnsi="宋体"/>
          <w:sz w:val="24"/>
          <w:highlight w:val="none"/>
        </w:rPr>
        <mc:AlternateContent>
          <mc:Choice Requires="wps">
            <w:drawing>
              <wp:anchor distT="0" distB="0" distL="114300" distR="114300" simplePos="0" relativeHeight="251660288" behindDoc="0" locked="0" layoutInCell="1" allowOverlap="1">
                <wp:simplePos x="0" y="0"/>
                <wp:positionH relativeFrom="column">
                  <wp:posOffset>1133475</wp:posOffset>
                </wp:positionH>
                <wp:positionV relativeFrom="paragraph">
                  <wp:posOffset>227330</wp:posOffset>
                </wp:positionV>
                <wp:extent cx="2913380" cy="1734820"/>
                <wp:effectExtent l="5080" t="4445" r="15240" b="13335"/>
                <wp:wrapNone/>
                <wp:docPr id="2" name="自选图形 5"/>
                <wp:cNvGraphicFramePr/>
                <a:graphic xmlns:a="http://schemas.openxmlformats.org/drawingml/2006/main">
                  <a:graphicData uri="http://schemas.microsoft.com/office/word/2010/wordprocessingShape">
                    <wps:wsp>
                      <wps:cNvSpPr/>
                      <wps:spPr>
                        <a:xfrm>
                          <a:off x="0" y="0"/>
                          <a:ext cx="2913380" cy="1734820"/>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 w:val="18"/>
                                <w:szCs w:val="18"/>
                              </w:rPr>
                            </w:pPr>
                            <w:r>
                              <w:rPr>
                                <w:rFonts w:hint="eastAsia" w:hAnsi="宋体"/>
                                <w:sz w:val="18"/>
                                <w:szCs w:val="18"/>
                              </w:rPr>
                              <w:t>身份证扫描件</w:t>
                            </w: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r>
                              <w:rPr>
                                <w:rFonts w:hint="eastAsia" w:hAnsi="宋体"/>
                                <w:sz w:val="18"/>
                                <w:szCs w:val="18"/>
                              </w:rPr>
                              <w:t>（照片面）</w:t>
                            </w:r>
                          </w:p>
                        </w:txbxContent>
                      </wps:txbx>
                      <wps:bodyPr wrap="square" upright="1"/>
                    </wps:wsp>
                  </a:graphicData>
                </a:graphic>
              </wp:anchor>
            </w:drawing>
          </mc:Choice>
          <mc:Fallback>
            <w:pict>
              <v:shape id="自选图形 5" o:spid="_x0000_s1026" o:spt="176" type="#_x0000_t176" style="position:absolute;left:0pt;margin-left:89.25pt;margin-top:17.9pt;height:136.6pt;width:229.4pt;z-index:251660288;mso-width-relative:page;mso-height-relative:page;" fillcolor="#FFFFFF" filled="t" stroked="t" coordsize="21600,21600" o:gfxdata="UEsDBAoAAAAAAIdO4kAAAAAAAAAAAAAAAAAEAAAAZHJzL1BLAwQUAAAACACHTuJA3yUDo9cAAAAK&#10;AQAADwAAAGRycy9kb3ducmV2LnhtbE2PQU+EMBCF7yb+h2ZMvLktkgUWKRuj0ZMXcROvhY6USFtC&#10;C4v+eseTHt+bL2/eq46bHdmKcxi8k5DsBDB0ndeD6yWc3p5uCmAhKqfV6B1K+MIAx/ryolKl9mf3&#10;imsTe0YhLpRKgolxKjkPnUGrws5P6Oj24WerIsm553pWZwq3I78VIuNWDY4+GDXhg8Hus1mshO3l&#10;uz0sz0nXRFNk+Xu6Pt6fuJTXV4m4AxZxi38w/Nan6lBTp9YvTgc2ks6LPaES0j1NICBL8xRYS4Y4&#10;COB1xf9PqH8AUEsDBBQAAAAIAIdO4kCgjRC6JwIAAFMEAAAOAAAAZHJzL2Uyb0RvYy54bWytVE2u&#10;0zAQ3iNxB8t7mjal0Bc1fUKvlA2CSg8OMHWcxJL/sN0m3bFDnIEdS+4At3kS3IKxU/p+YNEFWTjj&#10;eOab+b4ZZ3HZK0n23HlhdEknozElXDNTCd2U9P279ZM5JT6ArkAazUt64J5eLh8/WnS24Llpjay4&#10;IwiifdHZkrYh2CLLPGu5Aj8ylms8rI1TEHDrmqxy0CG6klk+Hj/LOuMq6wzj3uPX1XBIj4juHEBT&#10;14LxlWE7xXUYUB2XEJCSb4X1dJmqrWvOwtu69jwQWVJkGtKKSdDexjVbLqBoHNhWsGMJcE4JDzgp&#10;EBqTnqBWEIDsnPgLSgnmjDd1GDGjsoFIUgRZTMYPtLluwfLEBaX29iS6/3+w7M1+44ioSppTokFh&#10;w39++vbr4+ebLz9uvn8ls6hQZ32Bjtd24447j2ak29dOxTcSIX1S9XBSlfeBMPyYX0ym0zkKzvBs&#10;8nz6dJ4n3bPbcOt8eMWNItEoaS1Nd9WCCy9k4E5D4JthXpLEsH/tA9aB8X/iYgneSFGthZRp45rt&#10;lXRkD9j3dXoiEQy55yY16Up6MctnWB3gMNc4RGgqi4J43aR89yL8XeBxev4FHAtbgW+HAhJCdINC&#10;CWSUrJZD9VJXJBwsiq7xrtFYjOIVJZLj1YxW8gwg5DmeyE5qJBnbNTQoWqHf9ggTza2pDtjtDscd&#10;6X3YgcOcO+tE06Lqk0Qk+uGsJa2O9yIO8919SnH7L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N8lA6PXAAAACgEAAA8AAAAAAAAAAQAgAAAAIgAAAGRycy9kb3ducmV2LnhtbFBLAQIUABQAAAAI&#10;AIdO4kCgjRC6JwIAAFMEAAAOAAAAAAAAAAEAIAAAACYBAABkcnMvZTJvRG9jLnhtbFBLBQYAAAAA&#10;BgAGAFkBAAC/BQAAAAA=&#10;">
                <v:fill on="t" focussize="0,0"/>
                <v:stroke color="#000000" joinstyle="miter"/>
                <v:imagedata o:title=""/>
                <o:lock v:ext="edit" aspectratio="f"/>
                <v:textbox>
                  <w:txbxContent>
                    <w:p>
                      <w:pPr>
                        <w:jc w:val="center"/>
                        <w:rPr>
                          <w:rFonts w:hint="eastAsia" w:hAnsi="宋体"/>
                          <w:sz w:val="18"/>
                          <w:szCs w:val="18"/>
                        </w:rPr>
                      </w:pPr>
                      <w:r>
                        <w:rPr>
                          <w:rFonts w:hint="eastAsia" w:hAnsi="宋体"/>
                          <w:sz w:val="18"/>
                          <w:szCs w:val="18"/>
                        </w:rPr>
                        <w:t>身份证扫描件</w:t>
                      </w: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r>
                        <w:rPr>
                          <w:rFonts w:hint="eastAsia" w:hAnsi="宋体"/>
                          <w:sz w:val="18"/>
                          <w:szCs w:val="18"/>
                        </w:rPr>
                        <w:t>（照片面）</w:t>
                      </w:r>
                    </w:p>
                  </w:txbxContent>
                </v:textbox>
              </v:shape>
            </w:pict>
          </mc:Fallback>
        </mc:AlternateContent>
      </w:r>
    </w:p>
    <w:p>
      <w:pPr>
        <w:spacing w:before="156" w:beforeLines="50" w:after="156" w:afterLines="50" w:line="360" w:lineRule="auto"/>
        <w:rPr>
          <w:rFonts w:hint="eastAsia" w:ascii="宋体" w:hAnsi="宋体" w:cs="宋体"/>
          <w:b/>
          <w:sz w:val="28"/>
          <w:szCs w:val="28"/>
          <w:highlight w:val="none"/>
        </w:rPr>
      </w:pPr>
    </w:p>
    <w:p>
      <w:pPr>
        <w:tabs>
          <w:tab w:val="left" w:pos="8364"/>
        </w:tabs>
        <w:snapToGrid w:val="0"/>
        <w:spacing w:line="360" w:lineRule="auto"/>
        <w:ind w:right="-58"/>
        <w:rPr>
          <w:rFonts w:hint="eastAsia" w:ascii="宋体" w:hAnsi="宋体"/>
          <w:highlight w:val="none"/>
        </w:rPr>
      </w:pPr>
    </w:p>
    <w:p>
      <w:pPr>
        <w:tabs>
          <w:tab w:val="left" w:pos="8364"/>
        </w:tabs>
        <w:snapToGrid w:val="0"/>
        <w:spacing w:line="360" w:lineRule="auto"/>
        <w:ind w:right="-58"/>
        <w:rPr>
          <w:rFonts w:hint="eastAsia" w:ascii="宋体" w:hAnsi="宋体"/>
          <w:highlight w:val="none"/>
        </w:rPr>
      </w:pPr>
    </w:p>
    <w:p>
      <w:pPr>
        <w:tabs>
          <w:tab w:val="left" w:pos="8364"/>
        </w:tabs>
        <w:snapToGrid w:val="0"/>
        <w:spacing w:line="360" w:lineRule="auto"/>
        <w:ind w:right="-58"/>
        <w:rPr>
          <w:rFonts w:hint="eastAsia" w:ascii="宋体" w:hAnsi="宋体"/>
          <w:highlight w:val="none"/>
        </w:rPr>
      </w:pPr>
    </w:p>
    <w:p>
      <w:pPr>
        <w:tabs>
          <w:tab w:val="left" w:pos="8364"/>
        </w:tabs>
        <w:snapToGrid w:val="0"/>
        <w:spacing w:line="360" w:lineRule="auto"/>
        <w:ind w:right="-58"/>
        <w:rPr>
          <w:rFonts w:hint="eastAsia" w:ascii="宋体" w:hAnsi="宋体"/>
          <w:highlight w:val="none"/>
        </w:rPr>
      </w:pPr>
    </w:p>
    <w:p>
      <w:pPr>
        <w:tabs>
          <w:tab w:val="left" w:pos="8364"/>
        </w:tabs>
        <w:snapToGrid w:val="0"/>
        <w:spacing w:line="360" w:lineRule="auto"/>
        <w:ind w:right="-58"/>
        <w:rPr>
          <w:rFonts w:hint="eastAsia" w:ascii="宋体" w:hAnsi="宋体"/>
          <w:highlight w:val="none"/>
        </w:rPr>
      </w:pPr>
    </w:p>
    <w:p>
      <w:pPr>
        <w:spacing w:line="366" w:lineRule="exact"/>
        <w:rPr>
          <w:rFonts w:hint="eastAsia" w:ascii="黑体" w:hAnsi="黑体" w:eastAsia="黑体"/>
          <w:b/>
          <w:sz w:val="32"/>
          <w:highlight w:val="none"/>
        </w:rPr>
      </w:pPr>
    </w:p>
    <w:p>
      <w:pPr>
        <w:spacing w:line="240" w:lineRule="exact"/>
        <w:ind w:left="360"/>
        <w:rPr>
          <w:rFonts w:hint="eastAsia" w:ascii="宋体" w:hAnsi="宋体"/>
          <w:highlight w:val="none"/>
        </w:rPr>
      </w:pPr>
      <w:r>
        <w:rPr>
          <w:rFonts w:ascii="宋体" w:hAnsi="宋体"/>
          <w:sz w:val="24"/>
          <w:highlight w:val="none"/>
        </w:rPr>
        <mc:AlternateContent>
          <mc:Choice Requires="wps">
            <w:drawing>
              <wp:anchor distT="0" distB="0" distL="114300" distR="114300" simplePos="0" relativeHeight="251661312" behindDoc="0" locked="0" layoutInCell="1" allowOverlap="1">
                <wp:simplePos x="0" y="0"/>
                <wp:positionH relativeFrom="column">
                  <wp:posOffset>1212215</wp:posOffset>
                </wp:positionH>
                <wp:positionV relativeFrom="paragraph">
                  <wp:posOffset>52705</wp:posOffset>
                </wp:positionV>
                <wp:extent cx="2865120" cy="1704340"/>
                <wp:effectExtent l="5080" t="4445" r="6350" b="5715"/>
                <wp:wrapNone/>
                <wp:docPr id="3" name="自选图形 6"/>
                <wp:cNvGraphicFramePr/>
                <a:graphic xmlns:a="http://schemas.openxmlformats.org/drawingml/2006/main">
                  <a:graphicData uri="http://schemas.microsoft.com/office/word/2010/wordprocessingShape">
                    <wps:wsp>
                      <wps:cNvSpPr/>
                      <wps:spPr>
                        <a:xfrm>
                          <a:off x="0" y="0"/>
                          <a:ext cx="2865120" cy="1704340"/>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 w:val="18"/>
                                <w:szCs w:val="18"/>
                              </w:rPr>
                            </w:pPr>
                            <w:r>
                              <w:rPr>
                                <w:rFonts w:hint="eastAsia" w:hAnsi="宋体"/>
                                <w:sz w:val="18"/>
                                <w:szCs w:val="18"/>
                              </w:rPr>
                              <w:t>身份证扫描件</w:t>
                            </w: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r>
                              <w:rPr>
                                <w:rFonts w:hint="eastAsia" w:hAnsi="宋体"/>
                                <w:sz w:val="18"/>
                                <w:szCs w:val="18"/>
                              </w:rPr>
                              <w:t>（有效期限面）</w:t>
                            </w:r>
                          </w:p>
                          <w:p>
                            <w:pPr>
                              <w:jc w:val="center"/>
                              <w:rPr>
                                <w:rFonts w:hint="eastAsia" w:hAnsi="宋体"/>
                                <w:sz w:val="18"/>
                                <w:szCs w:val="18"/>
                              </w:rPr>
                            </w:pPr>
                          </w:p>
                        </w:txbxContent>
                      </wps:txbx>
                      <wps:bodyPr wrap="square" upright="1"/>
                    </wps:wsp>
                  </a:graphicData>
                </a:graphic>
              </wp:anchor>
            </w:drawing>
          </mc:Choice>
          <mc:Fallback>
            <w:pict>
              <v:shape id="自选图形 6" o:spid="_x0000_s1026" o:spt="176" type="#_x0000_t176" style="position:absolute;left:0pt;margin-left:95.45pt;margin-top:4.15pt;height:134.2pt;width:225.6pt;z-index:251661312;mso-width-relative:page;mso-height-relative:page;" fillcolor="#FFFFFF" filled="t" stroked="t" coordsize="21600,21600" o:gfxdata="UEsDBAoAAAAAAIdO4kAAAAAAAAAAAAAAAAAEAAAAZHJzL1BLAwQUAAAACACHTuJA7/5dstcAAAAJ&#10;AQAADwAAAGRycy9kb3ducmV2LnhtbE2PT0+EMBTE7yZ+h+aZeHNbWMO/pWyMRk9exE28FvoEsvSV&#10;0MKin9560uNkJjO/KY+bGdmKsxssSYh2AhhSa/VAnYTT+/NdBsx5RVqNllDCFzo4VtdXpSq0vdAb&#10;rrXvWCghVygJvfdTwblrezTK7eyEFLxPOxvlg5w7rmd1CeVm5LEQCTdqoLDQqwkfe2zP9WIkbK/f&#10;Tb68RG3t+yxJP/br08OJS3l7E4kDMI+b/wvDL35AhyowNXYh7dgYdC7yEJWQ7YEFP7mPI2CNhDhN&#10;UuBVyf8/qH4AUEsDBBQAAAAIAIdO4kAVM7ftKAIAAFMEAAAOAAAAZHJzL2Uyb0RvYy54bWytVM2O&#10;0zAQviPxDpbvNGl3W5ao6QptKRcElRYeYOo4iSX/YbtNeuOGeAZuHPcd4G1Wgrdg7JTuDxx6IAdn&#10;HM98M98348wveyXJjjsvjC7peJRTwjUzldBNST+8Xz27oMQH0BVIo3lJ99zTy8XTJ/POFnxiWiMr&#10;7giCaF90tqRtCLbIMs9arsCPjOUaD2vjFATcuiarHHSIrmQ2yfNZ1hlXWWcY9x6/LodDekB0pwCa&#10;uhaMLw3bKq7DgOq4hICUfCusp4tUbV1zFt7VteeByJIi05BWTIL2Jq7ZYg5F48C2gh1KgFNKeMRJ&#10;gdCY9Ai1hABk68RfUEowZ7ypw4gZlQ1EkiLIYpw/0ua6BcsTF5Ta26Po/v/Bsre7tSOiKukZJRoU&#10;Nvzn55tfn77cfv1x+/0bmUWFOusLdLy2a3fYeTQj3b52Kr6RCOmTqvujqrwPhOHHycVsOp6g4AzP&#10;xs/z87PzpHt2F26dD6+5USQaJa2l6a5acOGlDNxpCHw9zEuSGHZvfMA6MP5PXCzBGymqlZAybVyz&#10;uZKO7AD7vkpPJIIhD9ykJl1JX0wnU6wOcJhrHCI0lUVBvG5SvgcR/j5wnp5/AcfCluDboYCEEN2g&#10;UAIZJavlUL3SFQl7i6JrvGs0FqN4RYnkeDWjlTwDCHmKJ7KTGknGdg0NilboNz3CRHNjqj12u8Nx&#10;R3oft+Aw59Y60bSo+jgRiX44a0mrw72Iw3x/n1Lc/QsWv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Dv/l2y1wAAAAkBAAAPAAAAAAAAAAEAIAAAACIAAABkcnMvZG93bnJldi54bWxQSwECFAAUAAAA&#10;CACHTuJAFTO37SgCAABTBAAADgAAAAAAAAABACAAAAAmAQAAZHJzL2Uyb0RvYy54bWxQSwUGAAAA&#10;AAYABgBZAQAAwAUAAAAA&#10;">
                <v:fill on="t" focussize="0,0"/>
                <v:stroke color="#000000" joinstyle="miter"/>
                <v:imagedata o:title=""/>
                <o:lock v:ext="edit" aspectratio="f"/>
                <v:textbox>
                  <w:txbxContent>
                    <w:p>
                      <w:pPr>
                        <w:jc w:val="center"/>
                        <w:rPr>
                          <w:rFonts w:hint="eastAsia" w:hAnsi="宋体"/>
                          <w:sz w:val="18"/>
                          <w:szCs w:val="18"/>
                        </w:rPr>
                      </w:pPr>
                      <w:r>
                        <w:rPr>
                          <w:rFonts w:hint="eastAsia" w:hAnsi="宋体"/>
                          <w:sz w:val="18"/>
                          <w:szCs w:val="18"/>
                        </w:rPr>
                        <w:t>身份证扫描件</w:t>
                      </w: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r>
                        <w:rPr>
                          <w:rFonts w:hint="eastAsia" w:hAnsi="宋体"/>
                          <w:sz w:val="18"/>
                          <w:szCs w:val="18"/>
                        </w:rPr>
                        <w:t>（有效期限面）</w:t>
                      </w:r>
                    </w:p>
                    <w:p>
                      <w:pPr>
                        <w:jc w:val="center"/>
                        <w:rPr>
                          <w:rFonts w:hint="eastAsia" w:hAnsi="宋体"/>
                          <w:sz w:val="18"/>
                          <w:szCs w:val="18"/>
                        </w:rPr>
                      </w:pPr>
                    </w:p>
                  </w:txbxContent>
                </v:textbox>
              </v:shape>
            </w:pict>
          </mc:Fallback>
        </mc:AlternateContent>
      </w:r>
    </w:p>
    <w:p>
      <w:pPr>
        <w:widowControl/>
        <w:spacing w:line="360" w:lineRule="auto"/>
        <w:jc w:val="left"/>
        <w:rPr>
          <w:rFonts w:hint="eastAsia" w:ascii="黑体" w:hAnsi="黑体" w:eastAsia="黑体"/>
          <w:sz w:val="28"/>
          <w:highlight w:val="none"/>
        </w:rPr>
      </w:pPr>
    </w:p>
    <w:p>
      <w:pPr>
        <w:spacing w:line="360" w:lineRule="auto"/>
        <w:ind w:firstLine="420" w:firstLineChars="200"/>
        <w:rPr>
          <w:rFonts w:hint="eastAsia" w:ascii="宋体" w:hAnsi="宋体" w:cs="宋体"/>
          <w:szCs w:val="21"/>
          <w:highlight w:val="none"/>
        </w:rPr>
      </w:pPr>
    </w:p>
    <w:p>
      <w:pPr>
        <w:spacing w:line="360" w:lineRule="auto"/>
        <w:ind w:firstLine="420" w:firstLineChars="200"/>
        <w:rPr>
          <w:rFonts w:hint="eastAsia" w:ascii="宋体" w:hAnsi="宋体" w:cs="宋体"/>
          <w:szCs w:val="21"/>
          <w:highlight w:val="none"/>
        </w:rPr>
      </w:pPr>
    </w:p>
    <w:p>
      <w:pPr>
        <w:spacing w:line="360" w:lineRule="auto"/>
        <w:ind w:firstLine="420" w:firstLineChars="200"/>
        <w:rPr>
          <w:rFonts w:hint="eastAsia" w:ascii="宋体" w:hAnsi="宋体" w:cs="宋体"/>
          <w:szCs w:val="21"/>
          <w:highlight w:val="none"/>
        </w:rPr>
      </w:pPr>
    </w:p>
    <w:p>
      <w:pPr>
        <w:spacing w:line="360" w:lineRule="auto"/>
        <w:ind w:firstLine="420" w:firstLineChars="200"/>
        <w:rPr>
          <w:rFonts w:hint="eastAsia" w:ascii="宋体" w:hAnsi="宋体" w:cs="宋体"/>
          <w:szCs w:val="21"/>
          <w:highlight w:val="none"/>
        </w:rPr>
      </w:pPr>
    </w:p>
    <w:p>
      <w:pPr>
        <w:spacing w:line="360" w:lineRule="auto"/>
        <w:ind w:firstLine="420" w:firstLineChars="200"/>
        <w:rPr>
          <w:rFonts w:hint="eastAsia" w:ascii="宋体" w:hAnsi="宋体" w:cs="宋体"/>
          <w:szCs w:val="21"/>
          <w:highlight w:val="none"/>
        </w:rPr>
      </w:pPr>
    </w:p>
    <w:p>
      <w:pPr>
        <w:spacing w:line="360" w:lineRule="auto"/>
        <w:ind w:firstLine="420" w:firstLineChars="200"/>
        <w:rPr>
          <w:rFonts w:hint="eastAsia" w:ascii="宋体" w:hAnsi="宋体"/>
          <w:szCs w:val="21"/>
          <w:highlight w:val="none"/>
        </w:rPr>
      </w:pPr>
    </w:p>
    <w:p>
      <w:pPr>
        <w:spacing w:line="360" w:lineRule="auto"/>
        <w:ind w:firstLine="420" w:firstLineChars="200"/>
        <w:rPr>
          <w:rFonts w:hint="eastAsia" w:ascii="宋体" w:hAnsi="宋体"/>
          <w:szCs w:val="21"/>
          <w:highlight w:val="none"/>
        </w:rPr>
      </w:pPr>
    </w:p>
    <w:p>
      <w:pPr>
        <w:spacing w:line="360" w:lineRule="auto"/>
        <w:ind w:firstLine="420" w:firstLineChars="200"/>
        <w:rPr>
          <w:rFonts w:hint="eastAsia" w:ascii="宋体" w:hAnsi="宋体"/>
          <w:szCs w:val="21"/>
          <w:highlight w:val="none"/>
        </w:rPr>
      </w:pPr>
    </w:p>
    <w:p>
      <w:pPr>
        <w:pStyle w:val="4"/>
        <w:pageBreakBefore/>
        <w:spacing w:before="156" w:beforeLines="50" w:after="156" w:afterLines="50" w:line="360" w:lineRule="auto"/>
        <w:ind w:left="0"/>
        <w:jc w:val="center"/>
        <w:rPr>
          <w:b/>
          <w:highlight w:val="none"/>
        </w:rPr>
      </w:pPr>
      <w:bookmarkStart w:id="355" w:name="_Toc16087"/>
      <w:bookmarkStart w:id="356" w:name="_Toc20301"/>
      <w:bookmarkStart w:id="357" w:name="_Toc950"/>
      <w:bookmarkStart w:id="358" w:name="_Toc6975"/>
      <w:bookmarkStart w:id="359" w:name="_Toc21149"/>
      <w:bookmarkStart w:id="360" w:name="_Toc30359"/>
      <w:bookmarkStart w:id="361" w:name="_Toc26227"/>
      <w:bookmarkStart w:id="362" w:name="_Toc26224"/>
      <w:bookmarkStart w:id="363" w:name="_Toc14202"/>
      <w:bookmarkStart w:id="364" w:name="_Toc23097"/>
      <w:bookmarkStart w:id="365" w:name="_Toc1185"/>
      <w:r>
        <w:rPr>
          <w:rFonts w:hint="eastAsia"/>
          <w:b/>
          <w:highlight w:val="none"/>
        </w:rPr>
        <w:t>格式</w:t>
      </w:r>
      <w:r>
        <w:rPr>
          <w:rFonts w:hint="eastAsia" w:ascii="宋体" w:hAnsi="宋体" w:cs="宋体"/>
          <w:b/>
          <w:highlight w:val="none"/>
        </w:rPr>
        <w:t>七</w:t>
      </w:r>
      <w:r>
        <w:rPr>
          <w:rFonts w:hint="eastAsia"/>
          <w:b/>
          <w:highlight w:val="none"/>
        </w:rPr>
        <w:t>、授权委托证明书</w:t>
      </w:r>
      <w:bookmarkEnd w:id="355"/>
      <w:bookmarkEnd w:id="356"/>
      <w:bookmarkEnd w:id="357"/>
      <w:bookmarkEnd w:id="358"/>
      <w:bookmarkEnd w:id="359"/>
      <w:bookmarkEnd w:id="360"/>
      <w:bookmarkEnd w:id="361"/>
      <w:bookmarkEnd w:id="362"/>
      <w:bookmarkEnd w:id="363"/>
      <w:bookmarkEnd w:id="364"/>
      <w:bookmarkEnd w:id="365"/>
    </w:p>
    <w:p>
      <w:pPr>
        <w:pStyle w:val="13"/>
        <w:spacing w:line="360" w:lineRule="auto"/>
        <w:ind w:firstLine="420" w:firstLineChars="200"/>
        <w:rPr>
          <w:rFonts w:hint="eastAsia" w:hAnsi="宋体" w:cs="宋体"/>
          <w:szCs w:val="21"/>
          <w:highlight w:val="none"/>
        </w:rPr>
      </w:pPr>
      <w:r>
        <w:rPr>
          <w:rFonts w:hint="eastAsia" w:hAnsi="宋体" w:cs="宋体"/>
          <w:szCs w:val="21"/>
          <w:highlight w:val="none"/>
        </w:rPr>
        <w:t>本授权书声明：</w:t>
      </w:r>
      <w:r>
        <w:rPr>
          <w:rFonts w:hint="eastAsia" w:hAnsi="宋体" w:cs="宋体"/>
          <w:szCs w:val="21"/>
          <w:highlight w:val="none"/>
          <w:u w:val="single"/>
        </w:rPr>
        <w:t xml:space="preserve">   </w:t>
      </w:r>
      <w:r>
        <w:rPr>
          <w:rFonts w:hint="eastAsia" w:hAnsi="宋体" w:cs="宋体"/>
          <w:i/>
          <w:iCs/>
          <w:szCs w:val="21"/>
          <w:highlight w:val="none"/>
          <w:u w:val="single"/>
        </w:rPr>
        <w:t xml:space="preserve">（供应商名称）  </w:t>
      </w:r>
      <w:r>
        <w:rPr>
          <w:rFonts w:hint="eastAsia" w:hAnsi="宋体" w:cs="宋体"/>
          <w:szCs w:val="21"/>
          <w:highlight w:val="none"/>
        </w:rPr>
        <w:t>现授权</w:t>
      </w:r>
      <w:r>
        <w:rPr>
          <w:rFonts w:hint="eastAsia" w:hAnsi="宋体" w:cs="宋体"/>
          <w:szCs w:val="21"/>
          <w:highlight w:val="none"/>
          <w:u w:val="single"/>
        </w:rPr>
        <w:t xml:space="preserve">  </w:t>
      </w:r>
      <w:r>
        <w:rPr>
          <w:rFonts w:hint="eastAsia" w:hAnsi="宋体" w:cs="宋体"/>
          <w:i/>
          <w:iCs/>
          <w:szCs w:val="21"/>
          <w:highlight w:val="none"/>
          <w:u w:val="single"/>
        </w:rPr>
        <w:t>（姓名、职务）</w:t>
      </w:r>
      <w:r>
        <w:rPr>
          <w:rFonts w:hint="eastAsia" w:hAnsi="宋体" w:cs="宋体"/>
          <w:szCs w:val="21"/>
          <w:highlight w:val="none"/>
        </w:rPr>
        <w:t>作为我公司的全权代理人，就</w:t>
      </w:r>
      <w:r>
        <w:rPr>
          <w:rFonts w:hint="eastAsia" w:hAnsi="宋体" w:cs="宋体"/>
          <w:szCs w:val="21"/>
          <w:highlight w:val="none"/>
          <w:u w:val="single"/>
        </w:rPr>
        <w:t xml:space="preserve">  </w:t>
      </w:r>
      <w:r>
        <w:rPr>
          <w:rFonts w:hint="eastAsia" w:hAnsi="宋体" w:cs="宋体"/>
          <w:i/>
          <w:iCs/>
          <w:szCs w:val="21"/>
          <w:highlight w:val="none"/>
          <w:u w:val="single"/>
        </w:rPr>
        <w:t>（项目名称/包名称）</w:t>
      </w:r>
      <w:r>
        <w:rPr>
          <w:rFonts w:hint="eastAsia" w:hAnsi="宋体" w:cs="宋体"/>
          <w:szCs w:val="21"/>
          <w:highlight w:val="none"/>
          <w:u w:val="single"/>
        </w:rPr>
        <w:t xml:space="preserve">  </w:t>
      </w:r>
      <w:r>
        <w:rPr>
          <w:rFonts w:hint="eastAsia" w:hAnsi="宋体" w:cs="宋体"/>
          <w:szCs w:val="21"/>
          <w:highlight w:val="none"/>
        </w:rPr>
        <w:t xml:space="preserve">(项目编号/包号: </w:t>
      </w:r>
      <w:r>
        <w:rPr>
          <w:rFonts w:hint="eastAsia" w:hAnsi="宋体" w:cs="宋体"/>
          <w:szCs w:val="21"/>
          <w:highlight w:val="none"/>
          <w:u w:val="single"/>
        </w:rPr>
        <w:t xml:space="preserve">           </w:t>
      </w:r>
      <w:r>
        <w:rPr>
          <w:rFonts w:hint="eastAsia" w:hAnsi="宋体" w:cs="宋体"/>
          <w:szCs w:val="21"/>
          <w:highlight w:val="none"/>
        </w:rPr>
        <w:t>)的报价、谈判事宜和合同执行，以我方的名义处理一切与之有关的事宜。</w:t>
      </w:r>
    </w:p>
    <w:p>
      <w:pPr>
        <w:pStyle w:val="5"/>
        <w:spacing w:line="360" w:lineRule="auto"/>
        <w:rPr>
          <w:rFonts w:hint="eastAsia" w:ascii="宋体" w:hAnsi="宋体" w:cs="宋体"/>
          <w:szCs w:val="21"/>
          <w:highlight w:val="none"/>
        </w:rPr>
      </w:pPr>
      <w:r>
        <w:rPr>
          <w:rFonts w:hint="eastAsia" w:ascii="宋体" w:hAnsi="宋体" w:cs="宋体"/>
          <w:szCs w:val="21"/>
          <w:highlight w:val="none"/>
        </w:rPr>
        <w:t>本授权书于</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日生效，有效期</w:t>
      </w:r>
      <w:r>
        <w:rPr>
          <w:rFonts w:hint="eastAsia" w:ascii="宋体" w:hAnsi="宋体" w:cs="宋体"/>
          <w:szCs w:val="21"/>
          <w:highlight w:val="none"/>
          <w:u w:val="single"/>
        </w:rPr>
        <w:t xml:space="preserve">            </w:t>
      </w:r>
      <w:r>
        <w:rPr>
          <w:rFonts w:hint="eastAsia" w:ascii="宋体" w:hAnsi="宋体" w:cs="宋体"/>
          <w:szCs w:val="21"/>
          <w:highlight w:val="none"/>
        </w:rPr>
        <w:t>，特此声明。</w:t>
      </w:r>
    </w:p>
    <w:p>
      <w:pPr>
        <w:pStyle w:val="5"/>
        <w:rPr>
          <w:rFonts w:hint="eastAsia" w:ascii="宋体" w:hAnsi="宋体"/>
          <w:szCs w:val="21"/>
          <w:highlight w:val="none"/>
        </w:rPr>
      </w:pPr>
    </w:p>
    <w:p>
      <w:pPr>
        <w:pStyle w:val="41"/>
        <w:spacing w:line="360" w:lineRule="auto"/>
        <w:ind w:firstLine="420" w:firstLineChars="200"/>
        <w:rPr>
          <w:rFonts w:hint="eastAsia" w:hAnsi="宋体"/>
          <w:szCs w:val="21"/>
          <w:highlight w:val="none"/>
        </w:rPr>
      </w:pPr>
      <w:r>
        <w:rPr>
          <w:rFonts w:hint="eastAsia" w:hAnsi="宋体"/>
          <w:szCs w:val="21"/>
          <w:highlight w:val="none"/>
        </w:rPr>
        <w:t>供应商（盖单位章）：</w:t>
      </w:r>
      <w:r>
        <w:rPr>
          <w:rFonts w:hint="eastAsia" w:hAnsi="宋体" w:cs="Arial"/>
          <w:sz w:val="32"/>
          <w:highlight w:val="none"/>
          <w:u w:val="single"/>
        </w:rPr>
        <w:t>            </w:t>
      </w:r>
    </w:p>
    <w:p>
      <w:pPr>
        <w:pStyle w:val="13"/>
        <w:ind w:firstLine="420"/>
        <w:rPr>
          <w:rFonts w:hint="eastAsia" w:hAnsi="宋体"/>
          <w:szCs w:val="21"/>
          <w:highlight w:val="none"/>
        </w:rPr>
      </w:pPr>
      <w:r>
        <w:rPr>
          <w:rFonts w:hint="eastAsia" w:hAnsi="宋体"/>
          <w:szCs w:val="21"/>
          <w:highlight w:val="none"/>
        </w:rPr>
        <w:t>法定代表人</w:t>
      </w:r>
      <w:r>
        <w:rPr>
          <w:rFonts w:hint="eastAsia" w:hAnsi="宋体" w:cs="宋体"/>
          <w:szCs w:val="21"/>
          <w:highlight w:val="none"/>
        </w:rPr>
        <w:t>/营业执照记载的负责人</w:t>
      </w:r>
      <w:r>
        <w:rPr>
          <w:rFonts w:hint="eastAsia" w:hAnsi="宋体"/>
          <w:szCs w:val="21"/>
          <w:highlight w:val="none"/>
        </w:rPr>
        <w:t>（签名或盖章）：</w:t>
      </w:r>
      <w:r>
        <w:rPr>
          <w:rFonts w:hint="eastAsia" w:hAnsi="宋体" w:cs="Arial"/>
          <w:sz w:val="32"/>
          <w:highlight w:val="none"/>
          <w:u w:val="single"/>
        </w:rPr>
        <w:t>             </w:t>
      </w:r>
    </w:p>
    <w:p>
      <w:pPr>
        <w:pStyle w:val="13"/>
        <w:ind w:firstLine="420"/>
        <w:rPr>
          <w:rFonts w:hint="eastAsia" w:hAnsi="宋体"/>
          <w:szCs w:val="21"/>
          <w:highlight w:val="none"/>
        </w:rPr>
      </w:pPr>
      <w:r>
        <w:rPr>
          <w:rFonts w:hint="eastAsia" w:hAnsi="宋体"/>
          <w:szCs w:val="21"/>
          <w:highlight w:val="none"/>
        </w:rPr>
        <w:t>身份证号码：</w:t>
      </w:r>
      <w:r>
        <w:rPr>
          <w:rFonts w:hint="eastAsia" w:hAnsi="宋体" w:cs="Arial"/>
          <w:sz w:val="32"/>
          <w:highlight w:val="none"/>
          <w:u w:val="single"/>
        </w:rPr>
        <w:t>                  </w:t>
      </w:r>
    </w:p>
    <w:p>
      <w:pPr>
        <w:pStyle w:val="13"/>
        <w:ind w:firstLine="420"/>
        <w:rPr>
          <w:rFonts w:hint="eastAsia" w:hAnsi="宋体" w:cs="Arial"/>
          <w:sz w:val="32"/>
          <w:highlight w:val="none"/>
          <w:u w:val="single"/>
        </w:rPr>
      </w:pPr>
      <w:r>
        <w:rPr>
          <w:rFonts w:hint="eastAsia" w:hAnsi="宋体"/>
          <w:szCs w:val="21"/>
          <w:highlight w:val="none"/>
        </w:rPr>
        <w:t>被授权人（签名或盖章）：</w:t>
      </w:r>
      <w:r>
        <w:rPr>
          <w:rFonts w:hint="eastAsia" w:hAnsi="宋体" w:cs="Arial"/>
          <w:sz w:val="32"/>
          <w:highlight w:val="none"/>
          <w:u w:val="single"/>
        </w:rPr>
        <w:t>           </w:t>
      </w:r>
    </w:p>
    <w:p>
      <w:pPr>
        <w:pStyle w:val="13"/>
        <w:ind w:firstLine="420"/>
        <w:rPr>
          <w:rFonts w:hint="eastAsia" w:hAnsi="宋体" w:cs="Arial"/>
          <w:sz w:val="32"/>
          <w:highlight w:val="none"/>
          <w:u w:val="single"/>
        </w:rPr>
      </w:pPr>
      <w:r>
        <w:rPr>
          <w:rFonts w:hint="eastAsia" w:hAnsi="宋体"/>
          <w:szCs w:val="21"/>
          <w:highlight w:val="none"/>
        </w:rPr>
        <w:t>身份证号码：</w:t>
      </w:r>
      <w:r>
        <w:rPr>
          <w:rFonts w:hint="eastAsia" w:hAnsi="宋体" w:cs="Arial"/>
          <w:sz w:val="32"/>
          <w:highlight w:val="none"/>
          <w:u w:val="single"/>
        </w:rPr>
        <w:t>                   </w:t>
      </w:r>
    </w:p>
    <w:p>
      <w:pPr>
        <w:spacing w:before="156" w:beforeLines="50" w:after="156" w:afterLines="50" w:line="360" w:lineRule="auto"/>
        <w:jc w:val="center"/>
        <w:rPr>
          <w:rFonts w:hint="eastAsia" w:ascii="宋体" w:hAnsi="宋体" w:cs="宋体"/>
          <w:highlight w:val="none"/>
        </w:rPr>
      </w:pPr>
      <w:r>
        <w:rPr>
          <w:rFonts w:hint="eastAsia" w:ascii="宋体" w:hAnsi="宋体" w:cs="宋体"/>
          <w:b/>
          <w:sz w:val="28"/>
          <w:szCs w:val="28"/>
          <w:highlight w:val="none"/>
        </w:rPr>
        <w:t>附件：被授权人身份证扫描件或其他有效的身份证明</w:t>
      </w:r>
    </w:p>
    <w:p>
      <w:pPr>
        <w:spacing w:before="156" w:beforeLines="50" w:after="156" w:afterLines="50" w:line="360" w:lineRule="auto"/>
        <w:rPr>
          <w:rFonts w:hint="eastAsia" w:ascii="宋体" w:hAnsi="宋体" w:cs="宋体"/>
          <w:b/>
          <w:sz w:val="28"/>
          <w:szCs w:val="28"/>
          <w:highlight w:val="none"/>
        </w:rPr>
      </w:pPr>
    </w:p>
    <w:p>
      <w:pPr>
        <w:tabs>
          <w:tab w:val="left" w:pos="8364"/>
        </w:tabs>
        <w:snapToGrid w:val="0"/>
        <w:spacing w:line="360" w:lineRule="auto"/>
        <w:ind w:right="-58"/>
        <w:rPr>
          <w:rFonts w:hint="eastAsia" w:ascii="宋体" w:hAnsi="宋体"/>
          <w:highlight w:val="none"/>
        </w:rPr>
      </w:pPr>
      <w:r>
        <w:rPr>
          <w:rFonts w:ascii="宋体" w:hAnsi="宋体"/>
          <w:sz w:val="24"/>
          <w:highlight w:val="none"/>
        </w:rPr>
        <mc:AlternateContent>
          <mc:Choice Requires="wps">
            <w:drawing>
              <wp:anchor distT="0" distB="0" distL="114300" distR="114300" simplePos="0" relativeHeight="251663360" behindDoc="0" locked="0" layoutInCell="1" allowOverlap="1">
                <wp:simplePos x="0" y="0"/>
                <wp:positionH relativeFrom="column">
                  <wp:posOffset>3069590</wp:posOffset>
                </wp:positionH>
                <wp:positionV relativeFrom="paragraph">
                  <wp:posOffset>39370</wp:posOffset>
                </wp:positionV>
                <wp:extent cx="2865120" cy="1704340"/>
                <wp:effectExtent l="5080" t="4445" r="6350" b="5715"/>
                <wp:wrapNone/>
                <wp:docPr id="5" name="自选图形 7"/>
                <wp:cNvGraphicFramePr/>
                <a:graphic xmlns:a="http://schemas.openxmlformats.org/drawingml/2006/main">
                  <a:graphicData uri="http://schemas.microsoft.com/office/word/2010/wordprocessingShape">
                    <wps:wsp>
                      <wps:cNvSpPr/>
                      <wps:spPr>
                        <a:xfrm>
                          <a:off x="0" y="0"/>
                          <a:ext cx="2865120" cy="1704340"/>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 w:val="18"/>
                                <w:szCs w:val="18"/>
                              </w:rPr>
                            </w:pPr>
                            <w:r>
                              <w:rPr>
                                <w:rFonts w:hint="eastAsia" w:hAnsi="宋体"/>
                                <w:sz w:val="18"/>
                                <w:szCs w:val="18"/>
                              </w:rPr>
                              <w:t>身份证扫描件</w:t>
                            </w: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r>
                              <w:rPr>
                                <w:rFonts w:hint="eastAsia" w:hAnsi="宋体"/>
                                <w:sz w:val="18"/>
                                <w:szCs w:val="18"/>
                              </w:rPr>
                              <w:t>（有效期限面）</w:t>
                            </w:r>
                          </w:p>
                          <w:p>
                            <w:pPr>
                              <w:jc w:val="center"/>
                              <w:rPr>
                                <w:rFonts w:hint="eastAsia" w:hAnsi="宋体"/>
                                <w:sz w:val="18"/>
                                <w:szCs w:val="18"/>
                              </w:rPr>
                            </w:pPr>
                          </w:p>
                        </w:txbxContent>
                      </wps:txbx>
                      <wps:bodyPr wrap="square" upright="1"/>
                    </wps:wsp>
                  </a:graphicData>
                </a:graphic>
              </wp:anchor>
            </w:drawing>
          </mc:Choice>
          <mc:Fallback>
            <w:pict>
              <v:shape id="自选图形 7" o:spid="_x0000_s1026" o:spt="176" type="#_x0000_t176" style="position:absolute;left:0pt;margin-left:241.7pt;margin-top:3.1pt;height:134.2pt;width:225.6pt;z-index:251663360;mso-width-relative:page;mso-height-relative:page;" fillcolor="#FFFFFF" filled="t" stroked="t" coordsize="21600,21600" o:gfxdata="UEsDBAoAAAAAAIdO4kAAAAAAAAAAAAAAAAAEAAAAZHJzL1BLAwQUAAAACACHTuJAPGqkI9gAAAAJ&#10;AQAADwAAAGRycy9kb3ducmV2LnhtbE2PT0+EMBDF7yZ+h2ZMvLnlX1gWKRuj0ZMXcROvhY6USKeE&#10;Fhb99NaTe3uT9/Leb6rjZka24uwGSwLiXQQMqbNqoF7A6f35rgDmvCQlR0so4BsdHOvrq0qWyp7p&#10;DdfG9yyUkCulAO39VHLuOo1Gup2dkIL3aWcjfTjnnqtZnkO5GXkSRTk3cqCwoOWEjxq7r2YxArbX&#10;n/awvMRd43WR7z/S9enhxIW4vYmje2AeN/8fhj/8gA51YGrtQsqxUUBWpFmICsgTYME/pFkOrBWQ&#10;7IPgdcUvP6h/AVBLAwQUAAAACACHTuJAMZegrCgCAABTBAAADgAAAGRycy9lMm9Eb2MueG1srVTN&#10;jtMwEL4j8Q6W7zRp2e4uUdMV2lIuCCrt8gBTx0ks+Q/bbdIbN8QzcOO47wBvsxK8xY6d0v2BQw/k&#10;4IzjmW/m+2ac2UWvJNly54XRJR2Pckq4ZqYSuinpx+vli3NKfABdgTSal3THPb2YP38262zBJ6Y1&#10;suKOIIj2RWdL2oZgiyzzrOUK/MhYrvGwNk5BwK1rsspBh+hKZpM8P8064yrrDOPe49fFcEj3iO4Y&#10;QFPXgvGFYRvFdRhQHZcQkJJvhfV0nqqta87Ch7r2PBBZUmQa0opJ0F7HNZvPoGgc2FawfQlwTAlP&#10;OCkQGpMeoBYQgGyc+AtKCeaMN3UYMaOygUhSBFmM8yfaXLVgeeKCUnt7EN3/P1j2frtyRFQlnVKi&#10;QWHDf325+f356+23n7c/vpOzqFBnfYGOV3bl9juPZqTb107FNxIhfVJ1d1CV94Ew/Dg5P52OJyg4&#10;w7PxWX7y8iTpnt2HW+fDW24UiUZJa2m6yxZceC0DdxoCXw3zkiSG7TsfsA6M/xMXS/BGimoppEwb&#10;16wvpSNbwL4v0xOJYMgjN6lJV9JX0wmSZ4DDXOMQoaksCuJ1k/I9ivAPgfP0/As4FrYA3w4FJITo&#10;BoUSyChZLYfqja5I2FkUXeNdo7EYxStKJMerGa3kGUDIYzyRndRIMrZraFC0Qr/uESaaa1PtsNsd&#10;jjvS+7QBhzk31ommRdXHiUj0w1lLWu3vRRzmh/uU4v5fML8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PGqkI9gAAAAJAQAADwAAAAAAAAABACAAAAAiAAAAZHJzL2Rvd25yZXYueG1sUEsBAhQAFAAA&#10;AAgAh07iQDGXoKwoAgAAUwQAAA4AAAAAAAAAAQAgAAAAJwEAAGRycy9lMm9Eb2MueG1sUEsFBgAA&#10;AAAGAAYAWQEAAMEFAAAAAA==&#10;">
                <v:fill on="t" focussize="0,0"/>
                <v:stroke color="#000000" joinstyle="miter"/>
                <v:imagedata o:title=""/>
                <o:lock v:ext="edit" aspectratio="f"/>
                <v:textbox>
                  <w:txbxContent>
                    <w:p>
                      <w:pPr>
                        <w:jc w:val="center"/>
                        <w:rPr>
                          <w:rFonts w:hint="eastAsia" w:hAnsi="宋体"/>
                          <w:sz w:val="18"/>
                          <w:szCs w:val="18"/>
                        </w:rPr>
                      </w:pPr>
                      <w:r>
                        <w:rPr>
                          <w:rFonts w:hint="eastAsia" w:hAnsi="宋体"/>
                          <w:sz w:val="18"/>
                          <w:szCs w:val="18"/>
                        </w:rPr>
                        <w:t>身份证扫描件</w:t>
                      </w: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r>
                        <w:rPr>
                          <w:rFonts w:hint="eastAsia" w:hAnsi="宋体"/>
                          <w:sz w:val="18"/>
                          <w:szCs w:val="18"/>
                        </w:rPr>
                        <w:t>（有效期限面）</w:t>
                      </w:r>
                    </w:p>
                    <w:p>
                      <w:pPr>
                        <w:jc w:val="center"/>
                        <w:rPr>
                          <w:rFonts w:hint="eastAsia" w:hAnsi="宋体"/>
                          <w:sz w:val="18"/>
                          <w:szCs w:val="18"/>
                        </w:rPr>
                      </w:pPr>
                    </w:p>
                  </w:txbxContent>
                </v:textbox>
              </v:shape>
            </w:pict>
          </mc:Fallback>
        </mc:AlternateContent>
      </w:r>
      <w:r>
        <w:rPr>
          <w:rFonts w:ascii="宋体" w:hAnsi="宋体"/>
          <w:sz w:val="24"/>
          <w:highlight w:val="none"/>
        </w:rPr>
        <mc:AlternateContent>
          <mc:Choice Requires="wps">
            <w:drawing>
              <wp:anchor distT="0" distB="0" distL="114300" distR="114300" simplePos="0" relativeHeight="251662336" behindDoc="0" locked="0" layoutInCell="1" allowOverlap="1">
                <wp:simplePos x="0" y="0"/>
                <wp:positionH relativeFrom="column">
                  <wp:posOffset>47625</wp:posOffset>
                </wp:positionH>
                <wp:positionV relativeFrom="paragraph">
                  <wp:posOffset>21590</wp:posOffset>
                </wp:positionV>
                <wp:extent cx="2913380" cy="1734820"/>
                <wp:effectExtent l="5080" t="4445" r="15240" b="13335"/>
                <wp:wrapNone/>
                <wp:docPr id="4" name="自选图形 8"/>
                <wp:cNvGraphicFramePr/>
                <a:graphic xmlns:a="http://schemas.openxmlformats.org/drawingml/2006/main">
                  <a:graphicData uri="http://schemas.microsoft.com/office/word/2010/wordprocessingShape">
                    <wps:wsp>
                      <wps:cNvSpPr/>
                      <wps:spPr>
                        <a:xfrm>
                          <a:off x="0" y="0"/>
                          <a:ext cx="2913380" cy="1734820"/>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 w:val="18"/>
                                <w:szCs w:val="18"/>
                              </w:rPr>
                            </w:pPr>
                            <w:r>
                              <w:rPr>
                                <w:rFonts w:hint="eastAsia" w:hAnsi="宋体"/>
                                <w:sz w:val="18"/>
                                <w:szCs w:val="18"/>
                              </w:rPr>
                              <w:t>身份证扫描件</w:t>
                            </w: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r>
                              <w:rPr>
                                <w:rFonts w:hint="eastAsia" w:hAnsi="宋体"/>
                                <w:sz w:val="18"/>
                                <w:szCs w:val="18"/>
                              </w:rPr>
                              <w:t>（照片面）</w:t>
                            </w:r>
                          </w:p>
                        </w:txbxContent>
                      </wps:txbx>
                      <wps:bodyPr wrap="square" upright="1"/>
                    </wps:wsp>
                  </a:graphicData>
                </a:graphic>
              </wp:anchor>
            </w:drawing>
          </mc:Choice>
          <mc:Fallback>
            <w:pict>
              <v:shape id="自选图形 8" o:spid="_x0000_s1026" o:spt="176" type="#_x0000_t176" style="position:absolute;left:0pt;margin-left:3.75pt;margin-top:1.7pt;height:136.6pt;width:229.4pt;z-index:251662336;mso-width-relative:page;mso-height-relative:page;" fillcolor="#FFFFFF" filled="t" stroked="t" coordsize="21600,21600" o:gfxdata="UEsDBAoAAAAAAIdO4kAAAAAAAAAAAAAAAAAEAAAAZHJzL1BLAwQUAAAACACHTuJAfGsC5NUAAAAH&#10;AQAADwAAAGRycy9kb3ducmV2LnhtbE2OwU6EMBRF9yb+Q/NM3DmFYSwjUiZGoys34iRuC31SIn0l&#10;tDDo11tXzvLm3px7ysNqB7bg5HtHEtJNAgypdbqnTsLx/flmD8wHRVoNjlDCN3o4VJcXpSq0O9Eb&#10;LnXoWISQL5QEE8JYcO5bg1b5jRuRYvfpJqtCjFPH9aROEW4Hvk0Swa3qKT4YNeKjwfarnq2E9fWn&#10;uZtf0rYOZi/yj2x5ejhyKa+v0uQeWMA1/I/hTz+qQxWdGjeT9myQkN/GoYRsByy2OyEyYI2EbS4E&#10;8Krk5/7VL1BLAwQUAAAACACHTuJADgHXDSgCAABTBAAADgAAAGRycy9lMm9Eb2MueG1srVTNjtMw&#10;EL4j8Q6W7zRtugvdqOkKbSkXBJUWHmDqOIkl/2G7TXrjhngGbhz3HeBtVoK3YOyU7g8ceiAHZxzP&#10;fDPfN+PML3slyY47L4wu6WQ0poRrZiqhm5J+eL96NqPEB9AVSKN5Sffc08vF0yfzzhY8N62RFXcE&#10;QbQvOlvSNgRbZJlnLVfgR8ZyjYe1cQoCbl2TVQ46RFcyy8fj51lnXGWdYdx7/LocDukB0Z0CaOpa&#10;ML40bKu4DgOq4xICUvKtsJ4uUrV1zVl4V9eeByJLikxDWjEJ2pu4Zos5FI0D2wp2KAFOKeERJwVC&#10;Y9Ij1BICkK0Tf0EpwZzxpg4jZlQ2EEmKIIvJ+JE21y1Ynrig1N4eRff/D5a93a0dEVVJzyjRoLDh&#10;Pz/f/Pr05fbrj9vv38gsKtRZX6DjtV27w86jGen2tVPxjURIn1TdH1XlfSAMP+YXk+l0hoIzPJu8&#10;mJ7N8qR7dhdunQ+vuVEkGiWtpemuWnDhpQzcaQh8PcxLkhh2b3zAOjD+T1wswRspqpWQMm1cs7mS&#10;juwA+75KTySCIQ/cpCZdSS/O83OsDnCYaxwiNJVFQbxuUr4HEf4+8Dg9/wKOhS3Bt0MBCSG6QaEE&#10;MkpWy6F6pSsS9hZF13jXaCxG8YoSyfFqRit5BhDyFE9kJzWSjO0aGhSt0G96hInmxlR77HaH4470&#10;Pm7BYc6tdaJpUfVJIhL9cNaSVod7EYf5/j6luPsXLH4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fGsC5NUAAAAHAQAADwAAAAAAAAABACAAAAAiAAAAZHJzL2Rvd25yZXYueG1sUEsBAhQAFAAAAAgA&#10;h07iQA4B1w0oAgAAUwQAAA4AAAAAAAAAAQAgAAAAJAEAAGRycy9lMm9Eb2MueG1sUEsFBgAAAAAG&#10;AAYAWQEAAL4FAAAAAA==&#10;">
                <v:fill on="t" focussize="0,0"/>
                <v:stroke color="#000000" joinstyle="miter"/>
                <v:imagedata o:title=""/>
                <o:lock v:ext="edit" aspectratio="f"/>
                <v:textbox>
                  <w:txbxContent>
                    <w:p>
                      <w:pPr>
                        <w:jc w:val="center"/>
                        <w:rPr>
                          <w:rFonts w:hint="eastAsia" w:hAnsi="宋体"/>
                          <w:sz w:val="18"/>
                          <w:szCs w:val="18"/>
                        </w:rPr>
                      </w:pPr>
                      <w:r>
                        <w:rPr>
                          <w:rFonts w:hint="eastAsia" w:hAnsi="宋体"/>
                          <w:sz w:val="18"/>
                          <w:szCs w:val="18"/>
                        </w:rPr>
                        <w:t>身份证扫描件</w:t>
                      </w: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p>
                    <w:p>
                      <w:pPr>
                        <w:jc w:val="center"/>
                        <w:rPr>
                          <w:rFonts w:hint="eastAsia" w:hAnsi="宋体"/>
                          <w:sz w:val="18"/>
                          <w:szCs w:val="18"/>
                        </w:rPr>
                      </w:pPr>
                      <w:r>
                        <w:rPr>
                          <w:rFonts w:hint="eastAsia" w:hAnsi="宋体"/>
                          <w:sz w:val="18"/>
                          <w:szCs w:val="18"/>
                        </w:rPr>
                        <w:t>（照片面）</w:t>
                      </w:r>
                    </w:p>
                  </w:txbxContent>
                </v:textbox>
              </v:shape>
            </w:pict>
          </mc:Fallback>
        </mc:AlternateContent>
      </w:r>
    </w:p>
    <w:p>
      <w:pPr>
        <w:tabs>
          <w:tab w:val="left" w:pos="8364"/>
        </w:tabs>
        <w:snapToGrid w:val="0"/>
        <w:spacing w:line="360" w:lineRule="auto"/>
        <w:ind w:right="-58"/>
        <w:rPr>
          <w:rFonts w:hint="eastAsia" w:ascii="宋体" w:hAnsi="宋体"/>
          <w:highlight w:val="none"/>
        </w:rPr>
      </w:pPr>
    </w:p>
    <w:p>
      <w:pPr>
        <w:tabs>
          <w:tab w:val="left" w:pos="8364"/>
        </w:tabs>
        <w:snapToGrid w:val="0"/>
        <w:spacing w:line="360" w:lineRule="auto"/>
        <w:ind w:right="-58"/>
        <w:rPr>
          <w:rFonts w:hint="eastAsia" w:ascii="宋体" w:hAnsi="宋体"/>
          <w:highlight w:val="none"/>
        </w:rPr>
      </w:pPr>
    </w:p>
    <w:p>
      <w:pPr>
        <w:tabs>
          <w:tab w:val="left" w:pos="8364"/>
        </w:tabs>
        <w:snapToGrid w:val="0"/>
        <w:spacing w:line="360" w:lineRule="auto"/>
        <w:ind w:right="-58"/>
        <w:rPr>
          <w:rFonts w:hint="eastAsia" w:ascii="宋体" w:hAnsi="宋体"/>
          <w:highlight w:val="none"/>
        </w:rPr>
      </w:pPr>
    </w:p>
    <w:p>
      <w:pPr>
        <w:tabs>
          <w:tab w:val="left" w:pos="8364"/>
        </w:tabs>
        <w:snapToGrid w:val="0"/>
        <w:spacing w:line="360" w:lineRule="auto"/>
        <w:ind w:right="-58"/>
        <w:rPr>
          <w:rFonts w:hint="eastAsia" w:ascii="宋体" w:hAnsi="宋体"/>
          <w:highlight w:val="none"/>
        </w:rPr>
      </w:pPr>
    </w:p>
    <w:p>
      <w:pPr>
        <w:spacing w:line="366" w:lineRule="exact"/>
        <w:rPr>
          <w:rFonts w:hint="eastAsia" w:ascii="黑体" w:hAnsi="黑体" w:eastAsia="黑体"/>
          <w:b/>
          <w:sz w:val="32"/>
          <w:highlight w:val="none"/>
        </w:rPr>
      </w:pPr>
    </w:p>
    <w:p>
      <w:pPr>
        <w:spacing w:line="240" w:lineRule="exact"/>
        <w:ind w:left="360"/>
        <w:rPr>
          <w:rFonts w:hint="eastAsia" w:ascii="宋体" w:hAnsi="宋体"/>
          <w:highlight w:val="none"/>
        </w:rPr>
      </w:pPr>
    </w:p>
    <w:p>
      <w:pPr>
        <w:widowControl/>
        <w:spacing w:line="360" w:lineRule="auto"/>
        <w:jc w:val="left"/>
        <w:rPr>
          <w:rFonts w:hint="eastAsia" w:ascii="黑体" w:hAnsi="黑体" w:eastAsia="黑体"/>
          <w:sz w:val="28"/>
          <w:highlight w:val="none"/>
        </w:rPr>
      </w:pPr>
    </w:p>
    <w:p>
      <w:pPr>
        <w:spacing w:before="156" w:beforeLines="50" w:after="156" w:afterLines="50" w:line="360" w:lineRule="auto"/>
        <w:jc w:val="center"/>
        <w:rPr>
          <w:rFonts w:hint="eastAsia" w:ascii="宋体" w:hAnsi="宋体" w:cs="宋体"/>
          <w:szCs w:val="21"/>
          <w:highlight w:val="none"/>
        </w:rPr>
      </w:pPr>
    </w:p>
    <w:p>
      <w:pPr>
        <w:pStyle w:val="13"/>
        <w:spacing w:line="360" w:lineRule="auto"/>
        <w:ind w:left="3400" w:leftChars="1619"/>
        <w:rPr>
          <w:rFonts w:hint="eastAsia" w:hAnsi="宋体" w:cs="宋体"/>
          <w:szCs w:val="21"/>
          <w:highlight w:val="none"/>
        </w:rPr>
      </w:pPr>
      <w:r>
        <w:rPr>
          <w:rFonts w:hint="eastAsia" w:hAnsi="宋体" w:cs="宋体"/>
          <w:szCs w:val="21"/>
          <w:highlight w:val="none"/>
        </w:rPr>
        <w:t>日期：</w:t>
      </w:r>
      <w:r>
        <w:rPr>
          <w:rFonts w:hint="eastAsia" w:hAnsi="宋体" w:cs="宋体"/>
          <w:w w:val="99"/>
          <w:szCs w:val="21"/>
          <w:highlight w:val="none"/>
        </w:rPr>
        <w:t xml:space="preserve"> </w:t>
      </w:r>
      <w:r>
        <w:rPr>
          <w:rFonts w:hint="eastAsia" w:hAnsi="宋体" w:cs="宋体"/>
          <w:w w:val="99"/>
          <w:szCs w:val="21"/>
          <w:highlight w:val="none"/>
          <w:u w:val="single"/>
        </w:rPr>
        <w:t xml:space="preserve">       </w:t>
      </w:r>
      <w:r>
        <w:rPr>
          <w:rFonts w:hint="eastAsia" w:hAnsi="宋体" w:cs="宋体"/>
          <w:szCs w:val="21"/>
          <w:highlight w:val="none"/>
        </w:rPr>
        <w:t>年</w:t>
      </w:r>
      <w:r>
        <w:rPr>
          <w:rFonts w:hint="eastAsia" w:hAnsi="宋体" w:cs="宋体"/>
          <w:w w:val="99"/>
          <w:szCs w:val="21"/>
          <w:highlight w:val="none"/>
          <w:u w:val="single"/>
        </w:rPr>
        <w:t xml:space="preserve">       </w:t>
      </w:r>
      <w:r>
        <w:rPr>
          <w:rFonts w:hint="eastAsia" w:hAnsi="宋体" w:cs="宋体"/>
          <w:szCs w:val="21"/>
          <w:highlight w:val="none"/>
        </w:rPr>
        <w:t>月</w:t>
      </w:r>
      <w:r>
        <w:rPr>
          <w:rFonts w:hint="eastAsia" w:hAnsi="宋体" w:cs="宋体"/>
          <w:w w:val="99"/>
          <w:szCs w:val="21"/>
          <w:highlight w:val="none"/>
          <w:u w:val="single"/>
        </w:rPr>
        <w:t xml:space="preserve">       </w:t>
      </w:r>
      <w:r>
        <w:rPr>
          <w:rFonts w:hint="eastAsia" w:hAnsi="宋体" w:cs="宋体"/>
          <w:szCs w:val="21"/>
          <w:highlight w:val="none"/>
        </w:rPr>
        <w:t>日</w:t>
      </w:r>
    </w:p>
    <w:p>
      <w:pPr>
        <w:spacing w:before="156" w:beforeLines="50" w:after="156" w:afterLines="50" w:line="360" w:lineRule="auto"/>
        <w:jc w:val="center"/>
        <w:rPr>
          <w:rFonts w:hint="eastAsia" w:ascii="宋体" w:hAnsi="宋体" w:cs="宋体"/>
          <w:sz w:val="24"/>
          <w:highlight w:val="none"/>
        </w:rPr>
      </w:pPr>
      <w:r>
        <w:rPr>
          <w:rFonts w:hint="eastAsia" w:ascii="宋体" w:hAnsi="宋体" w:cs="宋体"/>
          <w:w w:val="99"/>
          <w:szCs w:val="21"/>
          <w:highlight w:val="none"/>
        </w:rPr>
        <w:t xml:space="preserve">              </w:t>
      </w:r>
    </w:p>
    <w:p>
      <w:pPr>
        <w:pStyle w:val="4"/>
        <w:pageBreakBefore/>
        <w:spacing w:before="156" w:beforeLines="50" w:after="156" w:afterLines="50" w:line="360" w:lineRule="auto"/>
        <w:ind w:left="0"/>
        <w:jc w:val="center"/>
        <w:rPr>
          <w:b/>
          <w:highlight w:val="none"/>
        </w:rPr>
      </w:pPr>
      <w:bookmarkStart w:id="366" w:name="_Toc14028"/>
      <w:bookmarkStart w:id="367" w:name="_Toc20199"/>
      <w:bookmarkStart w:id="368" w:name="_Toc26672"/>
      <w:bookmarkStart w:id="369" w:name="_Toc8837"/>
      <w:bookmarkStart w:id="370" w:name="_Toc32569"/>
      <w:bookmarkStart w:id="371" w:name="_Toc2632"/>
      <w:bookmarkStart w:id="372" w:name="_Toc4308"/>
      <w:bookmarkStart w:id="373" w:name="_Toc30786"/>
      <w:bookmarkStart w:id="374" w:name="_Toc15657"/>
      <w:bookmarkStart w:id="375" w:name="_Toc13542"/>
      <w:bookmarkStart w:id="376" w:name="_Toc15255"/>
      <w:r>
        <w:rPr>
          <w:rFonts w:hint="eastAsia"/>
          <w:b/>
          <w:highlight w:val="none"/>
        </w:rPr>
        <w:t>格式</w:t>
      </w:r>
      <w:r>
        <w:rPr>
          <w:rFonts w:hint="eastAsia" w:ascii="宋体" w:hAnsi="宋体" w:cs="宋体"/>
          <w:b/>
          <w:highlight w:val="none"/>
        </w:rPr>
        <w:t>八</w:t>
      </w:r>
      <w:r>
        <w:rPr>
          <w:rFonts w:hint="eastAsia"/>
          <w:b/>
          <w:highlight w:val="none"/>
        </w:rPr>
        <w:t>、符合性审查自查表</w:t>
      </w:r>
      <w:bookmarkEnd w:id="366"/>
      <w:bookmarkEnd w:id="367"/>
      <w:bookmarkEnd w:id="368"/>
      <w:bookmarkEnd w:id="369"/>
      <w:bookmarkEnd w:id="370"/>
      <w:bookmarkEnd w:id="371"/>
      <w:bookmarkEnd w:id="372"/>
      <w:bookmarkEnd w:id="373"/>
      <w:bookmarkEnd w:id="374"/>
      <w:bookmarkEnd w:id="375"/>
      <w:bookmarkEnd w:id="376"/>
    </w:p>
    <w:tbl>
      <w:tblPr>
        <w:tblStyle w:val="25"/>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5"/>
        <w:gridCol w:w="2389"/>
        <w:gridCol w:w="2838"/>
        <w:gridCol w:w="1146"/>
        <w:gridCol w:w="1217"/>
        <w:gridCol w:w="9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2884" w:type="dxa"/>
            <w:gridSpan w:val="2"/>
            <w:tcMar>
              <w:left w:w="28" w:type="dxa"/>
              <w:right w:w="28" w:type="dxa"/>
            </w:tcMar>
            <w:vAlign w:val="center"/>
          </w:tcPr>
          <w:p>
            <w:pPr>
              <w:autoSpaceDE w:val="0"/>
              <w:autoSpaceDN w:val="0"/>
              <w:adjustRightInd w:val="0"/>
              <w:ind w:right="84" w:rightChars="40"/>
              <w:jc w:val="center"/>
              <w:rPr>
                <w:rFonts w:hint="eastAsia" w:ascii="宋体" w:hAnsi="宋体" w:cs="Arial"/>
                <w:b/>
                <w:szCs w:val="21"/>
                <w:highlight w:val="none"/>
              </w:rPr>
            </w:pPr>
            <w:r>
              <w:rPr>
                <w:rFonts w:hint="eastAsia" w:ascii="宋体" w:hAnsi="宋体" w:cs="Arial"/>
                <w:b/>
                <w:szCs w:val="21"/>
                <w:highlight w:val="none"/>
              </w:rPr>
              <w:t>谈判文件评审内容</w:t>
            </w:r>
          </w:p>
        </w:tc>
        <w:tc>
          <w:tcPr>
            <w:tcW w:w="2838" w:type="dxa"/>
            <w:tcMar>
              <w:left w:w="28" w:type="dxa"/>
              <w:right w:w="28" w:type="dxa"/>
            </w:tcMar>
            <w:vAlign w:val="center"/>
          </w:tcPr>
          <w:p>
            <w:pPr>
              <w:autoSpaceDE w:val="0"/>
              <w:autoSpaceDN w:val="0"/>
              <w:adjustRightInd w:val="0"/>
              <w:ind w:right="84" w:rightChars="40"/>
              <w:jc w:val="center"/>
              <w:rPr>
                <w:rFonts w:hint="eastAsia" w:ascii="宋体" w:hAnsi="宋体" w:cs="Arial"/>
                <w:b/>
                <w:szCs w:val="21"/>
                <w:highlight w:val="none"/>
              </w:rPr>
            </w:pPr>
            <w:r>
              <w:rPr>
                <w:rFonts w:hint="eastAsia" w:ascii="宋体" w:hAnsi="宋体" w:cs="Arial"/>
                <w:b/>
                <w:szCs w:val="21"/>
                <w:highlight w:val="none"/>
              </w:rPr>
              <w:t>供应商响应内容</w:t>
            </w:r>
          </w:p>
        </w:tc>
        <w:tc>
          <w:tcPr>
            <w:tcW w:w="1146" w:type="dxa"/>
            <w:tcMar>
              <w:left w:w="28" w:type="dxa"/>
              <w:right w:w="28" w:type="dxa"/>
            </w:tcMar>
            <w:vAlign w:val="center"/>
          </w:tcPr>
          <w:p>
            <w:pPr>
              <w:autoSpaceDE w:val="0"/>
              <w:autoSpaceDN w:val="0"/>
              <w:adjustRightInd w:val="0"/>
              <w:ind w:right="84" w:rightChars="40"/>
              <w:jc w:val="center"/>
              <w:rPr>
                <w:rFonts w:hint="eastAsia" w:ascii="宋体" w:hAnsi="宋体" w:cs="Arial"/>
                <w:b/>
                <w:szCs w:val="21"/>
                <w:highlight w:val="none"/>
              </w:rPr>
            </w:pPr>
            <w:r>
              <w:rPr>
                <w:rFonts w:hint="eastAsia" w:ascii="宋体" w:hAnsi="宋体" w:cs="Arial"/>
                <w:b/>
                <w:szCs w:val="21"/>
                <w:highlight w:val="none"/>
              </w:rPr>
              <w:t>证明材料</w:t>
            </w:r>
          </w:p>
        </w:tc>
        <w:tc>
          <w:tcPr>
            <w:tcW w:w="1217" w:type="dxa"/>
            <w:vAlign w:val="center"/>
          </w:tcPr>
          <w:p>
            <w:pPr>
              <w:autoSpaceDE w:val="0"/>
              <w:autoSpaceDN w:val="0"/>
              <w:adjustRightInd w:val="0"/>
              <w:ind w:right="84" w:rightChars="40"/>
              <w:jc w:val="center"/>
              <w:rPr>
                <w:rFonts w:hint="eastAsia" w:ascii="宋体" w:hAnsi="宋体" w:cs="Arial"/>
                <w:b/>
                <w:szCs w:val="21"/>
                <w:highlight w:val="none"/>
              </w:rPr>
            </w:pPr>
            <w:r>
              <w:rPr>
                <w:rFonts w:hint="eastAsia" w:ascii="宋体" w:hAnsi="宋体" w:cs="Arial"/>
                <w:b/>
                <w:szCs w:val="21"/>
                <w:highlight w:val="none"/>
              </w:rPr>
              <w:t>所在页码</w:t>
            </w:r>
          </w:p>
        </w:tc>
        <w:tc>
          <w:tcPr>
            <w:tcW w:w="959" w:type="dxa"/>
            <w:vAlign w:val="center"/>
          </w:tcPr>
          <w:p>
            <w:pPr>
              <w:autoSpaceDE w:val="0"/>
              <w:autoSpaceDN w:val="0"/>
              <w:adjustRightInd w:val="0"/>
              <w:ind w:right="84" w:rightChars="40"/>
              <w:jc w:val="center"/>
              <w:rPr>
                <w:rFonts w:hint="eastAsia" w:ascii="宋体" w:hAnsi="宋体" w:cs="Arial"/>
                <w:b/>
                <w:szCs w:val="21"/>
                <w:highlight w:val="none"/>
              </w:rPr>
            </w:pPr>
            <w:r>
              <w:rPr>
                <w:rFonts w:hint="eastAsia" w:ascii="宋体" w:hAnsi="宋体" w:cs="Arial"/>
                <w:b/>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Arial"/>
                <w:b/>
                <w:szCs w:val="21"/>
                <w:highlight w:val="none"/>
              </w:rPr>
            </w:pPr>
            <w:r>
              <w:rPr>
                <w:rFonts w:hint="eastAsia" w:ascii="宋体" w:hAnsi="宋体" w:cs="Arial"/>
                <w:b/>
                <w:szCs w:val="21"/>
                <w:highlight w:val="none"/>
              </w:rPr>
              <w:t>1</w:t>
            </w:r>
          </w:p>
        </w:tc>
        <w:tc>
          <w:tcPr>
            <w:tcW w:w="2389" w:type="dxa"/>
            <w:tcMar>
              <w:left w:w="28" w:type="dxa"/>
              <w:right w:w="28" w:type="dxa"/>
            </w:tcMar>
            <w:vAlign w:val="center"/>
          </w:tcPr>
          <w:p>
            <w:pPr>
              <w:spacing w:line="360" w:lineRule="auto"/>
              <w:jc w:val="left"/>
              <w:rPr>
                <w:rFonts w:hint="eastAsia" w:ascii="宋体" w:hAnsi="宋体"/>
                <w:bCs/>
                <w:szCs w:val="21"/>
                <w:highlight w:val="none"/>
              </w:rPr>
            </w:pPr>
            <w:r>
              <w:rPr>
                <w:rFonts w:hint="eastAsia"/>
                <w:b/>
                <w:highlight w:val="none"/>
              </w:rPr>
              <w:t>响应文件的有效性</w:t>
            </w:r>
          </w:p>
        </w:tc>
        <w:tc>
          <w:tcPr>
            <w:tcW w:w="2838" w:type="dxa"/>
            <w:tcMar>
              <w:left w:w="28" w:type="dxa"/>
              <w:right w:w="28" w:type="dxa"/>
            </w:tcMar>
            <w:vAlign w:val="center"/>
          </w:tcPr>
          <w:p>
            <w:pPr>
              <w:autoSpaceDE w:val="0"/>
              <w:autoSpaceDN w:val="0"/>
              <w:adjustRightInd w:val="0"/>
              <w:spacing w:line="360" w:lineRule="auto"/>
              <w:jc w:val="left"/>
              <w:rPr>
                <w:rFonts w:hint="eastAsia" w:ascii="宋体" w:hAnsi="宋体"/>
                <w:szCs w:val="21"/>
                <w:highlight w:val="none"/>
              </w:rPr>
            </w:pPr>
            <w:r>
              <w:rPr>
                <w:rFonts w:hint="eastAsia" w:ascii="宋体" w:hAnsi="宋体"/>
                <w:szCs w:val="21"/>
                <w:highlight w:val="none"/>
              </w:rPr>
              <w:t>（谈判文件要求签字盖章处是否均已由法定代表人</w:t>
            </w:r>
            <w:r>
              <w:rPr>
                <w:rFonts w:hint="eastAsia" w:ascii="宋体" w:hAnsi="宋体" w:cs="宋体"/>
                <w:szCs w:val="21"/>
                <w:highlight w:val="none"/>
              </w:rPr>
              <w:t>（分公司则为营业执照记载的负责人）</w:t>
            </w:r>
            <w:r>
              <w:rPr>
                <w:rFonts w:hint="eastAsia" w:ascii="宋体" w:hAnsi="宋体"/>
                <w:szCs w:val="21"/>
                <w:highlight w:val="none"/>
              </w:rPr>
              <w:t>或被授权人签字和加盖供应商单位公章）</w:t>
            </w:r>
          </w:p>
        </w:tc>
        <w:tc>
          <w:tcPr>
            <w:tcW w:w="1146" w:type="dxa"/>
            <w:tcMar>
              <w:left w:w="28" w:type="dxa"/>
              <w:right w:w="28" w:type="dxa"/>
            </w:tcMar>
            <w:vAlign w:val="center"/>
          </w:tcPr>
          <w:p>
            <w:pPr>
              <w:rPr>
                <w:rFonts w:hint="eastAsia" w:ascii="宋体" w:hAnsi="宋体"/>
                <w:szCs w:val="21"/>
                <w:highlight w:val="none"/>
              </w:rPr>
            </w:pPr>
          </w:p>
        </w:tc>
        <w:tc>
          <w:tcPr>
            <w:tcW w:w="1217" w:type="dxa"/>
            <w:vAlign w:val="center"/>
          </w:tcPr>
          <w:p>
            <w:pPr>
              <w:rPr>
                <w:rFonts w:hint="eastAsia" w:ascii="宋体" w:hAnsi="宋体"/>
                <w:szCs w:val="21"/>
                <w:highlight w:val="none"/>
              </w:rPr>
            </w:pPr>
          </w:p>
        </w:tc>
        <w:tc>
          <w:tcPr>
            <w:tcW w:w="959" w:type="dxa"/>
            <w:vAlign w:val="center"/>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vMerge w:val="restart"/>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Arial"/>
                <w:b/>
                <w:szCs w:val="21"/>
                <w:highlight w:val="none"/>
              </w:rPr>
            </w:pPr>
            <w:r>
              <w:rPr>
                <w:rFonts w:hint="eastAsia" w:ascii="宋体" w:hAnsi="宋体" w:cs="Arial"/>
                <w:b/>
                <w:szCs w:val="21"/>
                <w:highlight w:val="none"/>
              </w:rPr>
              <w:t>2</w:t>
            </w:r>
          </w:p>
        </w:tc>
        <w:tc>
          <w:tcPr>
            <w:tcW w:w="2389" w:type="dxa"/>
            <w:vMerge w:val="restart"/>
            <w:tcMar>
              <w:left w:w="28" w:type="dxa"/>
              <w:right w:w="28" w:type="dxa"/>
            </w:tcMar>
            <w:vAlign w:val="center"/>
          </w:tcPr>
          <w:p>
            <w:pPr>
              <w:spacing w:line="360" w:lineRule="auto"/>
              <w:jc w:val="left"/>
              <w:rPr>
                <w:rFonts w:hint="eastAsia" w:ascii="宋体" w:hAnsi="宋体"/>
                <w:bCs/>
                <w:szCs w:val="21"/>
                <w:highlight w:val="none"/>
              </w:rPr>
            </w:pPr>
            <w:r>
              <w:rPr>
                <w:rFonts w:hint="eastAsia"/>
                <w:b/>
                <w:highlight w:val="none"/>
              </w:rPr>
              <w:t>供应商的有效性</w:t>
            </w:r>
          </w:p>
        </w:tc>
        <w:tc>
          <w:tcPr>
            <w:tcW w:w="2838" w:type="dxa"/>
            <w:tcMar>
              <w:left w:w="28" w:type="dxa"/>
              <w:right w:w="28" w:type="dxa"/>
            </w:tcMar>
            <w:vAlign w:val="center"/>
          </w:tcPr>
          <w:p>
            <w:pPr>
              <w:autoSpaceDE w:val="0"/>
              <w:autoSpaceDN w:val="0"/>
              <w:adjustRightInd w:val="0"/>
              <w:spacing w:line="360" w:lineRule="auto"/>
              <w:jc w:val="left"/>
              <w:rPr>
                <w:rFonts w:hint="eastAsia" w:ascii="宋体" w:hAnsi="宋体"/>
                <w:szCs w:val="21"/>
                <w:highlight w:val="none"/>
              </w:rPr>
            </w:pPr>
            <w:r>
              <w:rPr>
                <w:rFonts w:hint="eastAsia" w:ascii="宋体" w:hAnsi="宋体"/>
                <w:szCs w:val="21"/>
                <w:highlight w:val="none"/>
              </w:rPr>
              <w:t>（供应商资格要求内容1）</w:t>
            </w:r>
          </w:p>
        </w:tc>
        <w:tc>
          <w:tcPr>
            <w:tcW w:w="1146" w:type="dxa"/>
            <w:tcMar>
              <w:left w:w="28" w:type="dxa"/>
              <w:right w:w="28" w:type="dxa"/>
            </w:tcMar>
            <w:vAlign w:val="center"/>
          </w:tcPr>
          <w:p>
            <w:pPr>
              <w:rPr>
                <w:rFonts w:hint="eastAsia" w:ascii="宋体" w:hAnsi="宋体"/>
                <w:szCs w:val="21"/>
                <w:highlight w:val="none"/>
              </w:rPr>
            </w:pPr>
          </w:p>
        </w:tc>
        <w:tc>
          <w:tcPr>
            <w:tcW w:w="1217" w:type="dxa"/>
            <w:vAlign w:val="center"/>
          </w:tcPr>
          <w:p>
            <w:pPr>
              <w:rPr>
                <w:rFonts w:hint="eastAsia" w:ascii="宋体" w:hAnsi="宋体"/>
                <w:szCs w:val="21"/>
                <w:highlight w:val="none"/>
              </w:rPr>
            </w:pPr>
          </w:p>
        </w:tc>
        <w:tc>
          <w:tcPr>
            <w:tcW w:w="959" w:type="dxa"/>
            <w:vAlign w:val="center"/>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vMerge w:val="continue"/>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Arial"/>
                <w:b/>
                <w:szCs w:val="21"/>
                <w:highlight w:val="none"/>
              </w:rPr>
            </w:pPr>
          </w:p>
        </w:tc>
        <w:tc>
          <w:tcPr>
            <w:tcW w:w="2389" w:type="dxa"/>
            <w:vMerge w:val="continue"/>
            <w:tcMar>
              <w:left w:w="28" w:type="dxa"/>
              <w:right w:w="28" w:type="dxa"/>
            </w:tcMar>
            <w:vAlign w:val="center"/>
          </w:tcPr>
          <w:p>
            <w:pPr>
              <w:spacing w:line="360" w:lineRule="auto"/>
              <w:jc w:val="left"/>
              <w:rPr>
                <w:b/>
                <w:highlight w:val="none"/>
              </w:rPr>
            </w:pPr>
          </w:p>
        </w:tc>
        <w:tc>
          <w:tcPr>
            <w:tcW w:w="2838" w:type="dxa"/>
            <w:tcMar>
              <w:left w:w="28" w:type="dxa"/>
              <w:right w:w="28" w:type="dxa"/>
            </w:tcMar>
            <w:vAlign w:val="center"/>
          </w:tcPr>
          <w:p>
            <w:pPr>
              <w:autoSpaceDE w:val="0"/>
              <w:autoSpaceDN w:val="0"/>
              <w:adjustRightInd w:val="0"/>
              <w:spacing w:line="360" w:lineRule="auto"/>
              <w:jc w:val="left"/>
              <w:rPr>
                <w:rFonts w:hint="eastAsia" w:ascii="宋体" w:hAnsi="宋体"/>
                <w:szCs w:val="21"/>
                <w:highlight w:val="none"/>
              </w:rPr>
            </w:pPr>
            <w:r>
              <w:rPr>
                <w:rFonts w:hint="eastAsia" w:ascii="宋体" w:hAnsi="宋体"/>
                <w:szCs w:val="21"/>
                <w:highlight w:val="none"/>
              </w:rPr>
              <w:t>（供应商资格要求内容2）</w:t>
            </w:r>
          </w:p>
        </w:tc>
        <w:tc>
          <w:tcPr>
            <w:tcW w:w="1146" w:type="dxa"/>
            <w:tcMar>
              <w:left w:w="28" w:type="dxa"/>
              <w:right w:w="28" w:type="dxa"/>
            </w:tcMar>
            <w:vAlign w:val="center"/>
          </w:tcPr>
          <w:p>
            <w:pPr>
              <w:rPr>
                <w:rFonts w:hint="eastAsia" w:ascii="宋体" w:hAnsi="宋体"/>
                <w:szCs w:val="21"/>
                <w:highlight w:val="none"/>
              </w:rPr>
            </w:pPr>
          </w:p>
        </w:tc>
        <w:tc>
          <w:tcPr>
            <w:tcW w:w="1217" w:type="dxa"/>
            <w:vAlign w:val="center"/>
          </w:tcPr>
          <w:p>
            <w:pPr>
              <w:rPr>
                <w:rFonts w:hint="eastAsia" w:ascii="宋体" w:hAnsi="宋体"/>
                <w:szCs w:val="21"/>
                <w:highlight w:val="none"/>
              </w:rPr>
            </w:pPr>
          </w:p>
        </w:tc>
        <w:tc>
          <w:tcPr>
            <w:tcW w:w="959" w:type="dxa"/>
            <w:vAlign w:val="center"/>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vMerge w:val="continue"/>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Arial"/>
                <w:b/>
                <w:szCs w:val="21"/>
                <w:highlight w:val="none"/>
              </w:rPr>
            </w:pPr>
          </w:p>
        </w:tc>
        <w:tc>
          <w:tcPr>
            <w:tcW w:w="2389" w:type="dxa"/>
            <w:vMerge w:val="continue"/>
            <w:tcMar>
              <w:left w:w="28" w:type="dxa"/>
              <w:right w:w="28" w:type="dxa"/>
            </w:tcMar>
            <w:vAlign w:val="center"/>
          </w:tcPr>
          <w:p>
            <w:pPr>
              <w:spacing w:line="360" w:lineRule="auto"/>
              <w:jc w:val="left"/>
              <w:rPr>
                <w:b/>
                <w:highlight w:val="none"/>
              </w:rPr>
            </w:pPr>
          </w:p>
        </w:tc>
        <w:tc>
          <w:tcPr>
            <w:tcW w:w="2838" w:type="dxa"/>
            <w:tcMar>
              <w:left w:w="28" w:type="dxa"/>
              <w:right w:w="28" w:type="dxa"/>
            </w:tcMar>
            <w:vAlign w:val="center"/>
          </w:tcPr>
          <w:p>
            <w:pPr>
              <w:autoSpaceDE w:val="0"/>
              <w:autoSpaceDN w:val="0"/>
              <w:adjustRightInd w:val="0"/>
              <w:spacing w:line="360" w:lineRule="auto"/>
              <w:jc w:val="left"/>
              <w:rPr>
                <w:rFonts w:hint="eastAsia" w:ascii="宋体" w:hAnsi="宋体"/>
                <w:szCs w:val="21"/>
                <w:highlight w:val="none"/>
              </w:rPr>
            </w:pPr>
            <w:r>
              <w:rPr>
                <w:rFonts w:hint="eastAsia" w:ascii="宋体" w:hAnsi="宋体"/>
                <w:szCs w:val="21"/>
                <w:highlight w:val="none"/>
              </w:rPr>
              <w:t>（供应商资格要求内容3）</w:t>
            </w:r>
          </w:p>
        </w:tc>
        <w:tc>
          <w:tcPr>
            <w:tcW w:w="1146" w:type="dxa"/>
            <w:tcMar>
              <w:left w:w="28" w:type="dxa"/>
              <w:right w:w="28" w:type="dxa"/>
            </w:tcMar>
            <w:vAlign w:val="center"/>
          </w:tcPr>
          <w:p>
            <w:pPr>
              <w:rPr>
                <w:rFonts w:hint="eastAsia" w:ascii="宋体" w:hAnsi="宋体"/>
                <w:szCs w:val="21"/>
                <w:highlight w:val="none"/>
              </w:rPr>
            </w:pPr>
          </w:p>
        </w:tc>
        <w:tc>
          <w:tcPr>
            <w:tcW w:w="1217" w:type="dxa"/>
            <w:vAlign w:val="center"/>
          </w:tcPr>
          <w:p>
            <w:pPr>
              <w:rPr>
                <w:rFonts w:hint="eastAsia" w:ascii="宋体" w:hAnsi="宋体"/>
                <w:szCs w:val="21"/>
                <w:highlight w:val="none"/>
              </w:rPr>
            </w:pPr>
          </w:p>
        </w:tc>
        <w:tc>
          <w:tcPr>
            <w:tcW w:w="959" w:type="dxa"/>
            <w:vAlign w:val="center"/>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vMerge w:val="continue"/>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Arial"/>
                <w:b/>
                <w:szCs w:val="21"/>
                <w:highlight w:val="none"/>
              </w:rPr>
            </w:pPr>
          </w:p>
        </w:tc>
        <w:tc>
          <w:tcPr>
            <w:tcW w:w="2389" w:type="dxa"/>
            <w:vMerge w:val="continue"/>
            <w:tcMar>
              <w:left w:w="28" w:type="dxa"/>
              <w:right w:w="28" w:type="dxa"/>
            </w:tcMar>
            <w:vAlign w:val="center"/>
          </w:tcPr>
          <w:p>
            <w:pPr>
              <w:spacing w:line="360" w:lineRule="auto"/>
              <w:jc w:val="left"/>
              <w:rPr>
                <w:b/>
                <w:highlight w:val="none"/>
              </w:rPr>
            </w:pPr>
          </w:p>
        </w:tc>
        <w:tc>
          <w:tcPr>
            <w:tcW w:w="2838" w:type="dxa"/>
            <w:tcMar>
              <w:left w:w="28" w:type="dxa"/>
              <w:right w:w="28" w:type="dxa"/>
            </w:tcMar>
            <w:vAlign w:val="center"/>
          </w:tcPr>
          <w:p>
            <w:pPr>
              <w:autoSpaceDE w:val="0"/>
              <w:autoSpaceDN w:val="0"/>
              <w:adjustRightInd w:val="0"/>
              <w:spacing w:line="360" w:lineRule="auto"/>
              <w:jc w:val="left"/>
              <w:rPr>
                <w:rFonts w:hint="eastAsia" w:ascii="宋体" w:hAnsi="宋体"/>
                <w:szCs w:val="21"/>
                <w:highlight w:val="none"/>
              </w:rPr>
            </w:pPr>
            <w:r>
              <w:rPr>
                <w:rFonts w:hint="eastAsia" w:ascii="宋体" w:hAnsi="宋体"/>
                <w:szCs w:val="21"/>
                <w:highlight w:val="none"/>
              </w:rPr>
              <w:t>（供应商资格要求内容...）</w:t>
            </w:r>
          </w:p>
        </w:tc>
        <w:tc>
          <w:tcPr>
            <w:tcW w:w="1146" w:type="dxa"/>
            <w:tcMar>
              <w:left w:w="28" w:type="dxa"/>
              <w:right w:w="28" w:type="dxa"/>
            </w:tcMar>
            <w:vAlign w:val="center"/>
          </w:tcPr>
          <w:p>
            <w:pPr>
              <w:rPr>
                <w:rFonts w:hint="eastAsia" w:ascii="宋体" w:hAnsi="宋体"/>
                <w:szCs w:val="21"/>
                <w:highlight w:val="none"/>
              </w:rPr>
            </w:pPr>
          </w:p>
        </w:tc>
        <w:tc>
          <w:tcPr>
            <w:tcW w:w="1217" w:type="dxa"/>
            <w:vAlign w:val="center"/>
          </w:tcPr>
          <w:p>
            <w:pPr>
              <w:rPr>
                <w:rFonts w:hint="eastAsia" w:ascii="宋体" w:hAnsi="宋体"/>
                <w:szCs w:val="21"/>
                <w:highlight w:val="none"/>
              </w:rPr>
            </w:pPr>
          </w:p>
        </w:tc>
        <w:tc>
          <w:tcPr>
            <w:tcW w:w="959" w:type="dxa"/>
            <w:vAlign w:val="center"/>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Arial"/>
                <w:b/>
                <w:szCs w:val="21"/>
                <w:highlight w:val="none"/>
              </w:rPr>
            </w:pPr>
            <w:r>
              <w:rPr>
                <w:rFonts w:hint="eastAsia" w:ascii="宋体" w:hAnsi="宋体" w:cs="Arial"/>
                <w:b/>
                <w:szCs w:val="21"/>
                <w:highlight w:val="none"/>
              </w:rPr>
              <w:t>3</w:t>
            </w:r>
          </w:p>
        </w:tc>
        <w:tc>
          <w:tcPr>
            <w:tcW w:w="2389" w:type="dxa"/>
            <w:tcMar>
              <w:left w:w="28" w:type="dxa"/>
              <w:right w:w="28" w:type="dxa"/>
            </w:tcMar>
            <w:vAlign w:val="center"/>
          </w:tcPr>
          <w:p>
            <w:pPr>
              <w:spacing w:line="360" w:lineRule="auto"/>
              <w:jc w:val="left"/>
              <w:rPr>
                <w:rFonts w:hint="eastAsia" w:ascii="宋体" w:hAnsi="宋体"/>
                <w:szCs w:val="21"/>
                <w:highlight w:val="none"/>
              </w:rPr>
            </w:pPr>
            <w:r>
              <w:rPr>
                <w:rFonts w:hint="eastAsia"/>
                <w:b/>
                <w:highlight w:val="none"/>
              </w:rPr>
              <w:t>响应文件的真实性</w:t>
            </w:r>
          </w:p>
        </w:tc>
        <w:tc>
          <w:tcPr>
            <w:tcW w:w="2838" w:type="dxa"/>
            <w:tcMar>
              <w:left w:w="28" w:type="dxa"/>
              <w:right w:w="28" w:type="dxa"/>
            </w:tcMar>
            <w:vAlign w:val="center"/>
          </w:tcPr>
          <w:p>
            <w:pPr>
              <w:autoSpaceDE w:val="0"/>
              <w:autoSpaceDN w:val="0"/>
              <w:adjustRightInd w:val="0"/>
              <w:spacing w:line="360" w:lineRule="auto"/>
              <w:jc w:val="left"/>
              <w:rPr>
                <w:rFonts w:hint="eastAsia" w:ascii="宋体" w:hAnsi="宋体"/>
                <w:szCs w:val="21"/>
                <w:highlight w:val="none"/>
              </w:rPr>
            </w:pPr>
            <w:r>
              <w:rPr>
                <w:rFonts w:hint="eastAsia" w:ascii="宋体" w:hAnsi="宋体"/>
                <w:szCs w:val="21"/>
                <w:highlight w:val="none"/>
              </w:rPr>
              <w:t>（响应文件是否真实）</w:t>
            </w:r>
          </w:p>
        </w:tc>
        <w:tc>
          <w:tcPr>
            <w:tcW w:w="1146" w:type="dxa"/>
            <w:tcMar>
              <w:left w:w="28" w:type="dxa"/>
              <w:right w:w="28" w:type="dxa"/>
            </w:tcMar>
            <w:vAlign w:val="center"/>
          </w:tcPr>
          <w:p>
            <w:pPr>
              <w:rPr>
                <w:rFonts w:hint="eastAsia" w:ascii="宋体" w:hAnsi="宋体"/>
                <w:szCs w:val="21"/>
                <w:highlight w:val="none"/>
              </w:rPr>
            </w:pPr>
          </w:p>
        </w:tc>
        <w:tc>
          <w:tcPr>
            <w:tcW w:w="1217" w:type="dxa"/>
            <w:vAlign w:val="center"/>
          </w:tcPr>
          <w:p>
            <w:pPr>
              <w:rPr>
                <w:rFonts w:hint="eastAsia" w:ascii="宋体" w:hAnsi="宋体"/>
                <w:szCs w:val="21"/>
                <w:highlight w:val="none"/>
              </w:rPr>
            </w:pPr>
          </w:p>
        </w:tc>
        <w:tc>
          <w:tcPr>
            <w:tcW w:w="959" w:type="dxa"/>
            <w:vAlign w:val="center"/>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Arial"/>
                <w:b/>
                <w:szCs w:val="21"/>
                <w:highlight w:val="none"/>
              </w:rPr>
            </w:pPr>
            <w:r>
              <w:rPr>
                <w:rFonts w:hint="eastAsia" w:ascii="宋体" w:hAnsi="宋体" w:cs="Arial"/>
                <w:b/>
                <w:szCs w:val="21"/>
                <w:highlight w:val="none"/>
              </w:rPr>
              <w:t>4</w:t>
            </w:r>
          </w:p>
        </w:tc>
        <w:tc>
          <w:tcPr>
            <w:tcW w:w="2389" w:type="dxa"/>
            <w:tcMar>
              <w:left w:w="28" w:type="dxa"/>
              <w:right w:w="28" w:type="dxa"/>
            </w:tcMar>
            <w:vAlign w:val="center"/>
          </w:tcPr>
          <w:p>
            <w:pPr>
              <w:spacing w:line="360" w:lineRule="auto"/>
              <w:jc w:val="left"/>
              <w:rPr>
                <w:rFonts w:hint="eastAsia" w:ascii="宋体" w:hAnsi="宋体"/>
                <w:szCs w:val="21"/>
                <w:highlight w:val="none"/>
              </w:rPr>
            </w:pPr>
            <w:r>
              <w:rPr>
                <w:rFonts w:hint="eastAsia"/>
                <w:b/>
                <w:highlight w:val="none"/>
                <w:u w:val="single"/>
              </w:rPr>
              <w:t>低于成本价报价</w:t>
            </w:r>
          </w:p>
        </w:tc>
        <w:tc>
          <w:tcPr>
            <w:tcW w:w="2838" w:type="dxa"/>
            <w:tcMar>
              <w:left w:w="28" w:type="dxa"/>
              <w:right w:w="28" w:type="dxa"/>
            </w:tcMar>
            <w:vAlign w:val="center"/>
          </w:tcPr>
          <w:p>
            <w:pPr>
              <w:autoSpaceDE w:val="0"/>
              <w:autoSpaceDN w:val="0"/>
              <w:adjustRightInd w:val="0"/>
              <w:spacing w:line="360" w:lineRule="auto"/>
              <w:jc w:val="left"/>
              <w:rPr>
                <w:rFonts w:hint="eastAsia" w:ascii="宋体" w:hAnsi="宋体"/>
                <w:szCs w:val="21"/>
                <w:highlight w:val="none"/>
              </w:rPr>
            </w:pPr>
            <w:r>
              <w:rPr>
                <w:rFonts w:hint="eastAsia"/>
                <w:highlight w:val="none"/>
              </w:rPr>
              <w:t>（是否低于成本报价）</w:t>
            </w:r>
          </w:p>
        </w:tc>
        <w:tc>
          <w:tcPr>
            <w:tcW w:w="1146" w:type="dxa"/>
            <w:tcMar>
              <w:left w:w="28" w:type="dxa"/>
              <w:right w:w="28" w:type="dxa"/>
            </w:tcMar>
            <w:vAlign w:val="center"/>
          </w:tcPr>
          <w:p>
            <w:pPr>
              <w:rPr>
                <w:rFonts w:hint="eastAsia" w:ascii="宋体" w:hAnsi="宋体"/>
                <w:szCs w:val="21"/>
                <w:highlight w:val="none"/>
              </w:rPr>
            </w:pPr>
          </w:p>
        </w:tc>
        <w:tc>
          <w:tcPr>
            <w:tcW w:w="1217" w:type="dxa"/>
            <w:vAlign w:val="center"/>
          </w:tcPr>
          <w:p>
            <w:pPr>
              <w:rPr>
                <w:rFonts w:hint="eastAsia" w:ascii="宋体" w:hAnsi="宋体"/>
                <w:szCs w:val="21"/>
                <w:highlight w:val="none"/>
              </w:rPr>
            </w:pPr>
          </w:p>
        </w:tc>
        <w:tc>
          <w:tcPr>
            <w:tcW w:w="959" w:type="dxa"/>
            <w:vAlign w:val="center"/>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Arial"/>
                <w:b/>
                <w:szCs w:val="21"/>
                <w:highlight w:val="none"/>
              </w:rPr>
            </w:pPr>
            <w:r>
              <w:rPr>
                <w:rFonts w:hint="eastAsia" w:ascii="宋体" w:hAnsi="宋体" w:cs="Arial"/>
                <w:b/>
                <w:szCs w:val="21"/>
                <w:highlight w:val="none"/>
              </w:rPr>
              <w:t>5</w:t>
            </w:r>
          </w:p>
        </w:tc>
        <w:tc>
          <w:tcPr>
            <w:tcW w:w="2389" w:type="dxa"/>
            <w:tcMar>
              <w:left w:w="28" w:type="dxa"/>
              <w:right w:w="28" w:type="dxa"/>
            </w:tcMar>
            <w:vAlign w:val="center"/>
          </w:tcPr>
          <w:p>
            <w:pPr>
              <w:spacing w:line="360" w:lineRule="auto"/>
              <w:jc w:val="left"/>
              <w:rPr>
                <w:rFonts w:hint="eastAsia" w:ascii="宋体" w:hAnsi="宋体"/>
                <w:szCs w:val="21"/>
                <w:highlight w:val="none"/>
              </w:rPr>
            </w:pPr>
            <w:r>
              <w:rPr>
                <w:rFonts w:hint="eastAsia" w:ascii="宋体" w:hAnsi="宋体" w:cs="宋体"/>
                <w:b/>
                <w:highlight w:val="none"/>
              </w:rPr>
              <w:t>其他导致报价无效的条款</w:t>
            </w:r>
          </w:p>
        </w:tc>
        <w:tc>
          <w:tcPr>
            <w:tcW w:w="2838" w:type="dxa"/>
            <w:tcMar>
              <w:left w:w="28" w:type="dxa"/>
              <w:right w:w="28" w:type="dxa"/>
            </w:tcMar>
            <w:vAlign w:val="center"/>
          </w:tcPr>
          <w:p>
            <w:pPr>
              <w:autoSpaceDE w:val="0"/>
              <w:autoSpaceDN w:val="0"/>
              <w:adjustRightInd w:val="0"/>
              <w:spacing w:line="360" w:lineRule="auto"/>
              <w:jc w:val="left"/>
              <w:rPr>
                <w:rFonts w:hint="eastAsia" w:ascii="宋体" w:hAnsi="宋体"/>
                <w:szCs w:val="21"/>
                <w:highlight w:val="none"/>
              </w:rPr>
            </w:pPr>
            <w:r>
              <w:rPr>
                <w:rFonts w:hint="eastAsia" w:ascii="宋体" w:hAnsi="宋体" w:cs="宋体"/>
                <w:szCs w:val="21"/>
                <w:highlight w:val="none"/>
              </w:rPr>
              <w:t>（是否有其他导致报价无效的条款）</w:t>
            </w:r>
          </w:p>
        </w:tc>
        <w:tc>
          <w:tcPr>
            <w:tcW w:w="1146" w:type="dxa"/>
            <w:tcMar>
              <w:left w:w="28" w:type="dxa"/>
              <w:right w:w="28" w:type="dxa"/>
            </w:tcMar>
            <w:vAlign w:val="center"/>
          </w:tcPr>
          <w:p>
            <w:pPr>
              <w:rPr>
                <w:rFonts w:hint="eastAsia" w:ascii="宋体" w:hAnsi="宋体"/>
                <w:szCs w:val="21"/>
                <w:highlight w:val="none"/>
              </w:rPr>
            </w:pPr>
          </w:p>
        </w:tc>
        <w:tc>
          <w:tcPr>
            <w:tcW w:w="1217" w:type="dxa"/>
            <w:vAlign w:val="center"/>
          </w:tcPr>
          <w:p>
            <w:pPr>
              <w:rPr>
                <w:rFonts w:hint="eastAsia" w:ascii="宋体" w:hAnsi="宋体"/>
                <w:szCs w:val="21"/>
                <w:highlight w:val="none"/>
              </w:rPr>
            </w:pPr>
          </w:p>
        </w:tc>
        <w:tc>
          <w:tcPr>
            <w:tcW w:w="959" w:type="dxa"/>
            <w:vAlign w:val="center"/>
          </w:tcPr>
          <w:p>
            <w:pPr>
              <w:rPr>
                <w:rFonts w:hint="eastAsia" w:ascii="宋体" w:hAnsi="宋体"/>
                <w:szCs w:val="21"/>
                <w:highlight w:val="none"/>
              </w:rPr>
            </w:pPr>
          </w:p>
        </w:tc>
      </w:tr>
    </w:tbl>
    <w:p>
      <w:pPr>
        <w:pStyle w:val="5"/>
        <w:rPr>
          <w:highlight w:val="none"/>
        </w:rPr>
      </w:pPr>
    </w:p>
    <w:tbl>
      <w:tblPr>
        <w:tblStyle w:val="25"/>
        <w:tblW w:w="8979" w:type="dxa"/>
        <w:tblInd w:w="0" w:type="dxa"/>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Layout w:type="fixed"/>
        <w:tblCellMar>
          <w:top w:w="150" w:type="dxa"/>
          <w:left w:w="150" w:type="dxa"/>
          <w:bottom w:w="150" w:type="dxa"/>
          <w:right w:w="150" w:type="dxa"/>
        </w:tblCellMar>
      </w:tblPr>
      <w:tblGrid>
        <w:gridCol w:w="780"/>
        <w:gridCol w:w="6024"/>
        <w:gridCol w:w="1020"/>
        <w:gridCol w:w="1155"/>
      </w:tblGrid>
      <w:tr>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cantSplit/>
        </w:trPr>
        <w:tc>
          <w:tcPr>
            <w:tcW w:w="780" w:type="dxa"/>
            <w:tcBorders>
              <w:top w:val="outset" w:color="111111" w:sz="6" w:space="0"/>
              <w:left w:val="outset" w:color="111111" w:sz="6" w:space="0"/>
              <w:bottom w:val="outset" w:color="111111" w:sz="6" w:space="0"/>
              <w:right w:val="outset" w:color="111111" w:sz="6" w:space="0"/>
            </w:tcBorders>
            <w:vAlign w:val="center"/>
          </w:tcPr>
          <w:p>
            <w:pPr>
              <w:jc w:val="center"/>
              <w:rPr>
                <w:rFonts w:hint="eastAsia" w:ascii="宋体" w:hAnsi="宋体" w:cs="宋体"/>
                <w:color w:val="000000"/>
                <w:sz w:val="24"/>
                <w:highlight w:val="none"/>
              </w:rPr>
            </w:pPr>
            <w:permStart w:id="34" w:edGrp="everyone"/>
            <w:r>
              <w:rPr>
                <w:b/>
                <w:bCs/>
                <w:color w:val="000000"/>
                <w:highlight w:val="none"/>
              </w:rPr>
              <w:t>内容</w:t>
            </w:r>
          </w:p>
        </w:tc>
        <w:tc>
          <w:tcPr>
            <w:tcW w:w="6024" w:type="dxa"/>
            <w:tcBorders>
              <w:top w:val="outset" w:color="111111" w:sz="6" w:space="0"/>
              <w:left w:val="outset" w:color="111111" w:sz="6" w:space="0"/>
              <w:bottom w:val="outset" w:color="111111" w:sz="6" w:space="0"/>
              <w:right w:val="outset" w:color="111111" w:sz="6" w:space="0"/>
            </w:tcBorders>
            <w:vAlign w:val="center"/>
          </w:tcPr>
          <w:p>
            <w:pPr>
              <w:jc w:val="center"/>
              <w:rPr>
                <w:b/>
                <w:bCs/>
                <w:color w:val="000000"/>
                <w:highlight w:val="none"/>
              </w:rPr>
            </w:pPr>
            <w:r>
              <w:rPr>
                <w:rFonts w:hint="eastAsia"/>
                <w:b/>
                <w:bCs/>
                <w:color w:val="000000"/>
                <w:highlight w:val="none"/>
              </w:rPr>
              <w:t>响应</w:t>
            </w:r>
            <w:r>
              <w:rPr>
                <w:b/>
                <w:bCs/>
                <w:color w:val="000000"/>
                <w:highlight w:val="none"/>
              </w:rPr>
              <w:t>文件要求</w:t>
            </w:r>
          </w:p>
          <w:p>
            <w:pPr>
              <w:jc w:val="center"/>
              <w:rPr>
                <w:rFonts w:hint="eastAsia" w:ascii="宋体" w:hAnsi="宋体" w:cs="宋体"/>
                <w:color w:val="000000"/>
                <w:sz w:val="24"/>
                <w:highlight w:val="none"/>
              </w:rPr>
            </w:pPr>
          </w:p>
        </w:tc>
        <w:tc>
          <w:tcPr>
            <w:tcW w:w="1020" w:type="dxa"/>
            <w:tcBorders>
              <w:top w:val="outset" w:color="111111" w:sz="6" w:space="0"/>
              <w:left w:val="outset" w:color="111111" w:sz="6" w:space="0"/>
              <w:bottom w:val="outset" w:color="111111" w:sz="6" w:space="0"/>
              <w:right w:val="outset" w:color="111111" w:sz="6" w:space="0"/>
            </w:tcBorders>
          </w:tcPr>
          <w:p>
            <w:pPr>
              <w:jc w:val="center"/>
              <w:rPr>
                <w:b/>
                <w:bCs/>
                <w:color w:val="000000"/>
                <w:highlight w:val="none"/>
              </w:rPr>
            </w:pPr>
            <w:r>
              <w:rPr>
                <w:rFonts w:hint="eastAsia"/>
                <w:b/>
                <w:bCs/>
                <w:color w:val="000000"/>
                <w:highlight w:val="none"/>
              </w:rPr>
              <w:t>响应文件的响应</w:t>
            </w:r>
          </w:p>
        </w:tc>
        <w:tc>
          <w:tcPr>
            <w:tcW w:w="1155" w:type="dxa"/>
            <w:tcBorders>
              <w:top w:val="outset" w:color="111111" w:sz="6" w:space="0"/>
              <w:left w:val="outset" w:color="111111" w:sz="6" w:space="0"/>
              <w:bottom w:val="outset" w:color="111111" w:sz="6" w:space="0"/>
              <w:right w:val="outset" w:color="111111" w:sz="6" w:space="0"/>
            </w:tcBorders>
            <w:vAlign w:val="center"/>
          </w:tcPr>
          <w:p>
            <w:pPr>
              <w:jc w:val="center"/>
              <w:rPr>
                <w:b/>
                <w:bCs/>
                <w:color w:val="000000"/>
                <w:highlight w:val="none"/>
              </w:rPr>
            </w:pPr>
            <w:r>
              <w:rPr>
                <w:b/>
                <w:bCs/>
                <w:color w:val="000000"/>
                <w:highlight w:val="none"/>
              </w:rPr>
              <w:t>证明资料</w:t>
            </w:r>
            <w:r>
              <w:rPr>
                <w:rFonts w:hint="eastAsia"/>
                <w:b/>
                <w:bCs/>
                <w:color w:val="000000"/>
                <w:highlight w:val="none"/>
              </w:rPr>
              <w:t>页码（如有）</w:t>
            </w:r>
          </w:p>
        </w:tc>
      </w:tr>
      <w:tr>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cantSplit/>
        </w:trPr>
        <w:tc>
          <w:tcPr>
            <w:tcW w:w="780" w:type="dxa"/>
            <w:vMerge w:val="restart"/>
            <w:tcBorders>
              <w:top w:val="outset" w:color="111111" w:sz="6" w:space="0"/>
              <w:left w:val="outset" w:color="111111" w:sz="6" w:space="0"/>
              <w:right w:val="outset" w:color="111111" w:sz="6" w:space="0"/>
            </w:tcBorders>
            <w:vAlign w:val="center"/>
          </w:tcPr>
          <w:p>
            <w:pPr>
              <w:widowControl/>
              <w:spacing w:before="100" w:beforeAutospacing="1" w:after="100" w:afterAutospacing="1"/>
              <w:jc w:val="center"/>
              <w:rPr>
                <w:rFonts w:hint="eastAsia" w:ascii="宋体" w:hAnsi="宋体" w:cs="宋体"/>
                <w:kern w:val="0"/>
                <w:sz w:val="24"/>
                <w:highlight w:val="none"/>
              </w:rPr>
            </w:pPr>
            <w:r>
              <w:rPr>
                <w:rFonts w:hint="eastAsia" w:ascii="宋体" w:hAnsi="宋体" w:cs="宋体"/>
                <w:kern w:val="0"/>
                <w:sz w:val="24"/>
                <w:highlight w:val="none"/>
              </w:rPr>
              <w:t>供应商资格要求</w:t>
            </w:r>
          </w:p>
        </w:tc>
        <w:tc>
          <w:tcPr>
            <w:tcW w:w="6024" w:type="dxa"/>
            <w:tcBorders>
              <w:top w:val="outset" w:color="111111" w:sz="6" w:space="0"/>
              <w:left w:val="outset" w:color="111111" w:sz="6" w:space="0"/>
              <w:bottom w:val="outset" w:color="111111" w:sz="6" w:space="0"/>
              <w:right w:val="outset" w:color="111111" w:sz="6" w:space="0"/>
            </w:tcBorders>
            <w:vAlign w:val="center"/>
          </w:tcPr>
          <w:p>
            <w:pPr>
              <w:widowControl/>
              <w:jc w:val="left"/>
              <w:rPr>
                <w:color w:val="000000"/>
                <w:highlight w:val="none"/>
              </w:rPr>
            </w:pPr>
            <w:r>
              <w:rPr>
                <w:rFonts w:hint="eastAsia" w:ascii="宋体" w:hAnsi="宋体" w:cs="宋体"/>
                <w:szCs w:val="21"/>
                <w:highlight w:val="none"/>
                <w:lang w:bidi="ar"/>
              </w:rPr>
              <w:t>挂牌【】星（含）以上且携程评分【】分（含）以上酒店或携程评级【】钻/【】型（含）以上且携程评分【】分（含）以上酒店（提供酒店星级评定证书或携程评级、评分截图作为证明材料）</w:t>
            </w:r>
          </w:p>
        </w:tc>
        <w:tc>
          <w:tcPr>
            <w:tcW w:w="1020" w:type="dxa"/>
            <w:tcBorders>
              <w:top w:val="outset" w:color="111111" w:sz="6" w:space="0"/>
              <w:left w:val="outset" w:color="111111" w:sz="6" w:space="0"/>
              <w:bottom w:val="outset" w:color="111111" w:sz="6" w:space="0"/>
              <w:right w:val="outset" w:color="111111" w:sz="6" w:space="0"/>
            </w:tcBorders>
          </w:tcPr>
          <w:p>
            <w:pPr>
              <w:jc w:val="center"/>
              <w:rPr>
                <w:b/>
                <w:bCs/>
                <w:color w:val="000000"/>
                <w:highlight w:val="none"/>
              </w:rPr>
            </w:pPr>
          </w:p>
        </w:tc>
        <w:tc>
          <w:tcPr>
            <w:tcW w:w="1155" w:type="dxa"/>
            <w:tcBorders>
              <w:top w:val="outset" w:color="111111" w:sz="6" w:space="0"/>
              <w:left w:val="outset" w:color="111111" w:sz="6" w:space="0"/>
              <w:bottom w:val="outset" w:color="111111" w:sz="6" w:space="0"/>
              <w:right w:val="outset" w:color="111111" w:sz="6" w:space="0"/>
            </w:tcBorders>
            <w:vAlign w:val="center"/>
          </w:tcPr>
          <w:p>
            <w:pPr>
              <w:jc w:val="center"/>
              <w:rPr>
                <w:b/>
                <w:bCs/>
                <w:color w:val="000000"/>
                <w:highlight w:val="none"/>
              </w:rPr>
            </w:pPr>
            <w:r>
              <w:rPr>
                <w:color w:val="000000"/>
                <w:highlight w:val="none"/>
              </w:rPr>
              <w:t>第（ ）页</w:t>
            </w:r>
          </w:p>
        </w:tc>
      </w:tr>
      <w:tr>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cantSplit/>
          <w:trHeight w:val="1400" w:hRule="atLeast"/>
        </w:trPr>
        <w:tc>
          <w:tcPr>
            <w:tcW w:w="780" w:type="dxa"/>
            <w:vMerge w:val="continue"/>
            <w:tcBorders>
              <w:left w:val="outset" w:color="111111" w:sz="6" w:space="0"/>
              <w:right w:val="outset" w:color="111111" w:sz="6" w:space="0"/>
            </w:tcBorders>
            <w:vAlign w:val="center"/>
          </w:tcPr>
          <w:p>
            <w:pPr>
              <w:widowControl/>
              <w:spacing w:before="100" w:beforeAutospacing="1" w:after="100" w:afterAutospacing="1"/>
              <w:jc w:val="center"/>
              <w:rPr>
                <w:rFonts w:hint="eastAsia" w:ascii="宋体" w:hAnsi="宋体" w:cs="宋体"/>
                <w:kern w:val="0"/>
                <w:sz w:val="24"/>
                <w:highlight w:val="none"/>
              </w:rPr>
            </w:pPr>
          </w:p>
        </w:tc>
        <w:tc>
          <w:tcPr>
            <w:tcW w:w="6024" w:type="dxa"/>
            <w:tcBorders>
              <w:top w:val="outset" w:color="111111" w:sz="6" w:space="0"/>
              <w:left w:val="outset" w:color="111111" w:sz="6" w:space="0"/>
              <w:bottom w:val="outset" w:color="111111" w:sz="6" w:space="0"/>
              <w:right w:val="outset" w:color="111111" w:sz="6" w:space="0"/>
            </w:tcBorders>
          </w:tcPr>
          <w:p>
            <w:pPr>
              <w:rPr>
                <w:highlight w:val="none"/>
              </w:rPr>
            </w:pPr>
            <w:r>
              <w:rPr>
                <w:rFonts w:hint="eastAsia" w:ascii="宋体" w:hAnsi="宋体"/>
                <w:bCs/>
                <w:szCs w:val="21"/>
                <w:highlight w:val="none"/>
              </w:rPr>
              <w:t>供应商</w:t>
            </w:r>
            <w:r>
              <w:rPr>
                <w:rFonts w:hint="eastAsia" w:ascii="宋体" w:hAnsi="宋体" w:cs="宋体"/>
                <w:szCs w:val="21"/>
                <w:highlight w:val="none"/>
              </w:rPr>
              <w:t>必须是具有独立承担民事责任能力的在中华人民共和国境内（不含港澳台）注册的法人或其他组织</w:t>
            </w:r>
            <w:r>
              <w:rPr>
                <w:rFonts w:hint="eastAsia" w:ascii="宋体" w:hAnsi="宋体"/>
                <w:szCs w:val="21"/>
                <w:highlight w:val="none"/>
              </w:rPr>
              <w:t>，</w:t>
            </w:r>
            <w:r>
              <w:rPr>
                <w:rFonts w:hint="eastAsia" w:ascii="宋体" w:hAnsi="宋体" w:cs="宋体"/>
                <w:szCs w:val="21"/>
                <w:highlight w:val="none"/>
              </w:rPr>
              <w:t>具备合法有效的营业执照。（注意：须提供营业执照扫描件，如营业执照不能体现完整经营范围的，还须提供工商行政管理部门公示的企业信用信息网页截图；二者均应加盖公章。）</w:t>
            </w:r>
          </w:p>
        </w:tc>
        <w:tc>
          <w:tcPr>
            <w:tcW w:w="1020" w:type="dxa"/>
            <w:tcBorders>
              <w:top w:val="outset" w:color="111111" w:sz="6" w:space="0"/>
              <w:left w:val="outset" w:color="111111" w:sz="6" w:space="0"/>
              <w:bottom w:val="outset" w:color="111111" w:sz="6" w:space="0"/>
              <w:right w:val="outset" w:color="111111" w:sz="6" w:space="0"/>
            </w:tcBorders>
          </w:tcPr>
          <w:p>
            <w:pPr>
              <w:rPr>
                <w:color w:val="000000"/>
                <w:highlight w:val="none"/>
              </w:rPr>
            </w:pPr>
          </w:p>
        </w:tc>
        <w:tc>
          <w:tcPr>
            <w:tcW w:w="1155" w:type="dxa"/>
            <w:tcBorders>
              <w:top w:val="outset" w:color="111111" w:sz="6" w:space="0"/>
              <w:left w:val="outset" w:color="111111" w:sz="6" w:space="0"/>
              <w:bottom w:val="outset" w:color="111111" w:sz="6" w:space="0"/>
              <w:right w:val="outset" w:color="111111" w:sz="6" w:space="0"/>
            </w:tcBorders>
            <w:vAlign w:val="center"/>
          </w:tcPr>
          <w:p>
            <w:pPr>
              <w:rPr>
                <w:rFonts w:hint="eastAsia" w:ascii="宋体" w:hAnsi="宋体" w:cs="宋体"/>
                <w:color w:val="000000"/>
                <w:sz w:val="24"/>
                <w:highlight w:val="none"/>
              </w:rPr>
            </w:pPr>
            <w:r>
              <w:rPr>
                <w:color w:val="000000"/>
                <w:highlight w:val="none"/>
              </w:rPr>
              <w:t>第（ ）页</w:t>
            </w:r>
          </w:p>
        </w:tc>
      </w:tr>
      <w:tr>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cantSplit/>
          <w:trHeight w:val="257" w:hRule="atLeast"/>
        </w:trPr>
        <w:tc>
          <w:tcPr>
            <w:tcW w:w="780" w:type="dxa"/>
            <w:vMerge w:val="continue"/>
            <w:tcBorders>
              <w:left w:val="outset" w:color="111111" w:sz="6" w:space="0"/>
              <w:right w:val="outset" w:color="111111" w:sz="6" w:space="0"/>
            </w:tcBorders>
            <w:vAlign w:val="center"/>
          </w:tcPr>
          <w:p>
            <w:pPr>
              <w:rPr>
                <w:rFonts w:hint="eastAsia" w:ascii="宋体" w:hAnsi="宋体" w:cs="宋体"/>
                <w:color w:val="000000"/>
                <w:sz w:val="24"/>
                <w:highlight w:val="none"/>
              </w:rPr>
            </w:pPr>
          </w:p>
        </w:tc>
        <w:tc>
          <w:tcPr>
            <w:tcW w:w="6024" w:type="dxa"/>
            <w:tcBorders>
              <w:top w:val="outset" w:color="111111" w:sz="6" w:space="0"/>
              <w:left w:val="outset" w:color="111111" w:sz="6" w:space="0"/>
              <w:bottom w:val="outset" w:color="111111" w:sz="6" w:space="0"/>
              <w:right w:val="outset" w:color="111111" w:sz="6" w:space="0"/>
            </w:tcBorders>
          </w:tcPr>
          <w:p>
            <w:pPr>
              <w:rPr>
                <w:highlight w:val="none"/>
              </w:rPr>
            </w:pPr>
            <w:r>
              <w:rPr>
                <w:rFonts w:hint="eastAsia"/>
                <w:highlight w:val="none"/>
              </w:rPr>
              <w:t>供应商在经营活动中未列入“严重违法失信企业名单（黑名单）信息”（注意：须提供国家企业信用信息公示系统中此项完整内容截图或报告）或“严重失信主体名单”（注意：须提供信用中国网站中此项完整内容截图或报告）”，或者在响应文件递交截止日前已被移除出黑名单或失信主体名单。（采购人</w:t>
            </w:r>
            <w:r>
              <w:rPr>
                <w:rFonts w:hint="eastAsia" w:ascii="宋体" w:hAnsi="宋体" w:cs="宋体"/>
                <w:szCs w:val="21"/>
                <w:highlight w:val="none"/>
              </w:rPr>
              <w:t>或采购代理机构</w:t>
            </w:r>
            <w:r>
              <w:rPr>
                <w:rFonts w:hint="eastAsia" w:ascii="宋体" w:hAnsi="宋体" w:cs="宋体"/>
                <w:color w:val="000000"/>
                <w:szCs w:val="21"/>
                <w:highlight w:val="none"/>
                <w:shd w:val="clear" w:color="auto" w:fill="FFFFFF"/>
              </w:rPr>
              <w:t>仅以国家企业信用信息公示系统或信用中国网站显示信息为准进行形式审查并作为认定依据，其他网站或文件不作为认定依据。</w:t>
            </w:r>
            <w:r>
              <w:rPr>
                <w:rFonts w:hint="eastAsia"/>
                <w:highlight w:val="none"/>
              </w:rPr>
              <w:t>）</w:t>
            </w:r>
            <w:r>
              <w:rPr>
                <w:rFonts w:hint="eastAsia" w:ascii="宋体" w:hAnsi="宋体" w:cs="宋体"/>
                <w:color w:val="000000"/>
                <w:szCs w:val="21"/>
                <w:highlight w:val="none"/>
                <w:shd w:val="clear" w:color="auto" w:fill="FFFFFF"/>
              </w:rPr>
              <w:t>以上两项证明材料可一并提供或择一提供。如择一提供，视为供应商承诺均不在两项名单中；任何时候，如经采购人或采购代理机构查询发现供应商在任一名单内的，视为供应商提供虚假材料。境外企业、港澳台地区企业及国内事业单位无需提供本款规定的材料。</w:t>
            </w:r>
          </w:p>
        </w:tc>
        <w:tc>
          <w:tcPr>
            <w:tcW w:w="1020" w:type="dxa"/>
            <w:tcBorders>
              <w:top w:val="outset" w:color="111111" w:sz="6" w:space="0"/>
              <w:left w:val="outset" w:color="111111" w:sz="6" w:space="0"/>
              <w:bottom w:val="outset" w:color="111111" w:sz="6" w:space="0"/>
              <w:right w:val="outset" w:color="111111" w:sz="6" w:space="0"/>
            </w:tcBorders>
          </w:tcPr>
          <w:p>
            <w:pPr>
              <w:rPr>
                <w:color w:val="000000"/>
                <w:highlight w:val="none"/>
              </w:rPr>
            </w:pPr>
          </w:p>
        </w:tc>
        <w:tc>
          <w:tcPr>
            <w:tcW w:w="1155" w:type="dxa"/>
            <w:tcBorders>
              <w:top w:val="outset" w:color="111111" w:sz="6" w:space="0"/>
              <w:left w:val="outset" w:color="111111" w:sz="6" w:space="0"/>
              <w:bottom w:val="outset" w:color="111111" w:sz="6" w:space="0"/>
              <w:right w:val="outset" w:color="111111" w:sz="6" w:space="0"/>
            </w:tcBorders>
            <w:vAlign w:val="center"/>
          </w:tcPr>
          <w:p>
            <w:pPr>
              <w:rPr>
                <w:rFonts w:hint="eastAsia" w:ascii="宋体" w:hAnsi="宋体" w:cs="宋体"/>
                <w:color w:val="000000"/>
                <w:sz w:val="24"/>
                <w:highlight w:val="none"/>
              </w:rPr>
            </w:pPr>
            <w:r>
              <w:rPr>
                <w:color w:val="000000"/>
                <w:highlight w:val="none"/>
              </w:rPr>
              <w:t>第（ ）页</w:t>
            </w:r>
          </w:p>
        </w:tc>
      </w:tr>
      <w:tr>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cantSplit/>
          <w:trHeight w:val="257" w:hRule="atLeast"/>
        </w:trPr>
        <w:tc>
          <w:tcPr>
            <w:tcW w:w="780" w:type="dxa"/>
            <w:vMerge w:val="continue"/>
            <w:tcBorders>
              <w:left w:val="outset" w:color="111111" w:sz="6" w:space="0"/>
              <w:right w:val="outset" w:color="111111" w:sz="6" w:space="0"/>
            </w:tcBorders>
            <w:vAlign w:val="center"/>
          </w:tcPr>
          <w:p>
            <w:pPr>
              <w:rPr>
                <w:rFonts w:hint="eastAsia" w:ascii="宋体" w:hAnsi="宋体" w:cs="宋体"/>
                <w:color w:val="000000"/>
                <w:sz w:val="24"/>
                <w:highlight w:val="none"/>
              </w:rPr>
            </w:pPr>
          </w:p>
        </w:tc>
        <w:tc>
          <w:tcPr>
            <w:tcW w:w="6024" w:type="dxa"/>
            <w:tcBorders>
              <w:top w:val="outset" w:color="111111" w:sz="6" w:space="0"/>
              <w:left w:val="outset" w:color="111111" w:sz="6" w:space="0"/>
              <w:bottom w:val="outset" w:color="111111" w:sz="6" w:space="0"/>
              <w:right w:val="outset" w:color="111111" w:sz="6" w:space="0"/>
            </w:tcBorders>
          </w:tcPr>
          <w:p>
            <w:pPr>
              <w:rPr>
                <w:highlight w:val="none"/>
              </w:rPr>
            </w:pPr>
            <w:r>
              <w:rPr>
                <w:rFonts w:hint="eastAsia" w:ascii="宋体" w:hAnsi="宋体" w:cs="宋体"/>
                <w:szCs w:val="21"/>
                <w:highlight w:val="none"/>
              </w:rPr>
              <w:t>供应商能开具符合国家规定的增值税专用发票。</w:t>
            </w:r>
            <w:r>
              <w:rPr>
                <w:rFonts w:hint="eastAsia" w:ascii="宋体" w:hAnsi="宋体" w:cs="宋体"/>
                <w:szCs w:val="21"/>
                <w:highlight w:val="none"/>
                <w:lang w:eastAsia="zh"/>
              </w:rPr>
              <w:t>【</w:t>
            </w:r>
            <w:r>
              <w:rPr>
                <w:rFonts w:hint="eastAsia" w:ascii="宋体" w:hAnsi="宋体" w:cs="宋体"/>
                <w:szCs w:val="21"/>
                <w:highlight w:val="none"/>
              </w:rPr>
              <w:t>其中，供应商无运输资质无法开具运输项目9%专用发票的，可以接受其主业税目对应税率的专用发票（如酒店开具住宿6%的专用发票）。另外，餐饮服务不可抵扣，应继续开具普通发票</w:t>
            </w:r>
            <w:r>
              <w:rPr>
                <w:rFonts w:hint="eastAsia" w:ascii="宋体" w:hAnsi="宋体" w:cs="宋体"/>
                <w:szCs w:val="21"/>
                <w:highlight w:val="none"/>
                <w:lang w:eastAsia="zh"/>
              </w:rPr>
              <w:t>。】</w:t>
            </w:r>
            <w:r>
              <w:rPr>
                <w:rFonts w:hint="eastAsia" w:ascii="宋体" w:hAnsi="宋体" w:cs="宋体"/>
                <w:szCs w:val="21"/>
                <w:highlight w:val="none"/>
              </w:rPr>
              <w:t>【注意：须</w:t>
            </w:r>
            <w:r>
              <w:rPr>
                <w:rFonts w:hint="eastAsia" w:ascii="宋体" w:hAnsi="宋体" w:cs="宋体"/>
                <w:color w:val="000000"/>
                <w:szCs w:val="21"/>
                <w:highlight w:val="none"/>
                <w:shd w:val="clear" w:color="auto" w:fill="FFFFFF"/>
              </w:rPr>
              <w:t>提供</w:t>
            </w:r>
            <w:r>
              <w:rPr>
                <w:rFonts w:hint="eastAsia" w:ascii="宋体" w:hAnsi="宋体" w:cs="宋体"/>
                <w:szCs w:val="21"/>
                <w:highlight w:val="none"/>
                <w:shd w:val="clear" w:color="auto" w:fill="FFFFFF"/>
              </w:rPr>
              <w:t>近【】年内（【】年【】月【】日至响应截止日）</w:t>
            </w:r>
            <w:r>
              <w:rPr>
                <w:rFonts w:hint="eastAsia" w:ascii="宋体" w:hAnsi="宋体" w:cs="宋体"/>
                <w:color w:val="000000"/>
                <w:szCs w:val="21"/>
                <w:highlight w:val="none"/>
                <w:shd w:val="clear" w:color="auto" w:fill="FFFFFF"/>
              </w:rPr>
              <w:t>开具</w:t>
            </w:r>
            <w:r>
              <w:rPr>
                <w:rFonts w:hint="eastAsia" w:ascii="宋体" w:hAnsi="宋体" w:cs="宋体"/>
                <w:szCs w:val="21"/>
                <w:highlight w:val="none"/>
                <w:shd w:val="clear" w:color="auto" w:fill="FFFFFF"/>
              </w:rPr>
              <w:t>的对应项目</w:t>
            </w:r>
            <w:r>
              <w:rPr>
                <w:rFonts w:hint="eastAsia" w:ascii="宋体" w:hAnsi="宋体" w:cs="宋体"/>
                <w:color w:val="000000"/>
                <w:szCs w:val="21"/>
                <w:highlight w:val="none"/>
                <w:shd w:val="clear" w:color="auto" w:fill="FFFFFF"/>
              </w:rPr>
              <w:t>增值税专用发票扫描件，及该发票在“国家税务总局全国增值税发票检验平台”上的检验截图并加盖公章</w:t>
            </w:r>
            <w:r>
              <w:rPr>
                <w:rFonts w:hint="eastAsia" w:ascii="宋体" w:hAnsi="宋体" w:cs="宋体"/>
                <w:color w:val="000000"/>
                <w:szCs w:val="21"/>
                <w:highlight w:val="none"/>
                <w:shd w:val="clear" w:color="auto" w:fill="FFFFFF"/>
                <w:lang w:eastAsia="zh"/>
              </w:rPr>
              <w:t>。</w:t>
            </w:r>
            <w:r>
              <w:rPr>
                <w:rFonts w:hint="eastAsia" w:ascii="宋体" w:hAnsi="宋体" w:cs="宋体"/>
                <w:szCs w:val="21"/>
                <w:highlight w:val="none"/>
              </w:rPr>
              <w:t>】</w:t>
            </w:r>
          </w:p>
        </w:tc>
        <w:tc>
          <w:tcPr>
            <w:tcW w:w="1020" w:type="dxa"/>
            <w:tcBorders>
              <w:top w:val="outset" w:color="111111" w:sz="6" w:space="0"/>
              <w:left w:val="outset" w:color="111111" w:sz="6" w:space="0"/>
              <w:bottom w:val="outset" w:color="111111" w:sz="6" w:space="0"/>
              <w:right w:val="outset" w:color="111111" w:sz="6" w:space="0"/>
            </w:tcBorders>
          </w:tcPr>
          <w:p>
            <w:pPr>
              <w:rPr>
                <w:color w:val="000000"/>
                <w:highlight w:val="none"/>
              </w:rPr>
            </w:pPr>
          </w:p>
        </w:tc>
        <w:tc>
          <w:tcPr>
            <w:tcW w:w="1155" w:type="dxa"/>
            <w:tcBorders>
              <w:top w:val="outset" w:color="111111" w:sz="6" w:space="0"/>
              <w:left w:val="outset" w:color="111111" w:sz="6" w:space="0"/>
              <w:bottom w:val="outset" w:color="111111" w:sz="6" w:space="0"/>
              <w:right w:val="outset" w:color="111111" w:sz="6" w:space="0"/>
            </w:tcBorders>
            <w:vAlign w:val="center"/>
          </w:tcPr>
          <w:p>
            <w:pPr>
              <w:rPr>
                <w:color w:val="000000"/>
                <w:highlight w:val="none"/>
              </w:rPr>
            </w:pPr>
          </w:p>
        </w:tc>
      </w:tr>
      <w:tr>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cantSplit/>
          <w:trHeight w:val="257" w:hRule="atLeast"/>
        </w:trPr>
        <w:tc>
          <w:tcPr>
            <w:tcW w:w="780" w:type="dxa"/>
            <w:vMerge w:val="continue"/>
            <w:tcBorders>
              <w:left w:val="outset" w:color="111111" w:sz="6" w:space="0"/>
              <w:right w:val="outset" w:color="111111" w:sz="6" w:space="0"/>
            </w:tcBorders>
            <w:vAlign w:val="center"/>
          </w:tcPr>
          <w:p>
            <w:pPr>
              <w:rPr>
                <w:rFonts w:hint="eastAsia" w:ascii="宋体" w:hAnsi="宋体" w:cs="宋体"/>
                <w:color w:val="000000"/>
                <w:sz w:val="24"/>
                <w:highlight w:val="none"/>
              </w:rPr>
            </w:pPr>
          </w:p>
        </w:tc>
        <w:tc>
          <w:tcPr>
            <w:tcW w:w="6024" w:type="dxa"/>
            <w:tcBorders>
              <w:top w:val="outset" w:color="111111" w:sz="6" w:space="0"/>
              <w:left w:val="outset" w:color="111111" w:sz="6" w:space="0"/>
              <w:bottom w:val="outset" w:color="111111" w:sz="6" w:space="0"/>
              <w:right w:val="outset" w:color="111111" w:sz="6" w:space="0"/>
            </w:tcBorders>
          </w:tcPr>
          <w:p>
            <w:pPr>
              <w:rPr>
                <w:highlight w:val="none"/>
              </w:rPr>
            </w:pPr>
            <w:r>
              <w:rPr>
                <w:rFonts w:hint="eastAsia" w:ascii="宋体" w:hAnsi="宋体" w:cs="宋体"/>
                <w:szCs w:val="21"/>
                <w:highlight w:val="none"/>
              </w:rPr>
              <w:t>供应商距离</w:t>
            </w:r>
            <w:r>
              <w:rPr>
                <w:rFonts w:hint="eastAsia" w:ascii="宋体" w:hAnsi="宋体" w:cs="宋体"/>
                <w:szCs w:val="21"/>
                <w:highlight w:val="none"/>
                <w:lang w:eastAsia="zh"/>
              </w:rPr>
              <w:t>【×××】机场【T×</w:t>
            </w:r>
            <w:r>
              <w:rPr>
                <w:rFonts w:hint="eastAsia" w:ascii="宋体" w:hAnsi="宋体" w:cs="宋体"/>
                <w:szCs w:val="21"/>
                <w:highlight w:val="none"/>
              </w:rPr>
              <w:t>航站楼</w:t>
            </w:r>
            <w:r>
              <w:rPr>
                <w:rFonts w:hint="eastAsia" w:ascii="宋体" w:hAnsi="宋体" w:cs="宋体"/>
                <w:szCs w:val="21"/>
                <w:highlight w:val="none"/>
                <w:lang w:eastAsia="zh"/>
              </w:rPr>
              <w:t>】</w:t>
            </w:r>
            <w:r>
              <w:rPr>
                <w:rFonts w:hint="eastAsia" w:ascii="宋体" w:hAnsi="宋体" w:cs="宋体"/>
                <w:color w:val="0000FF"/>
                <w:szCs w:val="21"/>
                <w:highlight w:val="none"/>
              </w:rPr>
              <w:t>（若</w:t>
            </w:r>
            <w:r>
              <w:rPr>
                <w:rFonts w:hint="eastAsia" w:ascii="宋体" w:hAnsi="宋体" w:cs="宋体"/>
                <w:color w:val="0000FF"/>
                <w:szCs w:val="21"/>
                <w:highlight w:val="none"/>
                <w:lang w:eastAsia="zh"/>
              </w:rPr>
              <w:t>没有多个航站楼可删除</w:t>
            </w:r>
            <w:r>
              <w:rPr>
                <w:rFonts w:hint="eastAsia" w:ascii="宋体" w:hAnsi="宋体" w:cs="宋体"/>
                <w:color w:val="0000FF"/>
                <w:szCs w:val="21"/>
                <w:highlight w:val="none"/>
              </w:rPr>
              <w:t>），</w:t>
            </w:r>
            <w:r>
              <w:rPr>
                <w:rFonts w:hint="eastAsia" w:ascii="宋体" w:hAnsi="宋体" w:cs="宋体"/>
                <w:szCs w:val="21"/>
                <w:highlight w:val="none"/>
                <w:shd w:val="clear" w:color="auto" w:fill="FFFFFF"/>
              </w:rPr>
              <w:t>单程</w:t>
            </w:r>
            <w:r>
              <w:rPr>
                <w:rFonts w:hint="eastAsia" w:ascii="宋体" w:hAnsi="宋体" w:cs="宋体"/>
                <w:szCs w:val="21"/>
                <w:highlight w:val="none"/>
              </w:rPr>
              <w:t>车程时间在</w:t>
            </w:r>
            <w:r>
              <w:rPr>
                <w:rFonts w:hint="eastAsia" w:ascii="宋体" w:hAnsi="宋体" w:cs="宋体"/>
                <w:szCs w:val="21"/>
                <w:highlight w:val="none"/>
                <w:shd w:val="clear" w:color="auto" w:fill="FFFFFF"/>
              </w:rPr>
              <w:t>【30】</w:t>
            </w:r>
            <w:r>
              <w:rPr>
                <w:rFonts w:hint="eastAsia" w:ascii="宋体" w:hAnsi="宋体" w:cs="宋体"/>
                <w:szCs w:val="21"/>
                <w:highlight w:val="none"/>
              </w:rPr>
              <w:t>分钟（含）以内</w:t>
            </w:r>
            <w:r>
              <w:rPr>
                <w:rFonts w:hint="eastAsia" w:ascii="宋体" w:hAnsi="宋体" w:cs="宋体"/>
                <w:szCs w:val="21"/>
                <w:highlight w:val="none"/>
                <w:lang w:eastAsia="zh"/>
              </w:rPr>
              <w:t>。</w:t>
            </w:r>
            <w:r>
              <w:rPr>
                <w:rFonts w:hint="eastAsia" w:ascii="宋体" w:hAnsi="宋体" w:cs="宋体"/>
                <w:szCs w:val="21"/>
                <w:highlight w:val="none"/>
              </w:rPr>
              <w:t>（注意：依据“百度地图”进行测算，须提供响应文件递交截止日前</w:t>
            </w:r>
            <w:r>
              <w:rPr>
                <w:rFonts w:hint="eastAsia" w:ascii="宋体" w:hAnsi="宋体" w:cs="宋体"/>
                <w:color w:val="000000"/>
                <w:szCs w:val="21"/>
                <w:highlight w:val="none"/>
                <w:shd w:val="clear" w:color="auto" w:fill="FFFFFF"/>
              </w:rPr>
              <w:t>【】</w:t>
            </w:r>
            <w:r>
              <w:rPr>
                <w:rFonts w:hint="eastAsia" w:ascii="宋体" w:hAnsi="宋体" w:cs="宋体"/>
                <w:szCs w:val="21"/>
                <w:highlight w:val="none"/>
              </w:rPr>
              <w:t>天</w:t>
            </w:r>
            <w:r>
              <w:rPr>
                <w:rFonts w:hint="eastAsia" w:ascii="宋体" w:hAnsi="宋体" w:cs="宋体"/>
                <w:color w:val="000000"/>
                <w:szCs w:val="21"/>
                <w:highlight w:val="none"/>
                <w:shd w:val="clear" w:color="auto" w:fill="FFFFFF"/>
              </w:rPr>
              <w:t>任意时间段</w:t>
            </w:r>
            <w:r>
              <w:rPr>
                <w:rFonts w:hint="eastAsia" w:ascii="宋体" w:hAnsi="宋体" w:cs="宋体"/>
                <w:szCs w:val="21"/>
                <w:highlight w:val="none"/>
              </w:rPr>
              <w:t>酒店至</w:t>
            </w:r>
            <w:r>
              <w:rPr>
                <w:rFonts w:hint="eastAsia" w:ascii="宋体" w:hAnsi="宋体" w:cs="宋体"/>
                <w:color w:val="000000"/>
                <w:szCs w:val="21"/>
                <w:highlight w:val="none"/>
                <w:shd w:val="clear" w:color="auto" w:fill="FFFFFF"/>
              </w:rPr>
              <w:t>【】</w:t>
            </w:r>
            <w:r>
              <w:rPr>
                <w:rFonts w:hint="eastAsia" w:ascii="宋体" w:hAnsi="宋体" w:cs="宋体"/>
                <w:szCs w:val="21"/>
                <w:highlight w:val="none"/>
              </w:rPr>
              <w:t>的最短时间距离截图，并加盖公章</w:t>
            </w:r>
            <w:r>
              <w:rPr>
                <w:rFonts w:hint="eastAsia" w:ascii="宋体" w:hAnsi="宋体" w:cs="宋体"/>
                <w:szCs w:val="21"/>
                <w:highlight w:val="none"/>
                <w:lang w:eastAsia="zh"/>
              </w:rPr>
              <w:t>。</w:t>
            </w:r>
            <w:r>
              <w:rPr>
                <w:rFonts w:hint="eastAsia" w:ascii="宋体" w:hAnsi="宋体" w:cs="宋体"/>
                <w:szCs w:val="21"/>
                <w:highlight w:val="none"/>
              </w:rPr>
              <w:t>）</w:t>
            </w:r>
          </w:p>
        </w:tc>
        <w:tc>
          <w:tcPr>
            <w:tcW w:w="1020" w:type="dxa"/>
            <w:tcBorders>
              <w:top w:val="outset" w:color="111111" w:sz="6" w:space="0"/>
              <w:left w:val="outset" w:color="111111" w:sz="6" w:space="0"/>
              <w:bottom w:val="outset" w:color="111111" w:sz="6" w:space="0"/>
              <w:right w:val="outset" w:color="111111" w:sz="6" w:space="0"/>
            </w:tcBorders>
          </w:tcPr>
          <w:p>
            <w:pPr>
              <w:rPr>
                <w:color w:val="000000"/>
                <w:highlight w:val="none"/>
              </w:rPr>
            </w:pPr>
          </w:p>
        </w:tc>
        <w:tc>
          <w:tcPr>
            <w:tcW w:w="1155" w:type="dxa"/>
            <w:tcBorders>
              <w:top w:val="outset" w:color="111111" w:sz="6" w:space="0"/>
              <w:left w:val="outset" w:color="111111" w:sz="6" w:space="0"/>
              <w:bottom w:val="outset" w:color="111111" w:sz="6" w:space="0"/>
              <w:right w:val="outset" w:color="111111" w:sz="6" w:space="0"/>
            </w:tcBorders>
            <w:vAlign w:val="center"/>
          </w:tcPr>
          <w:p>
            <w:pPr>
              <w:rPr>
                <w:color w:val="000000"/>
                <w:highlight w:val="none"/>
              </w:rPr>
            </w:pPr>
            <w:r>
              <w:rPr>
                <w:color w:val="000000"/>
                <w:highlight w:val="none"/>
              </w:rPr>
              <w:t>第（ ）页</w:t>
            </w:r>
          </w:p>
        </w:tc>
      </w:tr>
      <w:tr>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cantSplit/>
          <w:trHeight w:val="2213" w:hRule="atLeast"/>
        </w:trPr>
        <w:tc>
          <w:tcPr>
            <w:tcW w:w="780" w:type="dxa"/>
            <w:vMerge w:val="continue"/>
            <w:tcBorders>
              <w:left w:val="outset" w:color="111111" w:sz="6" w:space="0"/>
              <w:right w:val="outset" w:color="111111" w:sz="6" w:space="0"/>
            </w:tcBorders>
            <w:vAlign w:val="center"/>
          </w:tcPr>
          <w:p>
            <w:pPr>
              <w:rPr>
                <w:rFonts w:hint="eastAsia" w:ascii="宋体" w:hAnsi="宋体" w:cs="宋体"/>
                <w:color w:val="000000"/>
                <w:sz w:val="24"/>
                <w:highlight w:val="none"/>
              </w:rPr>
            </w:pPr>
          </w:p>
        </w:tc>
        <w:tc>
          <w:tcPr>
            <w:tcW w:w="6024" w:type="dxa"/>
            <w:tcBorders>
              <w:top w:val="outset" w:color="111111" w:sz="6" w:space="0"/>
              <w:left w:val="outset" w:color="111111" w:sz="6" w:space="0"/>
              <w:bottom w:val="outset" w:color="111111" w:sz="6" w:space="0"/>
              <w:right w:val="outset" w:color="111111" w:sz="6" w:space="0"/>
            </w:tcBorders>
          </w:tcPr>
          <w:p>
            <w:pPr>
              <w:rPr>
                <w:highlight w:val="none"/>
              </w:rPr>
            </w:pPr>
            <w:r>
              <w:rPr>
                <w:rFonts w:hint="eastAsia" w:ascii="宋体" w:hAnsi="宋体" w:cs="宋体"/>
                <w:szCs w:val="21"/>
                <w:highlight w:val="none"/>
              </w:rPr>
              <w:t>供应商报价不得高于携程网同等房型售卖价（特价房除外），要求在履约期间不得以任何形式在谈判报价基础上提出溢价，包括但不限于国家法定节假日（春节、元旦、国庆、五一等）、旅游旺季、特殊展会等旺季期间。在履约过程中，要求优先保障南航航延旅客、中转旅客。【注意：须提供①响应文件递交截止日前【】天携程网价格查询截图、②携程网平均售卖数据（携程后台-数据中心-经营数据-经营概况，特殊活动价除外）及③服务响应函（格式内容自拟），如有违反上述情况的，采购人有权取消中选供应商的成交资格或对中选供应商进行处罚。】</w:t>
            </w:r>
          </w:p>
        </w:tc>
        <w:tc>
          <w:tcPr>
            <w:tcW w:w="1020" w:type="dxa"/>
            <w:tcBorders>
              <w:top w:val="outset" w:color="111111" w:sz="6" w:space="0"/>
              <w:left w:val="outset" w:color="111111" w:sz="6" w:space="0"/>
              <w:bottom w:val="outset" w:color="111111" w:sz="6" w:space="0"/>
              <w:right w:val="outset" w:color="111111" w:sz="6" w:space="0"/>
            </w:tcBorders>
          </w:tcPr>
          <w:p>
            <w:pPr>
              <w:rPr>
                <w:color w:val="000000"/>
                <w:highlight w:val="none"/>
              </w:rPr>
            </w:pPr>
          </w:p>
        </w:tc>
        <w:tc>
          <w:tcPr>
            <w:tcW w:w="1155" w:type="dxa"/>
            <w:tcBorders>
              <w:top w:val="outset" w:color="111111" w:sz="6" w:space="0"/>
              <w:left w:val="outset" w:color="111111" w:sz="6" w:space="0"/>
              <w:bottom w:val="outset" w:color="111111" w:sz="6" w:space="0"/>
              <w:right w:val="outset" w:color="111111" w:sz="6" w:space="0"/>
            </w:tcBorders>
            <w:vAlign w:val="center"/>
          </w:tcPr>
          <w:p>
            <w:pPr>
              <w:rPr>
                <w:color w:val="000000"/>
                <w:highlight w:val="none"/>
              </w:rPr>
            </w:pPr>
            <w:r>
              <w:rPr>
                <w:color w:val="000000"/>
                <w:highlight w:val="none"/>
              </w:rPr>
              <w:t>第（ ）页</w:t>
            </w:r>
          </w:p>
        </w:tc>
      </w:tr>
      <w:tr>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cantSplit/>
          <w:trHeight w:val="994" w:hRule="atLeast"/>
        </w:trPr>
        <w:tc>
          <w:tcPr>
            <w:tcW w:w="780" w:type="dxa"/>
            <w:vMerge w:val="continue"/>
            <w:tcBorders>
              <w:left w:val="outset" w:color="111111" w:sz="6" w:space="0"/>
              <w:bottom w:val="outset" w:color="111111" w:sz="6" w:space="0"/>
              <w:right w:val="outset" w:color="111111" w:sz="6" w:space="0"/>
            </w:tcBorders>
            <w:vAlign w:val="center"/>
          </w:tcPr>
          <w:p>
            <w:pPr>
              <w:rPr>
                <w:rFonts w:hint="eastAsia" w:ascii="宋体" w:hAnsi="宋体" w:cs="宋体"/>
                <w:color w:val="000000"/>
                <w:sz w:val="24"/>
                <w:highlight w:val="none"/>
              </w:rPr>
            </w:pPr>
          </w:p>
        </w:tc>
        <w:tc>
          <w:tcPr>
            <w:tcW w:w="6024" w:type="dxa"/>
            <w:tcBorders>
              <w:top w:val="outset" w:color="111111" w:sz="6" w:space="0"/>
              <w:left w:val="outset" w:color="111111" w:sz="6" w:space="0"/>
              <w:bottom w:val="outset" w:color="111111" w:sz="6" w:space="0"/>
              <w:right w:val="outset" w:color="111111" w:sz="6" w:space="0"/>
            </w:tcBorders>
          </w:tcPr>
          <w:p>
            <w:pPr>
              <w:rPr>
                <w:highlight w:val="none"/>
              </w:rPr>
            </w:pPr>
            <w:r>
              <w:rPr>
                <w:rFonts w:hint="eastAsia" w:ascii="宋体" w:hAnsi="宋体" w:cs="宋体"/>
                <w:szCs w:val="21"/>
                <w:highlight w:val="none"/>
                <w:lang w:bidi="ar"/>
              </w:rPr>
              <w:t>供应商具有①《卫生许可证》</w:t>
            </w:r>
            <w:r>
              <w:rPr>
                <w:rFonts w:hint="eastAsia" w:ascii="宋体" w:hAnsi="宋体" w:cs="宋体"/>
                <w:szCs w:val="21"/>
                <w:highlight w:val="none"/>
                <w:lang w:eastAsia="zh" w:bidi="ar"/>
              </w:rPr>
              <w:t>②</w:t>
            </w:r>
            <w:r>
              <w:rPr>
                <w:rFonts w:hint="eastAsia" w:ascii="宋体" w:hAnsi="宋体" w:cs="宋体"/>
                <w:szCs w:val="21"/>
                <w:highlight w:val="none"/>
                <w:lang w:bidi="ar"/>
              </w:rPr>
              <w:t>《特种行业许可证》</w:t>
            </w:r>
            <w:r>
              <w:rPr>
                <w:rFonts w:hint="eastAsia" w:ascii="宋体" w:hAnsi="宋体" w:cs="宋体"/>
                <w:szCs w:val="21"/>
                <w:highlight w:val="none"/>
                <w:lang w:eastAsia="zh" w:bidi="ar"/>
              </w:rPr>
              <w:t>③</w:t>
            </w:r>
            <w:r>
              <w:rPr>
                <w:rFonts w:hint="eastAsia" w:ascii="宋体" w:hAnsi="宋体" w:cs="宋体"/>
                <w:szCs w:val="21"/>
                <w:highlight w:val="none"/>
                <w:lang w:bidi="ar"/>
              </w:rPr>
              <w:t>《公众聚集场所投入使用、营业前消防安全检查合格证》或消防验收意见书或酒店当地消防管理部门颁发的有效合格证明材料。【注意：1.须提供有效期内的以上证件扫描件，如《特种行业许可证》由所属地公安部门所一次性发放，证件上未注明有效期，视为该证件有效；</w:t>
            </w:r>
            <w:r>
              <w:rPr>
                <w:rFonts w:hint="eastAsia" w:ascii="宋体" w:hAnsi="宋体" w:cs="宋体"/>
                <w:szCs w:val="21"/>
                <w:highlight w:val="none"/>
                <w:lang w:eastAsia="zh" w:bidi="ar"/>
              </w:rPr>
              <w:t>2.</w:t>
            </w:r>
            <w:r>
              <w:rPr>
                <w:rFonts w:hint="eastAsia" w:ascii="宋体" w:hAnsi="宋体" w:cs="宋体"/>
                <w:szCs w:val="21"/>
                <w:highlight w:val="none"/>
                <w:shd w:val="clear" w:color="auto" w:fill="FFFFFF"/>
                <w:lang w:bidi="ar"/>
              </w:rPr>
              <w:t>位于国境口岸区域的供应商，可提供《国境口岸卫生许可》代替《</w:t>
            </w:r>
            <w:r>
              <w:rPr>
                <w:rFonts w:hint="eastAsia" w:ascii="宋体" w:hAnsi="宋体" w:cs="宋体"/>
                <w:szCs w:val="21"/>
                <w:highlight w:val="none"/>
                <w:shd w:val="clear" w:color="auto" w:fill="FFFFFF"/>
                <w:lang w:eastAsia="zh" w:bidi="ar"/>
              </w:rPr>
              <w:t>卫生</w:t>
            </w:r>
            <w:r>
              <w:rPr>
                <w:rFonts w:hint="eastAsia" w:ascii="宋体" w:hAnsi="宋体" w:cs="宋体"/>
                <w:szCs w:val="21"/>
                <w:highlight w:val="none"/>
                <w:shd w:val="clear" w:color="auto" w:fill="FFFFFF"/>
                <w:lang w:bidi="ar"/>
              </w:rPr>
              <w:t>许可证》</w:t>
            </w:r>
            <w:r>
              <w:rPr>
                <w:rFonts w:hint="eastAsia" w:ascii="宋体" w:hAnsi="宋体" w:cs="宋体"/>
                <w:szCs w:val="21"/>
                <w:highlight w:val="none"/>
                <w:shd w:val="clear" w:color="auto" w:fill="FFFFFF"/>
                <w:lang w:eastAsia="zh" w:bidi="ar"/>
              </w:rPr>
              <w:t>；3</w:t>
            </w:r>
            <w:r>
              <w:rPr>
                <w:rFonts w:hint="eastAsia" w:ascii="宋体" w:hAnsi="宋体" w:cs="宋体"/>
                <w:szCs w:val="21"/>
                <w:highlight w:val="none"/>
                <w:lang w:bidi="ar"/>
              </w:rPr>
              <w:t>.如上述证件中的企业名称与报名供应商名称不一致，须提供关系说明（证明）并加盖公章。】</w:t>
            </w:r>
          </w:p>
        </w:tc>
        <w:tc>
          <w:tcPr>
            <w:tcW w:w="1020" w:type="dxa"/>
            <w:tcBorders>
              <w:top w:val="outset" w:color="111111" w:sz="6" w:space="0"/>
              <w:left w:val="outset" w:color="111111" w:sz="6" w:space="0"/>
              <w:bottom w:val="outset" w:color="111111" w:sz="6" w:space="0"/>
              <w:right w:val="outset" w:color="111111" w:sz="6" w:space="0"/>
            </w:tcBorders>
          </w:tcPr>
          <w:p>
            <w:pPr>
              <w:rPr>
                <w:color w:val="000000"/>
                <w:highlight w:val="none"/>
              </w:rPr>
            </w:pPr>
          </w:p>
        </w:tc>
        <w:tc>
          <w:tcPr>
            <w:tcW w:w="1155" w:type="dxa"/>
            <w:tcBorders>
              <w:top w:val="outset" w:color="111111" w:sz="6" w:space="0"/>
              <w:left w:val="outset" w:color="111111" w:sz="6" w:space="0"/>
              <w:bottom w:val="outset" w:color="111111" w:sz="6" w:space="0"/>
              <w:right w:val="outset" w:color="111111" w:sz="6" w:space="0"/>
            </w:tcBorders>
            <w:vAlign w:val="center"/>
          </w:tcPr>
          <w:p>
            <w:pPr>
              <w:rPr>
                <w:rFonts w:hint="eastAsia" w:ascii="宋体" w:hAnsi="宋体" w:cs="宋体"/>
                <w:color w:val="000000"/>
                <w:sz w:val="24"/>
                <w:highlight w:val="none"/>
              </w:rPr>
            </w:pPr>
            <w:r>
              <w:rPr>
                <w:color w:val="000000"/>
                <w:highlight w:val="none"/>
              </w:rPr>
              <w:t>第（ ）页</w:t>
            </w:r>
          </w:p>
        </w:tc>
      </w:tr>
      <w:tr>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cantSplit/>
        </w:trPr>
        <w:tc>
          <w:tcPr>
            <w:tcW w:w="780" w:type="dxa"/>
            <w:vMerge w:val="restart"/>
            <w:tcBorders>
              <w:top w:val="outset" w:color="111111" w:sz="6" w:space="0"/>
              <w:left w:val="outset" w:color="111111" w:sz="6" w:space="0"/>
              <w:right w:val="outset" w:color="111111" w:sz="6" w:space="0"/>
            </w:tcBorders>
            <w:vAlign w:val="center"/>
          </w:tcPr>
          <w:p>
            <w:pPr>
              <w:rPr>
                <w:rFonts w:hint="eastAsia" w:ascii="宋体" w:hAnsi="宋体" w:cs="宋体"/>
                <w:color w:val="000000"/>
                <w:sz w:val="24"/>
                <w:highlight w:val="none"/>
              </w:rPr>
            </w:pPr>
          </w:p>
        </w:tc>
        <w:tc>
          <w:tcPr>
            <w:tcW w:w="6024" w:type="dxa"/>
            <w:tcBorders>
              <w:top w:val="outset" w:color="111111" w:sz="6" w:space="0"/>
              <w:left w:val="outset" w:color="111111" w:sz="6" w:space="0"/>
              <w:bottom w:val="outset" w:color="111111" w:sz="6" w:space="0"/>
              <w:right w:val="outset" w:color="111111" w:sz="6" w:space="0"/>
            </w:tcBorders>
          </w:tcPr>
          <w:p>
            <w:pPr>
              <w:rPr>
                <w:rFonts w:hint="eastAsia" w:ascii="宋体" w:hAnsi="宋体" w:cs="宋体"/>
                <w:szCs w:val="21"/>
                <w:highlight w:val="none"/>
              </w:rPr>
            </w:pPr>
            <w:r>
              <w:rPr>
                <w:rFonts w:hint="eastAsia" w:ascii="宋体" w:hAnsi="宋体" w:cs="宋体"/>
                <w:szCs w:val="21"/>
                <w:highlight w:val="none"/>
              </w:rPr>
              <w:t>供应商须配备</w:t>
            </w:r>
            <w:r>
              <w:rPr>
                <w:rFonts w:hint="eastAsia" w:ascii="宋体" w:hAnsi="宋体" w:cs="宋体"/>
                <w:szCs w:val="21"/>
                <w:highlight w:val="none"/>
                <w:shd w:val="clear" w:color="auto" w:fill="FFFFFF"/>
              </w:rPr>
              <w:t>【</w:t>
            </w:r>
            <w:r>
              <w:rPr>
                <w:rFonts w:hint="eastAsia" w:ascii="宋体" w:hAnsi="宋体" w:cs="宋体"/>
                <w:szCs w:val="21"/>
                <w:highlight w:val="none"/>
              </w:rPr>
              <w:t>中餐厅或西餐厅或自助餐厅】，其所有食品生产标准符合《中华人民共和国食品安全法》等相关规定，能提供早、午、晚餐及夜宵服务，餐食标准详见合同范本中的服务标准。（注意：</w:t>
            </w:r>
            <w:r>
              <w:rPr>
                <w:rFonts w:hint="eastAsia" w:ascii="宋体" w:hAnsi="宋体" w:cs="宋体"/>
                <w:szCs w:val="21"/>
                <w:highlight w:val="none"/>
                <w:lang w:bidi="ar"/>
              </w:rPr>
              <w:t>1.若为自营餐厅，须提供《食品经营许可证》及现场照片；2.若为合作经营的餐厅，须提供相关的合作证明、合作方《卫生许可证》</w:t>
            </w:r>
            <w:r>
              <w:rPr>
                <w:rFonts w:hint="eastAsia" w:ascii="宋体" w:hAnsi="宋体" w:cs="宋体"/>
                <w:szCs w:val="21"/>
                <w:highlight w:val="none"/>
                <w:lang w:eastAsia="zh" w:bidi="ar"/>
              </w:rPr>
              <w:t>和</w:t>
            </w:r>
            <w:r>
              <w:rPr>
                <w:rFonts w:hint="eastAsia" w:ascii="宋体" w:hAnsi="宋体" w:cs="宋体"/>
                <w:szCs w:val="21"/>
                <w:highlight w:val="none"/>
                <w:lang w:bidi="ar"/>
              </w:rPr>
              <w:t>《食品经营许可证》及现场照片。采购结束后采购人有权核查实际情况。</w:t>
            </w:r>
            <w:r>
              <w:rPr>
                <w:rFonts w:hint="eastAsia" w:ascii="宋体" w:hAnsi="宋体" w:cs="宋体"/>
                <w:szCs w:val="21"/>
                <w:highlight w:val="none"/>
              </w:rPr>
              <w:t>）</w:t>
            </w:r>
          </w:p>
        </w:tc>
        <w:tc>
          <w:tcPr>
            <w:tcW w:w="1020" w:type="dxa"/>
            <w:tcBorders>
              <w:top w:val="outset" w:color="111111" w:sz="6" w:space="0"/>
              <w:left w:val="outset" w:color="111111" w:sz="6" w:space="0"/>
              <w:bottom w:val="outset" w:color="111111" w:sz="6" w:space="0"/>
              <w:right w:val="outset" w:color="111111" w:sz="6" w:space="0"/>
            </w:tcBorders>
          </w:tcPr>
          <w:p>
            <w:pPr>
              <w:rPr>
                <w:color w:val="000000"/>
                <w:highlight w:val="none"/>
              </w:rPr>
            </w:pPr>
          </w:p>
        </w:tc>
        <w:tc>
          <w:tcPr>
            <w:tcW w:w="1155" w:type="dxa"/>
            <w:tcBorders>
              <w:top w:val="outset" w:color="111111" w:sz="6" w:space="0"/>
              <w:left w:val="outset" w:color="111111" w:sz="6" w:space="0"/>
              <w:bottom w:val="outset" w:color="111111" w:sz="6" w:space="0"/>
              <w:right w:val="outset" w:color="111111" w:sz="6" w:space="0"/>
            </w:tcBorders>
            <w:vAlign w:val="center"/>
          </w:tcPr>
          <w:p>
            <w:pPr>
              <w:rPr>
                <w:color w:val="000000"/>
                <w:highlight w:val="none"/>
              </w:rPr>
            </w:pPr>
            <w:r>
              <w:rPr>
                <w:color w:val="000000"/>
                <w:highlight w:val="none"/>
              </w:rPr>
              <w:t>第（ ）页</w:t>
            </w:r>
          </w:p>
        </w:tc>
      </w:tr>
      <w:tr>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cantSplit/>
        </w:trPr>
        <w:tc>
          <w:tcPr>
            <w:tcW w:w="780" w:type="dxa"/>
            <w:vMerge w:val="continue"/>
            <w:tcBorders>
              <w:left w:val="outset" w:color="111111" w:sz="6" w:space="0"/>
              <w:right w:val="outset" w:color="111111" w:sz="6" w:space="0"/>
            </w:tcBorders>
            <w:vAlign w:val="center"/>
          </w:tcPr>
          <w:p>
            <w:pPr>
              <w:rPr>
                <w:rFonts w:hint="eastAsia" w:ascii="宋体" w:hAnsi="宋体" w:cs="宋体"/>
                <w:color w:val="000000"/>
                <w:sz w:val="24"/>
                <w:highlight w:val="none"/>
              </w:rPr>
            </w:pPr>
          </w:p>
        </w:tc>
        <w:tc>
          <w:tcPr>
            <w:tcW w:w="6024" w:type="dxa"/>
            <w:tcBorders>
              <w:top w:val="outset" w:color="111111" w:sz="6" w:space="0"/>
              <w:left w:val="outset" w:color="111111" w:sz="6" w:space="0"/>
              <w:bottom w:val="outset" w:color="111111" w:sz="6" w:space="0"/>
              <w:right w:val="outset" w:color="111111" w:sz="6" w:space="0"/>
            </w:tcBorders>
          </w:tcPr>
          <w:p>
            <w:pPr>
              <w:rPr>
                <w:rFonts w:hint="eastAsia" w:ascii="宋体" w:hAnsi="宋体" w:cs="宋体"/>
                <w:szCs w:val="21"/>
                <w:highlight w:val="none"/>
              </w:rPr>
            </w:pPr>
            <w:r>
              <w:rPr>
                <w:rFonts w:hint="eastAsia" w:ascii="宋体" w:hAnsi="宋体" w:cs="宋体"/>
                <w:szCs w:val="21"/>
                <w:highlight w:val="none"/>
              </w:rPr>
              <w:t>供应商履行协议期间</w:t>
            </w:r>
            <w:r>
              <w:rPr>
                <w:rFonts w:hint="eastAsia" w:ascii="宋体" w:hAnsi="宋体" w:cs="宋体"/>
                <w:szCs w:val="21"/>
                <w:highlight w:val="none"/>
                <w:lang w:bidi="ar"/>
              </w:rPr>
              <w:t>客房总量须达到</w:t>
            </w:r>
            <w:r>
              <w:rPr>
                <w:rFonts w:hint="eastAsia" w:ascii="宋体" w:hAnsi="宋体" w:cs="宋体"/>
                <w:szCs w:val="21"/>
                <w:highlight w:val="none"/>
                <w:lang w:eastAsia="zh" w:bidi="ar"/>
              </w:rPr>
              <w:t>【】</w:t>
            </w:r>
            <w:r>
              <w:rPr>
                <w:rFonts w:hint="eastAsia" w:ascii="宋体" w:hAnsi="宋体" w:cs="宋体"/>
                <w:szCs w:val="21"/>
                <w:highlight w:val="none"/>
                <w:lang w:bidi="ar"/>
              </w:rPr>
              <w:t>间（含）以</w:t>
            </w:r>
            <w:r>
              <w:rPr>
                <w:rFonts w:hint="eastAsia" w:ascii="宋体" w:hAnsi="宋体" w:cs="宋体"/>
                <w:szCs w:val="21"/>
                <w:highlight w:val="none"/>
                <w:lang w:eastAsia="zh" w:bidi="ar"/>
              </w:rPr>
              <w:t>上</w:t>
            </w:r>
            <w:r>
              <w:rPr>
                <w:rFonts w:hint="eastAsia" w:ascii="宋体" w:hAnsi="宋体" w:cs="宋体"/>
                <w:szCs w:val="21"/>
                <w:highlight w:val="none"/>
              </w:rPr>
              <w:t>，其中双人间客房不少于【】间</w:t>
            </w:r>
            <w:r>
              <w:rPr>
                <w:rFonts w:hint="eastAsia" w:ascii="宋体" w:hAnsi="宋体" w:cs="宋体"/>
                <w:szCs w:val="21"/>
                <w:highlight w:val="none"/>
                <w:lang w:eastAsia="zh"/>
              </w:rPr>
              <w:t>（含）。</w:t>
            </w:r>
            <w:r>
              <w:rPr>
                <w:rFonts w:hint="eastAsia" w:ascii="宋体" w:hAnsi="宋体" w:cs="宋体"/>
                <w:szCs w:val="21"/>
                <w:highlight w:val="none"/>
              </w:rPr>
              <w:t>（注意：须提供酒店管理系统房态截图或携程网客房数量截图或其他证明材料，采购结束后采购人有权核查实际情况。）</w:t>
            </w:r>
          </w:p>
        </w:tc>
        <w:tc>
          <w:tcPr>
            <w:tcW w:w="1020" w:type="dxa"/>
            <w:tcBorders>
              <w:top w:val="outset" w:color="111111" w:sz="6" w:space="0"/>
              <w:left w:val="outset" w:color="111111" w:sz="6" w:space="0"/>
              <w:bottom w:val="outset" w:color="111111" w:sz="6" w:space="0"/>
              <w:right w:val="outset" w:color="111111" w:sz="6" w:space="0"/>
            </w:tcBorders>
          </w:tcPr>
          <w:p>
            <w:pPr>
              <w:rPr>
                <w:color w:val="000000"/>
                <w:highlight w:val="none"/>
              </w:rPr>
            </w:pPr>
          </w:p>
        </w:tc>
        <w:tc>
          <w:tcPr>
            <w:tcW w:w="1155" w:type="dxa"/>
            <w:tcBorders>
              <w:top w:val="outset" w:color="111111" w:sz="6" w:space="0"/>
              <w:left w:val="outset" w:color="111111" w:sz="6" w:space="0"/>
              <w:bottom w:val="outset" w:color="111111" w:sz="6" w:space="0"/>
              <w:right w:val="outset" w:color="111111" w:sz="6" w:space="0"/>
            </w:tcBorders>
            <w:vAlign w:val="center"/>
          </w:tcPr>
          <w:p>
            <w:pPr>
              <w:rPr>
                <w:color w:val="000000"/>
                <w:highlight w:val="none"/>
              </w:rPr>
            </w:pPr>
            <w:r>
              <w:rPr>
                <w:color w:val="000000"/>
                <w:highlight w:val="none"/>
              </w:rPr>
              <w:t>第（ ）页</w:t>
            </w:r>
          </w:p>
        </w:tc>
      </w:tr>
      <w:tr>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cantSplit/>
        </w:trPr>
        <w:tc>
          <w:tcPr>
            <w:tcW w:w="780" w:type="dxa"/>
            <w:vMerge w:val="continue"/>
            <w:tcBorders>
              <w:left w:val="outset" w:color="111111" w:sz="6" w:space="0"/>
              <w:right w:val="outset" w:color="111111" w:sz="6" w:space="0"/>
            </w:tcBorders>
            <w:vAlign w:val="center"/>
          </w:tcPr>
          <w:p>
            <w:pPr>
              <w:rPr>
                <w:rFonts w:hint="eastAsia" w:ascii="宋体" w:hAnsi="宋体" w:cs="宋体"/>
                <w:color w:val="000000"/>
                <w:sz w:val="24"/>
                <w:highlight w:val="none"/>
              </w:rPr>
            </w:pPr>
          </w:p>
        </w:tc>
        <w:tc>
          <w:tcPr>
            <w:tcW w:w="6024" w:type="dxa"/>
            <w:tcBorders>
              <w:top w:val="outset" w:color="111111" w:sz="6" w:space="0"/>
              <w:left w:val="outset" w:color="111111" w:sz="6" w:space="0"/>
              <w:bottom w:val="outset" w:color="111111" w:sz="6" w:space="0"/>
              <w:right w:val="outset" w:color="111111" w:sz="6" w:space="0"/>
            </w:tcBorders>
          </w:tcPr>
          <w:p>
            <w:pPr>
              <w:rPr>
                <w:rFonts w:hint="eastAsia" w:ascii="宋体" w:hAnsi="宋体" w:cs="宋体"/>
                <w:szCs w:val="21"/>
                <w:highlight w:val="none"/>
              </w:rPr>
            </w:pPr>
            <w:r>
              <w:rPr>
                <w:rFonts w:hint="eastAsia" w:ascii="宋体" w:hAnsi="宋体" w:cs="宋体"/>
                <w:szCs w:val="21"/>
                <w:highlight w:val="none"/>
              </w:rPr>
              <w:t>供应商须提供全天24小时车辆接送服务，车辆满足以下要求并服从采购人调配使用。</w:t>
            </w:r>
            <w:r>
              <w:rPr>
                <w:rFonts w:hint="eastAsia" w:ascii="宋体" w:hAnsi="宋体" w:cs="宋体"/>
                <w:szCs w:val="21"/>
                <w:highlight w:val="none"/>
              </w:rPr>
              <w:sym w:font="Wingdings" w:char="F081"/>
            </w:r>
            <w:r>
              <w:rPr>
                <w:rFonts w:hint="eastAsia" w:ascii="宋体" w:hAnsi="宋体" w:cs="宋体"/>
                <w:szCs w:val="21"/>
                <w:highlight w:val="none"/>
              </w:rPr>
              <w:t>A类、B类酒店供应商须配备</w:t>
            </w:r>
            <w:r>
              <w:rPr>
                <w:rFonts w:hint="eastAsia" w:ascii="宋体" w:hAnsi="宋体" w:cs="宋体"/>
                <w:szCs w:val="21"/>
                <w:highlight w:val="none"/>
                <w:shd w:val="clear" w:color="auto" w:fill="FFFFFF"/>
              </w:rPr>
              <w:t>【】</w:t>
            </w:r>
            <w:r>
              <w:rPr>
                <w:rFonts w:hint="eastAsia" w:ascii="宋体" w:hAnsi="宋体" w:cs="宋体"/>
                <w:szCs w:val="21"/>
                <w:highlight w:val="none"/>
              </w:rPr>
              <w:t>台（含）以上车辆（含自购或租赁</w:t>
            </w:r>
            <w:r>
              <w:rPr>
                <w:rFonts w:hint="eastAsia" w:ascii="宋体" w:hAnsi="宋体" w:cs="宋体"/>
                <w:szCs w:val="21"/>
                <w:highlight w:val="none"/>
                <w:shd w:val="clear" w:color="auto" w:fill="FFFFFF"/>
              </w:rPr>
              <w:t>车辆</w:t>
            </w:r>
            <w:r>
              <w:rPr>
                <w:rFonts w:hint="eastAsia" w:ascii="宋体" w:hAnsi="宋体" w:cs="宋体"/>
                <w:szCs w:val="21"/>
                <w:highlight w:val="none"/>
              </w:rPr>
              <w:t>）；②C类酒店供应商须配备</w:t>
            </w:r>
            <w:r>
              <w:rPr>
                <w:rFonts w:hint="eastAsia" w:ascii="宋体" w:hAnsi="宋体" w:cs="宋体"/>
                <w:szCs w:val="21"/>
                <w:highlight w:val="none"/>
                <w:shd w:val="clear" w:color="auto" w:fill="FFFFFF"/>
              </w:rPr>
              <w:t>【】</w:t>
            </w:r>
            <w:r>
              <w:rPr>
                <w:rFonts w:hint="eastAsia" w:ascii="宋体" w:hAnsi="宋体" w:cs="宋体"/>
                <w:szCs w:val="21"/>
                <w:highlight w:val="none"/>
              </w:rPr>
              <w:t>台（含）以上车辆（含自购或租赁车辆），车辆总座位数之和不少于</w:t>
            </w:r>
            <w:r>
              <w:rPr>
                <w:rFonts w:hint="eastAsia" w:ascii="宋体" w:hAnsi="宋体" w:cs="宋体"/>
                <w:szCs w:val="21"/>
                <w:highlight w:val="none"/>
                <w:shd w:val="clear" w:color="auto" w:fill="FFFFFF"/>
              </w:rPr>
              <w:t>【】</w:t>
            </w:r>
            <w:r>
              <w:rPr>
                <w:rFonts w:hint="eastAsia" w:ascii="宋体" w:hAnsi="宋体" w:cs="宋体"/>
                <w:szCs w:val="21"/>
                <w:highlight w:val="none"/>
              </w:rPr>
              <w:t>个，且至少包含</w:t>
            </w:r>
            <w:r>
              <w:rPr>
                <w:rFonts w:hint="eastAsia" w:ascii="宋体" w:hAnsi="宋体" w:cs="宋体"/>
                <w:szCs w:val="21"/>
                <w:highlight w:val="none"/>
                <w:shd w:val="clear" w:color="auto" w:fill="FFFFFF"/>
              </w:rPr>
              <w:t>【】</w:t>
            </w:r>
            <w:r>
              <w:rPr>
                <w:rFonts w:hint="eastAsia" w:ascii="宋体" w:hAnsi="宋体" w:cs="宋体"/>
                <w:szCs w:val="21"/>
                <w:highlight w:val="none"/>
              </w:rPr>
              <w:t>辆</w:t>
            </w:r>
            <w:r>
              <w:rPr>
                <w:rFonts w:hint="eastAsia" w:ascii="宋体" w:hAnsi="宋体" w:cs="宋体"/>
                <w:szCs w:val="21"/>
                <w:highlight w:val="none"/>
                <w:shd w:val="clear" w:color="auto" w:fill="FFFFFF"/>
              </w:rPr>
              <w:t>【】</w:t>
            </w:r>
            <w:r>
              <w:rPr>
                <w:rFonts w:hint="eastAsia" w:ascii="宋体" w:hAnsi="宋体" w:cs="宋体"/>
                <w:szCs w:val="21"/>
                <w:highlight w:val="none"/>
              </w:rPr>
              <w:t>座（含）以上的大巴（配备不少于【】个具有A1驾照资格的司机）。（注意：1.自购车辆：车辆所有人应是该供应商，须提供行驶证扫描件、车辆照片及车辆座位数量证明材料加盖公章；租赁车辆：</w:t>
            </w:r>
            <w:r>
              <w:rPr>
                <w:rFonts w:hint="eastAsia"/>
                <w:highlight w:val="none"/>
              </w:rPr>
              <w:t>车辆承租方应是该供应商，</w:t>
            </w:r>
            <w:r>
              <w:rPr>
                <w:rFonts w:hint="eastAsia" w:ascii="宋体" w:hAnsi="宋体" w:cs="宋体"/>
                <w:szCs w:val="21"/>
                <w:highlight w:val="none"/>
              </w:rPr>
              <w:t>车辆所有人应是租赁公司，须提供车辆租赁合同扫描件加盖公章、行驶证扫描件、车辆照片及车辆座位数量证明材料加盖公章。2.提供A1驾照资格司机驾驶证及劳动关系证明加盖公章；3.须提供24小时车辆服务响应材料，内容格式自拟并加盖公章。）</w:t>
            </w:r>
          </w:p>
        </w:tc>
        <w:tc>
          <w:tcPr>
            <w:tcW w:w="1020" w:type="dxa"/>
            <w:tcBorders>
              <w:top w:val="outset" w:color="111111" w:sz="6" w:space="0"/>
              <w:left w:val="outset" w:color="111111" w:sz="6" w:space="0"/>
              <w:bottom w:val="outset" w:color="111111" w:sz="6" w:space="0"/>
              <w:right w:val="outset" w:color="111111" w:sz="6" w:space="0"/>
            </w:tcBorders>
          </w:tcPr>
          <w:p>
            <w:pPr>
              <w:rPr>
                <w:color w:val="000000"/>
                <w:highlight w:val="none"/>
              </w:rPr>
            </w:pPr>
          </w:p>
        </w:tc>
        <w:tc>
          <w:tcPr>
            <w:tcW w:w="1155" w:type="dxa"/>
            <w:tcBorders>
              <w:top w:val="outset" w:color="111111" w:sz="6" w:space="0"/>
              <w:left w:val="outset" w:color="111111" w:sz="6" w:space="0"/>
              <w:bottom w:val="outset" w:color="111111" w:sz="6" w:space="0"/>
              <w:right w:val="outset" w:color="111111" w:sz="6" w:space="0"/>
            </w:tcBorders>
            <w:vAlign w:val="center"/>
          </w:tcPr>
          <w:p>
            <w:pPr>
              <w:rPr>
                <w:color w:val="000000"/>
                <w:highlight w:val="none"/>
              </w:rPr>
            </w:pPr>
            <w:r>
              <w:rPr>
                <w:color w:val="000000"/>
                <w:highlight w:val="none"/>
              </w:rPr>
              <w:t>第（ ）页</w:t>
            </w:r>
          </w:p>
        </w:tc>
      </w:tr>
      <w:tr>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cantSplit/>
          <w:trHeight w:val="1623" w:hRule="atLeast"/>
        </w:trPr>
        <w:tc>
          <w:tcPr>
            <w:tcW w:w="780" w:type="dxa"/>
            <w:vMerge w:val="continue"/>
            <w:tcBorders>
              <w:left w:val="outset" w:color="111111" w:sz="6" w:space="0"/>
              <w:right w:val="outset" w:color="111111" w:sz="6" w:space="0"/>
            </w:tcBorders>
            <w:vAlign w:val="center"/>
          </w:tcPr>
          <w:p>
            <w:pPr>
              <w:rPr>
                <w:rFonts w:hint="eastAsia" w:ascii="宋体" w:hAnsi="宋体" w:cs="宋体"/>
                <w:color w:val="000000"/>
                <w:sz w:val="24"/>
                <w:highlight w:val="none"/>
              </w:rPr>
            </w:pPr>
          </w:p>
        </w:tc>
        <w:tc>
          <w:tcPr>
            <w:tcW w:w="6024" w:type="dxa"/>
            <w:tcBorders>
              <w:top w:val="outset" w:color="111111" w:sz="6" w:space="0"/>
              <w:left w:val="outset" w:color="111111" w:sz="6" w:space="0"/>
              <w:bottom w:val="outset" w:color="111111" w:sz="6" w:space="0"/>
              <w:right w:val="outset" w:color="111111" w:sz="6" w:space="0"/>
            </w:tcBorders>
          </w:tcPr>
          <w:p>
            <w:pPr>
              <w:rPr>
                <w:rFonts w:hint="eastAsia" w:ascii="宋体" w:hAnsi="宋体" w:cs="宋体"/>
                <w:szCs w:val="21"/>
                <w:highlight w:val="none"/>
              </w:rPr>
            </w:pPr>
            <w:r>
              <w:rPr>
                <w:rFonts w:hint="eastAsia" w:ascii="宋体" w:hAnsi="宋体" w:cs="宋体"/>
                <w:szCs w:val="21"/>
                <w:highlight w:val="none"/>
              </w:rPr>
              <w:t>供应商须配备至少</w:t>
            </w:r>
            <w:r>
              <w:rPr>
                <w:rFonts w:hint="eastAsia" w:ascii="宋体" w:hAnsi="宋体" w:cs="宋体"/>
                <w:szCs w:val="21"/>
                <w:highlight w:val="none"/>
                <w:shd w:val="clear" w:color="auto" w:fill="FFFFFF"/>
              </w:rPr>
              <w:t>【】</w:t>
            </w:r>
            <w:r>
              <w:rPr>
                <w:rFonts w:hint="eastAsia" w:ascii="宋体" w:hAnsi="宋体" w:cs="宋体"/>
                <w:szCs w:val="21"/>
                <w:highlight w:val="none"/>
              </w:rPr>
              <w:t>名专职驻场（XX航站楼）业务接待人员，且全天24小时服从采购人业务部门工作人员调配。采购人业务部门根据中转、航延业务实际情况，灵活调配驻场人数，原则上不少于1名专职业务接待人员驻场保障；另外，供应商拟投入本项目的所有服务人员（包括但不仅限于机场接待、前台接待人员等）须具备英语沟通服务能力，能够解决旅客在酒店前台服务、客房服务、餐饮服务等方面的问题。（注意：须提供服务响应材料，内容格式自拟并加盖公章。）</w:t>
            </w:r>
          </w:p>
        </w:tc>
        <w:tc>
          <w:tcPr>
            <w:tcW w:w="1020" w:type="dxa"/>
            <w:tcBorders>
              <w:top w:val="outset" w:color="111111" w:sz="6" w:space="0"/>
              <w:left w:val="outset" w:color="111111" w:sz="6" w:space="0"/>
              <w:bottom w:val="outset" w:color="111111" w:sz="6" w:space="0"/>
              <w:right w:val="outset" w:color="111111" w:sz="6" w:space="0"/>
            </w:tcBorders>
          </w:tcPr>
          <w:p>
            <w:pPr>
              <w:rPr>
                <w:color w:val="000000"/>
                <w:highlight w:val="none"/>
              </w:rPr>
            </w:pPr>
          </w:p>
        </w:tc>
        <w:tc>
          <w:tcPr>
            <w:tcW w:w="1155" w:type="dxa"/>
            <w:tcBorders>
              <w:top w:val="outset" w:color="111111" w:sz="6" w:space="0"/>
              <w:left w:val="outset" w:color="111111" w:sz="6" w:space="0"/>
              <w:bottom w:val="outset" w:color="111111" w:sz="6" w:space="0"/>
              <w:right w:val="outset" w:color="111111" w:sz="6" w:space="0"/>
            </w:tcBorders>
            <w:vAlign w:val="center"/>
          </w:tcPr>
          <w:p>
            <w:pPr>
              <w:rPr>
                <w:color w:val="000000"/>
                <w:highlight w:val="none"/>
              </w:rPr>
            </w:pPr>
            <w:r>
              <w:rPr>
                <w:color w:val="000000"/>
                <w:highlight w:val="none"/>
              </w:rPr>
              <w:t>第（ ）页</w:t>
            </w:r>
          </w:p>
        </w:tc>
      </w:tr>
      <w:tr>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cantSplit/>
        </w:trPr>
        <w:tc>
          <w:tcPr>
            <w:tcW w:w="780" w:type="dxa"/>
            <w:vMerge w:val="continue"/>
            <w:tcBorders>
              <w:left w:val="outset" w:color="111111" w:sz="6" w:space="0"/>
              <w:bottom w:val="nil"/>
              <w:right w:val="single" w:color="auto" w:sz="4" w:space="0"/>
            </w:tcBorders>
            <w:vAlign w:val="center"/>
          </w:tcPr>
          <w:p>
            <w:pPr>
              <w:rPr>
                <w:rFonts w:hint="eastAsia" w:ascii="宋体" w:hAnsi="宋体" w:cs="宋体"/>
                <w:color w:val="000000"/>
                <w:sz w:val="24"/>
                <w:highlight w:val="none"/>
              </w:rPr>
            </w:pPr>
          </w:p>
        </w:tc>
        <w:tc>
          <w:tcPr>
            <w:tcW w:w="6024" w:type="dxa"/>
            <w:tcBorders>
              <w:top w:val="single" w:color="auto" w:sz="4" w:space="0"/>
              <w:left w:val="single" w:color="auto" w:sz="4" w:space="0"/>
              <w:bottom w:val="single" w:color="auto" w:sz="4" w:space="0"/>
              <w:right w:val="single" w:color="auto" w:sz="4" w:space="0"/>
            </w:tcBorders>
          </w:tcPr>
          <w:p>
            <w:pPr>
              <w:spacing w:line="360" w:lineRule="auto"/>
              <w:rPr>
                <w:rFonts w:hint="eastAsia" w:ascii="宋体" w:hAnsi="宋体" w:cs="宋体"/>
                <w:szCs w:val="21"/>
                <w:highlight w:val="none"/>
              </w:rPr>
            </w:pPr>
            <w:r>
              <w:rPr>
                <w:rFonts w:hint="eastAsia" w:ascii="宋体" w:hAnsi="宋体"/>
                <w:szCs w:val="21"/>
                <w:highlight w:val="none"/>
              </w:rPr>
              <w:t>【</w:t>
            </w:r>
            <w:r>
              <w:rPr>
                <w:rFonts w:hint="eastAsia" w:ascii="宋体" w:hAnsi="宋体" w:cs="宋体"/>
                <w:szCs w:val="21"/>
                <w:highlight w:val="none"/>
              </w:rPr>
              <w:t>其他要求</w:t>
            </w:r>
            <w:r>
              <w:rPr>
                <w:rFonts w:hint="eastAsia" w:ascii="宋体" w:hAnsi="宋体"/>
                <w:szCs w:val="21"/>
                <w:highlight w:val="none"/>
              </w:rPr>
              <w:t>】</w:t>
            </w:r>
          </w:p>
        </w:tc>
        <w:tc>
          <w:tcPr>
            <w:tcW w:w="1020" w:type="dxa"/>
            <w:tcBorders>
              <w:top w:val="single" w:color="auto" w:sz="4" w:space="0"/>
              <w:left w:val="single" w:color="auto" w:sz="4" w:space="0"/>
              <w:bottom w:val="single" w:color="auto" w:sz="4" w:space="0"/>
              <w:right w:val="single" w:color="auto" w:sz="4" w:space="0"/>
            </w:tcBorders>
          </w:tcPr>
          <w:p>
            <w:pPr>
              <w:rPr>
                <w:color w:val="000000"/>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pPr>
              <w:rPr>
                <w:color w:val="000000"/>
                <w:highlight w:val="none"/>
              </w:rPr>
            </w:pPr>
            <w:r>
              <w:rPr>
                <w:color w:val="000000"/>
                <w:highlight w:val="none"/>
              </w:rPr>
              <w:t>第（ ）页</w:t>
            </w:r>
          </w:p>
        </w:tc>
      </w:tr>
      <w:tr>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cantSplit/>
          <w:trHeight w:val="515" w:hRule="atLeast"/>
        </w:trPr>
        <w:tc>
          <w:tcPr>
            <w:tcW w:w="8979" w:type="dxa"/>
            <w:gridSpan w:val="4"/>
            <w:tcBorders>
              <w:top w:val="nil"/>
              <w:left w:val="nil"/>
              <w:bottom w:val="nil"/>
              <w:right w:val="nil"/>
            </w:tcBorders>
            <w:vAlign w:val="center"/>
          </w:tcPr>
          <w:p>
            <w:pPr>
              <w:spacing w:line="360" w:lineRule="auto"/>
              <w:rPr>
                <w:color w:val="000000"/>
                <w:highlight w:val="none"/>
              </w:rPr>
            </w:pPr>
            <w:r>
              <w:rPr>
                <w:rFonts w:hint="eastAsia" w:ascii="宋体" w:hAnsi="宋体" w:cs="宋体"/>
                <w:b/>
                <w:bCs/>
                <w:szCs w:val="21"/>
                <w:highlight w:val="none"/>
              </w:rPr>
              <w:t>注：请供应商根据资格要求逐项响应，证明材料可以附后。</w:t>
            </w:r>
          </w:p>
        </w:tc>
      </w:tr>
      <w:permEnd w:id="34"/>
    </w:tbl>
    <w:p>
      <w:pPr>
        <w:pStyle w:val="5"/>
        <w:rPr>
          <w:highlight w:val="none"/>
        </w:rPr>
      </w:pPr>
    </w:p>
    <w:p>
      <w:pPr>
        <w:pStyle w:val="5"/>
        <w:rPr>
          <w:highlight w:val="none"/>
        </w:rPr>
      </w:pPr>
    </w:p>
    <w:p>
      <w:pPr>
        <w:pStyle w:val="5"/>
        <w:rPr>
          <w:highlight w:val="none"/>
        </w:rPr>
      </w:pPr>
    </w:p>
    <w:p>
      <w:pPr>
        <w:pStyle w:val="5"/>
        <w:rPr>
          <w:highlight w:val="none"/>
        </w:rPr>
      </w:pPr>
    </w:p>
    <w:p>
      <w:pPr>
        <w:pStyle w:val="5"/>
        <w:rPr>
          <w:highlight w:val="none"/>
        </w:rPr>
      </w:pPr>
    </w:p>
    <w:p>
      <w:pPr>
        <w:pStyle w:val="5"/>
        <w:rPr>
          <w:highlight w:val="none"/>
        </w:rPr>
      </w:pPr>
    </w:p>
    <w:p>
      <w:pPr>
        <w:pStyle w:val="5"/>
        <w:rPr>
          <w:highlight w:val="none"/>
        </w:rPr>
      </w:pPr>
    </w:p>
    <w:p>
      <w:pPr>
        <w:pStyle w:val="5"/>
        <w:rPr>
          <w:highlight w:val="none"/>
        </w:rPr>
      </w:pPr>
    </w:p>
    <w:p>
      <w:pPr>
        <w:pStyle w:val="5"/>
        <w:rPr>
          <w:highlight w:val="none"/>
        </w:rPr>
      </w:pPr>
    </w:p>
    <w:p>
      <w:pPr>
        <w:spacing w:before="156" w:beforeLines="50" w:after="156" w:afterLines="50" w:line="360" w:lineRule="auto"/>
        <w:ind w:firstLine="3360" w:firstLineChars="1400"/>
        <w:rPr>
          <w:rFonts w:hint="eastAsia" w:ascii="宋体" w:hAnsi="宋体" w:cs="Arial"/>
          <w:sz w:val="24"/>
          <w:highlight w:val="none"/>
        </w:rPr>
      </w:pPr>
    </w:p>
    <w:p>
      <w:pPr>
        <w:pStyle w:val="4"/>
        <w:pageBreakBefore/>
        <w:spacing w:before="156" w:beforeLines="50" w:after="156" w:afterLines="50" w:line="360" w:lineRule="auto"/>
        <w:ind w:left="0"/>
        <w:jc w:val="center"/>
        <w:rPr>
          <w:rFonts w:hint="eastAsia" w:ascii="宋体" w:hAnsi="宋体" w:cs="宋体"/>
          <w:b/>
          <w:highlight w:val="none"/>
        </w:rPr>
      </w:pPr>
      <w:bookmarkStart w:id="377" w:name="_Toc23616"/>
      <w:bookmarkStart w:id="378" w:name="_Toc10735"/>
      <w:bookmarkStart w:id="379" w:name="_Toc22323"/>
      <w:bookmarkStart w:id="380" w:name="_Toc2731"/>
      <w:bookmarkStart w:id="381" w:name="_Toc1157"/>
      <w:bookmarkStart w:id="382" w:name="_Toc5111"/>
      <w:bookmarkStart w:id="383" w:name="_Toc24911"/>
      <w:bookmarkStart w:id="384" w:name="_Toc30409"/>
      <w:bookmarkStart w:id="385" w:name="_Toc12427"/>
      <w:bookmarkStart w:id="386" w:name="_Toc504657640"/>
      <w:bookmarkStart w:id="387" w:name="_Toc14598"/>
      <w:bookmarkStart w:id="388" w:name="_Toc12712"/>
      <w:bookmarkStart w:id="389" w:name="_Toc11840"/>
      <w:r>
        <w:rPr>
          <w:rFonts w:hint="eastAsia" w:ascii="宋体" w:hAnsi="宋体" w:cs="宋体"/>
          <w:b/>
          <w:highlight w:val="none"/>
        </w:rPr>
        <w:t>格式八-1 企业信用信息</w:t>
      </w:r>
      <w:bookmarkEnd w:id="377"/>
      <w:bookmarkEnd w:id="378"/>
      <w:bookmarkEnd w:id="379"/>
      <w:bookmarkEnd w:id="380"/>
      <w:bookmarkEnd w:id="381"/>
    </w:p>
    <w:p>
      <w:pPr>
        <w:pStyle w:val="8"/>
        <w:spacing w:line="460" w:lineRule="exact"/>
        <w:ind w:firstLine="420" w:firstLineChars="200"/>
        <w:jc w:val="both"/>
        <w:rPr>
          <w:highlight w:val="none"/>
        </w:rPr>
      </w:pPr>
      <w:r>
        <w:rPr>
          <w:rFonts w:hint="eastAsia" w:ascii="宋体" w:hAnsi="宋体" w:cs="宋体"/>
          <w:color w:val="000000"/>
          <w:szCs w:val="21"/>
          <w:highlight w:val="none"/>
          <w:shd w:val="clear" w:color="auto" w:fill="FFFFFF"/>
        </w:rPr>
        <w:t>请供应商按要求提供：</w:t>
      </w:r>
      <w:r>
        <w:rPr>
          <w:rFonts w:hint="eastAsia"/>
          <w:highlight w:val="none"/>
        </w:rPr>
        <w:t>供应商在经营活动中未被列入“严重违法失信企业名单（黑名单）信息”（注意：须提供国家企业信用信息公示系统中此项完整内容截图或报告）或“严重失信主体名单”（注意：须提供信用中国网站中此项完整内容截图或报告）”，或者在响应文件递交截止日前已被移除出黑名单或失信主体名单。（采购人或采购代理机构仅以国家企业信用信息公示系统或信用中国网站显示信息为准进行形式审查并作为认定依据，其他网站或文件不作为认定依据。）</w:t>
      </w:r>
    </w:p>
    <w:p>
      <w:pPr>
        <w:pStyle w:val="5"/>
        <w:spacing w:line="460" w:lineRule="exact"/>
        <w:ind w:firstLineChars="0"/>
        <w:rPr>
          <w:rFonts w:hint="eastAsia" w:ascii="宋体" w:hAnsi="宋体" w:cs="宋体"/>
          <w:b/>
          <w:highlight w:val="none"/>
        </w:rPr>
      </w:pPr>
      <w:r>
        <w:rPr>
          <w:rFonts w:hint="eastAsia"/>
          <w:highlight w:val="none"/>
        </w:rPr>
        <w:t>以上两项证明材料可一并提供或择一提供。如择一提供，视为供应商承诺均不在两项名单中；任何时候，如经采购人或采购代理机构查询发现供应商在任一名单内的，视为供应商提供虚假材料。境外企业、港澳台地区企业及国内事业单位无需提供本款规定的材料。</w:t>
      </w:r>
    </w:p>
    <w:p>
      <w:pPr>
        <w:pStyle w:val="5"/>
        <w:ind w:firstLine="422"/>
        <w:jc w:val="center"/>
        <w:rPr>
          <w:rFonts w:hint="eastAsia" w:ascii="宋体" w:hAnsi="宋体" w:cs="宋体"/>
          <w:b/>
          <w:highlight w:val="none"/>
        </w:rPr>
      </w:pPr>
      <w:r>
        <w:rPr>
          <w:rFonts w:hint="eastAsia" w:ascii="宋体" w:hAnsi="宋体" w:cs="宋体"/>
          <w:b/>
          <w:highlight w:val="none"/>
        </w:rPr>
        <w:t>供应商可参考以下样例截图</w:t>
      </w:r>
    </w:p>
    <w:p>
      <w:pPr>
        <w:pStyle w:val="5"/>
        <w:rPr>
          <w:rFonts w:hint="eastAsia" w:ascii="宋体" w:hAnsi="宋体" w:cs="宋体"/>
          <w:b/>
          <w:highlight w:val="none"/>
        </w:rPr>
      </w:pPr>
      <w:r>
        <w:rPr>
          <w:rFonts w:hint="eastAsia"/>
          <w:highlight w:val="none"/>
        </w:rPr>
        <w:drawing>
          <wp:inline distT="0" distB="0" distL="114300" distR="114300">
            <wp:extent cx="4408170" cy="2576830"/>
            <wp:effectExtent l="0" t="0" r="11430" b="13970"/>
            <wp:docPr id="6" name="图片 2" descr="截图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截图_1"/>
                    <pic:cNvPicPr>
                      <a:picLocks noChangeAspect="1"/>
                    </pic:cNvPicPr>
                  </pic:nvPicPr>
                  <pic:blipFill>
                    <a:blip r:embed="rId11"/>
                    <a:stretch>
                      <a:fillRect/>
                    </a:stretch>
                  </pic:blipFill>
                  <pic:spPr>
                    <a:xfrm>
                      <a:off x="0" y="0"/>
                      <a:ext cx="4408170" cy="2576830"/>
                    </a:xfrm>
                    <a:prstGeom prst="rect">
                      <a:avLst/>
                    </a:prstGeom>
                    <a:noFill/>
                    <a:ln>
                      <a:noFill/>
                    </a:ln>
                  </pic:spPr>
                </pic:pic>
              </a:graphicData>
            </a:graphic>
          </wp:inline>
        </w:drawing>
      </w:r>
    </w:p>
    <w:p>
      <w:pPr>
        <w:pStyle w:val="5"/>
        <w:jc w:val="left"/>
        <w:rPr>
          <w:highlight w:val="none"/>
        </w:rPr>
      </w:pPr>
      <w:r>
        <w:rPr>
          <w:highlight w:val="none"/>
        </w:rPr>
        <w:drawing>
          <wp:inline distT="0" distB="0" distL="114300" distR="114300">
            <wp:extent cx="4680585" cy="3998595"/>
            <wp:effectExtent l="0" t="0" r="5715" b="190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12"/>
                    <a:stretch>
                      <a:fillRect/>
                    </a:stretch>
                  </pic:blipFill>
                  <pic:spPr>
                    <a:xfrm>
                      <a:off x="0" y="0"/>
                      <a:ext cx="4680585" cy="3998595"/>
                    </a:xfrm>
                    <a:prstGeom prst="rect">
                      <a:avLst/>
                    </a:prstGeom>
                    <a:noFill/>
                    <a:ln>
                      <a:noFill/>
                    </a:ln>
                  </pic:spPr>
                </pic:pic>
              </a:graphicData>
            </a:graphic>
          </wp:inline>
        </w:drawing>
      </w:r>
    </w:p>
    <w:p>
      <w:pPr>
        <w:pStyle w:val="4"/>
        <w:pageBreakBefore/>
        <w:spacing w:before="156" w:beforeLines="50" w:after="156" w:afterLines="50" w:line="360" w:lineRule="auto"/>
        <w:ind w:left="0"/>
        <w:jc w:val="center"/>
        <w:rPr>
          <w:b/>
          <w:highlight w:val="none"/>
        </w:rPr>
      </w:pPr>
      <w:bookmarkStart w:id="390" w:name="_Toc5493"/>
      <w:bookmarkStart w:id="391" w:name="_Toc21657"/>
      <w:bookmarkStart w:id="392" w:name="_Toc23784"/>
      <w:bookmarkStart w:id="393" w:name="_Toc14269"/>
      <w:r>
        <w:rPr>
          <w:rFonts w:hint="eastAsia"/>
          <w:b/>
          <w:highlight w:val="none"/>
        </w:rPr>
        <w:t>格式</w:t>
      </w:r>
      <w:r>
        <w:rPr>
          <w:rFonts w:hint="eastAsia" w:ascii="宋体" w:hAnsi="宋体" w:cs="宋体"/>
          <w:b/>
          <w:highlight w:val="none"/>
        </w:rPr>
        <w:t>九</w:t>
      </w:r>
      <w:r>
        <w:rPr>
          <w:rFonts w:hint="eastAsia"/>
          <w:b/>
          <w:highlight w:val="none"/>
        </w:rPr>
        <w:t>、商务评分索引表（对应商务评审表）</w:t>
      </w:r>
      <w:bookmarkEnd w:id="382"/>
      <w:bookmarkEnd w:id="383"/>
      <w:bookmarkEnd w:id="384"/>
      <w:bookmarkEnd w:id="385"/>
      <w:bookmarkEnd w:id="386"/>
      <w:bookmarkEnd w:id="387"/>
      <w:bookmarkEnd w:id="388"/>
      <w:bookmarkEnd w:id="389"/>
      <w:bookmarkEnd w:id="390"/>
      <w:bookmarkEnd w:id="391"/>
      <w:bookmarkEnd w:id="392"/>
      <w:bookmarkEnd w:id="393"/>
    </w:p>
    <w:tbl>
      <w:tblPr>
        <w:tblStyle w:val="25"/>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5"/>
        <w:gridCol w:w="2389"/>
        <w:gridCol w:w="2838"/>
        <w:gridCol w:w="1146"/>
        <w:gridCol w:w="1217"/>
        <w:gridCol w:w="9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2884" w:type="dxa"/>
            <w:gridSpan w:val="2"/>
            <w:tcMar>
              <w:left w:w="28" w:type="dxa"/>
              <w:right w:w="28" w:type="dxa"/>
            </w:tcMar>
            <w:vAlign w:val="center"/>
          </w:tcPr>
          <w:p>
            <w:pPr>
              <w:autoSpaceDE w:val="0"/>
              <w:autoSpaceDN w:val="0"/>
              <w:adjustRightInd w:val="0"/>
              <w:ind w:right="84" w:rightChars="40"/>
              <w:jc w:val="center"/>
              <w:rPr>
                <w:rFonts w:hint="eastAsia" w:ascii="宋体" w:hAnsi="宋体" w:cs="Arial"/>
                <w:b/>
                <w:szCs w:val="21"/>
                <w:highlight w:val="none"/>
              </w:rPr>
            </w:pPr>
            <w:r>
              <w:rPr>
                <w:rFonts w:hint="eastAsia" w:ascii="宋体" w:hAnsi="宋体" w:cs="Arial"/>
                <w:b/>
                <w:szCs w:val="21"/>
                <w:highlight w:val="none"/>
              </w:rPr>
              <w:t>谈判文件评审内容</w:t>
            </w:r>
          </w:p>
        </w:tc>
        <w:tc>
          <w:tcPr>
            <w:tcW w:w="2838" w:type="dxa"/>
            <w:tcMar>
              <w:left w:w="28" w:type="dxa"/>
              <w:right w:w="28" w:type="dxa"/>
            </w:tcMar>
            <w:vAlign w:val="center"/>
          </w:tcPr>
          <w:p>
            <w:pPr>
              <w:autoSpaceDE w:val="0"/>
              <w:autoSpaceDN w:val="0"/>
              <w:adjustRightInd w:val="0"/>
              <w:ind w:right="84" w:rightChars="40"/>
              <w:jc w:val="center"/>
              <w:rPr>
                <w:rFonts w:hint="eastAsia" w:ascii="宋体" w:hAnsi="宋体" w:cs="Arial"/>
                <w:b/>
                <w:szCs w:val="21"/>
                <w:highlight w:val="none"/>
              </w:rPr>
            </w:pPr>
            <w:r>
              <w:rPr>
                <w:rFonts w:hint="eastAsia" w:ascii="宋体" w:hAnsi="宋体" w:cs="Arial"/>
                <w:b/>
                <w:szCs w:val="21"/>
                <w:highlight w:val="none"/>
              </w:rPr>
              <w:t>供应商响应内容</w:t>
            </w:r>
          </w:p>
        </w:tc>
        <w:tc>
          <w:tcPr>
            <w:tcW w:w="1146" w:type="dxa"/>
            <w:tcMar>
              <w:left w:w="28" w:type="dxa"/>
              <w:right w:w="28" w:type="dxa"/>
            </w:tcMar>
            <w:vAlign w:val="center"/>
          </w:tcPr>
          <w:p>
            <w:pPr>
              <w:autoSpaceDE w:val="0"/>
              <w:autoSpaceDN w:val="0"/>
              <w:adjustRightInd w:val="0"/>
              <w:ind w:right="84" w:rightChars="40"/>
              <w:jc w:val="center"/>
              <w:rPr>
                <w:rFonts w:hint="eastAsia" w:ascii="宋体" w:hAnsi="宋体" w:cs="Arial"/>
                <w:b/>
                <w:szCs w:val="21"/>
                <w:highlight w:val="none"/>
              </w:rPr>
            </w:pPr>
            <w:r>
              <w:rPr>
                <w:rFonts w:hint="eastAsia" w:ascii="宋体" w:hAnsi="宋体" w:cs="Arial"/>
                <w:b/>
                <w:szCs w:val="21"/>
                <w:highlight w:val="none"/>
              </w:rPr>
              <w:t>证明材料</w:t>
            </w:r>
          </w:p>
        </w:tc>
        <w:tc>
          <w:tcPr>
            <w:tcW w:w="1217" w:type="dxa"/>
            <w:vAlign w:val="center"/>
          </w:tcPr>
          <w:p>
            <w:pPr>
              <w:autoSpaceDE w:val="0"/>
              <w:autoSpaceDN w:val="0"/>
              <w:adjustRightInd w:val="0"/>
              <w:ind w:right="84" w:rightChars="40"/>
              <w:jc w:val="center"/>
              <w:rPr>
                <w:rFonts w:hint="eastAsia" w:ascii="宋体" w:hAnsi="宋体" w:cs="Arial"/>
                <w:b/>
                <w:szCs w:val="21"/>
                <w:highlight w:val="none"/>
              </w:rPr>
            </w:pPr>
            <w:r>
              <w:rPr>
                <w:rFonts w:hint="eastAsia" w:ascii="宋体" w:hAnsi="宋体" w:cs="Arial"/>
                <w:b/>
                <w:szCs w:val="21"/>
                <w:highlight w:val="none"/>
              </w:rPr>
              <w:t>所在页码</w:t>
            </w:r>
          </w:p>
        </w:tc>
        <w:tc>
          <w:tcPr>
            <w:tcW w:w="959" w:type="dxa"/>
            <w:vAlign w:val="center"/>
          </w:tcPr>
          <w:p>
            <w:pPr>
              <w:autoSpaceDE w:val="0"/>
              <w:autoSpaceDN w:val="0"/>
              <w:adjustRightInd w:val="0"/>
              <w:ind w:right="84" w:rightChars="40"/>
              <w:jc w:val="center"/>
              <w:rPr>
                <w:rFonts w:hint="eastAsia" w:ascii="宋体" w:hAnsi="宋体" w:cs="Arial"/>
                <w:b/>
                <w:szCs w:val="21"/>
                <w:highlight w:val="none"/>
              </w:rPr>
            </w:pPr>
            <w:r>
              <w:rPr>
                <w:rFonts w:hint="eastAsia" w:ascii="宋体" w:hAnsi="宋体" w:cs="Arial"/>
                <w:b/>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Arial"/>
                <w:b/>
                <w:szCs w:val="21"/>
                <w:highlight w:val="none"/>
              </w:rPr>
            </w:pPr>
            <w:r>
              <w:rPr>
                <w:rFonts w:hint="eastAsia" w:ascii="宋体" w:hAnsi="宋体" w:cs="Arial"/>
                <w:b/>
                <w:szCs w:val="21"/>
                <w:highlight w:val="none"/>
              </w:rPr>
              <w:t>1</w:t>
            </w:r>
          </w:p>
        </w:tc>
        <w:tc>
          <w:tcPr>
            <w:tcW w:w="2389" w:type="dxa"/>
            <w:tcMar>
              <w:left w:w="28" w:type="dxa"/>
              <w:right w:w="28" w:type="dxa"/>
            </w:tcMar>
            <w:vAlign w:val="center"/>
          </w:tcPr>
          <w:p>
            <w:pPr>
              <w:jc w:val="center"/>
              <w:rPr>
                <w:rFonts w:hint="eastAsia" w:ascii="宋体" w:hAnsi="宋体" w:cs="宋体"/>
                <w:szCs w:val="21"/>
                <w:highlight w:val="none"/>
              </w:rPr>
            </w:pPr>
            <w:r>
              <w:rPr>
                <w:rFonts w:hint="eastAsia" w:ascii="宋体" w:hAnsi="宋体" w:cs="宋体"/>
                <w:szCs w:val="21"/>
                <w:highlight w:val="none"/>
              </w:rPr>
              <w:t>酒店星级/钻级</w:t>
            </w:r>
          </w:p>
          <w:p>
            <w:pPr>
              <w:jc w:val="center"/>
              <w:rPr>
                <w:rFonts w:hint="eastAsia" w:ascii="宋体" w:hAnsi="宋体"/>
                <w:bCs/>
                <w:szCs w:val="21"/>
                <w:highlight w:val="none"/>
              </w:rPr>
            </w:pPr>
            <w:r>
              <w:rPr>
                <w:rFonts w:hint="eastAsia" w:ascii="宋体" w:hAnsi="宋体" w:cs="宋体"/>
                <w:szCs w:val="21"/>
                <w:highlight w:val="none"/>
              </w:rPr>
              <w:t>及携程评分</w:t>
            </w:r>
          </w:p>
        </w:tc>
        <w:tc>
          <w:tcPr>
            <w:tcW w:w="2838" w:type="dxa"/>
            <w:tcMar>
              <w:left w:w="28" w:type="dxa"/>
              <w:right w:w="28" w:type="dxa"/>
            </w:tcMar>
            <w:vAlign w:val="center"/>
          </w:tcPr>
          <w:p>
            <w:pPr>
              <w:rPr>
                <w:rFonts w:hint="eastAsia" w:ascii="宋体" w:hAnsi="宋体"/>
                <w:szCs w:val="21"/>
                <w:highlight w:val="none"/>
              </w:rPr>
            </w:pPr>
          </w:p>
        </w:tc>
        <w:tc>
          <w:tcPr>
            <w:tcW w:w="1146" w:type="dxa"/>
            <w:tcMar>
              <w:left w:w="28" w:type="dxa"/>
              <w:right w:w="28" w:type="dxa"/>
            </w:tcMar>
            <w:vAlign w:val="center"/>
          </w:tcPr>
          <w:p>
            <w:pPr>
              <w:rPr>
                <w:rFonts w:hint="eastAsia" w:ascii="宋体" w:hAnsi="宋体"/>
                <w:szCs w:val="21"/>
                <w:highlight w:val="none"/>
              </w:rPr>
            </w:pPr>
          </w:p>
        </w:tc>
        <w:tc>
          <w:tcPr>
            <w:tcW w:w="1217" w:type="dxa"/>
            <w:vAlign w:val="center"/>
          </w:tcPr>
          <w:p>
            <w:pPr>
              <w:rPr>
                <w:rFonts w:hint="eastAsia" w:ascii="宋体" w:hAnsi="宋体"/>
                <w:szCs w:val="21"/>
                <w:highlight w:val="none"/>
              </w:rPr>
            </w:pPr>
          </w:p>
        </w:tc>
        <w:tc>
          <w:tcPr>
            <w:tcW w:w="959" w:type="dxa"/>
            <w:vAlign w:val="center"/>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Arial"/>
                <w:b/>
                <w:szCs w:val="21"/>
                <w:highlight w:val="none"/>
              </w:rPr>
            </w:pPr>
            <w:r>
              <w:rPr>
                <w:rFonts w:hint="eastAsia" w:ascii="宋体" w:hAnsi="宋体" w:cs="Arial"/>
                <w:b/>
                <w:szCs w:val="21"/>
                <w:highlight w:val="none"/>
              </w:rPr>
              <w:t>2</w:t>
            </w:r>
          </w:p>
        </w:tc>
        <w:tc>
          <w:tcPr>
            <w:tcW w:w="2389" w:type="dxa"/>
            <w:tcMar>
              <w:left w:w="28" w:type="dxa"/>
              <w:right w:w="28" w:type="dxa"/>
            </w:tcMar>
            <w:vAlign w:val="center"/>
          </w:tcPr>
          <w:p>
            <w:pPr>
              <w:jc w:val="center"/>
              <w:rPr>
                <w:rFonts w:hint="eastAsia" w:ascii="宋体" w:hAnsi="宋体"/>
                <w:bCs/>
                <w:szCs w:val="21"/>
                <w:highlight w:val="none"/>
              </w:rPr>
            </w:pPr>
            <w:r>
              <w:rPr>
                <w:rFonts w:hint="eastAsia" w:ascii="宋体" w:hAnsi="宋体" w:cs="宋体"/>
                <w:szCs w:val="21"/>
                <w:highlight w:val="none"/>
              </w:rPr>
              <w:t>餐饮资质</w:t>
            </w:r>
          </w:p>
        </w:tc>
        <w:tc>
          <w:tcPr>
            <w:tcW w:w="2838" w:type="dxa"/>
            <w:tcMar>
              <w:left w:w="28" w:type="dxa"/>
              <w:right w:w="28" w:type="dxa"/>
            </w:tcMar>
            <w:vAlign w:val="center"/>
          </w:tcPr>
          <w:p>
            <w:pPr>
              <w:rPr>
                <w:rFonts w:hint="eastAsia" w:ascii="宋体" w:hAnsi="宋体"/>
                <w:szCs w:val="21"/>
                <w:highlight w:val="none"/>
              </w:rPr>
            </w:pPr>
          </w:p>
        </w:tc>
        <w:tc>
          <w:tcPr>
            <w:tcW w:w="1146" w:type="dxa"/>
            <w:tcMar>
              <w:left w:w="28" w:type="dxa"/>
              <w:right w:w="28" w:type="dxa"/>
            </w:tcMar>
            <w:vAlign w:val="center"/>
          </w:tcPr>
          <w:p>
            <w:pPr>
              <w:rPr>
                <w:rFonts w:hint="eastAsia" w:ascii="宋体" w:hAnsi="宋体"/>
                <w:szCs w:val="21"/>
                <w:highlight w:val="none"/>
              </w:rPr>
            </w:pPr>
          </w:p>
        </w:tc>
        <w:tc>
          <w:tcPr>
            <w:tcW w:w="1217" w:type="dxa"/>
            <w:vAlign w:val="center"/>
          </w:tcPr>
          <w:p>
            <w:pPr>
              <w:rPr>
                <w:rFonts w:hint="eastAsia" w:ascii="宋体" w:hAnsi="宋体"/>
                <w:szCs w:val="21"/>
                <w:highlight w:val="none"/>
              </w:rPr>
            </w:pPr>
          </w:p>
        </w:tc>
        <w:tc>
          <w:tcPr>
            <w:tcW w:w="959" w:type="dxa"/>
            <w:vAlign w:val="center"/>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Arial"/>
                <w:b/>
                <w:szCs w:val="21"/>
                <w:highlight w:val="none"/>
              </w:rPr>
            </w:pPr>
            <w:r>
              <w:rPr>
                <w:rFonts w:hint="eastAsia" w:ascii="宋体" w:hAnsi="宋体" w:cs="Arial"/>
                <w:b/>
                <w:szCs w:val="21"/>
                <w:highlight w:val="none"/>
              </w:rPr>
              <w:t>3</w:t>
            </w:r>
          </w:p>
        </w:tc>
        <w:tc>
          <w:tcPr>
            <w:tcW w:w="2389" w:type="dxa"/>
            <w:tcMar>
              <w:left w:w="28" w:type="dxa"/>
              <w:right w:w="28" w:type="dxa"/>
            </w:tcMar>
            <w:vAlign w:val="center"/>
          </w:tcPr>
          <w:p>
            <w:pPr>
              <w:spacing w:line="360" w:lineRule="auto"/>
              <w:jc w:val="center"/>
              <w:rPr>
                <w:rFonts w:hint="eastAsia" w:ascii="宋体" w:hAnsi="宋体"/>
                <w:bCs/>
                <w:szCs w:val="21"/>
                <w:highlight w:val="none"/>
              </w:rPr>
            </w:pPr>
          </w:p>
        </w:tc>
        <w:tc>
          <w:tcPr>
            <w:tcW w:w="2838" w:type="dxa"/>
            <w:tcMar>
              <w:left w:w="28" w:type="dxa"/>
              <w:right w:w="28" w:type="dxa"/>
            </w:tcMar>
            <w:vAlign w:val="center"/>
          </w:tcPr>
          <w:p>
            <w:pPr>
              <w:rPr>
                <w:rFonts w:hint="eastAsia" w:ascii="宋体" w:hAnsi="宋体"/>
                <w:szCs w:val="21"/>
                <w:highlight w:val="none"/>
              </w:rPr>
            </w:pPr>
          </w:p>
        </w:tc>
        <w:tc>
          <w:tcPr>
            <w:tcW w:w="1146" w:type="dxa"/>
            <w:tcMar>
              <w:left w:w="28" w:type="dxa"/>
              <w:right w:w="28" w:type="dxa"/>
            </w:tcMar>
            <w:vAlign w:val="center"/>
          </w:tcPr>
          <w:p>
            <w:pPr>
              <w:rPr>
                <w:rFonts w:hint="eastAsia" w:ascii="宋体" w:hAnsi="宋体"/>
                <w:szCs w:val="21"/>
                <w:highlight w:val="none"/>
              </w:rPr>
            </w:pPr>
          </w:p>
        </w:tc>
        <w:tc>
          <w:tcPr>
            <w:tcW w:w="1217" w:type="dxa"/>
            <w:vAlign w:val="center"/>
          </w:tcPr>
          <w:p>
            <w:pPr>
              <w:rPr>
                <w:rFonts w:hint="eastAsia" w:ascii="宋体" w:hAnsi="宋体"/>
                <w:szCs w:val="21"/>
                <w:highlight w:val="none"/>
              </w:rPr>
            </w:pPr>
          </w:p>
        </w:tc>
        <w:tc>
          <w:tcPr>
            <w:tcW w:w="959" w:type="dxa"/>
            <w:vAlign w:val="center"/>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Arial"/>
                <w:b/>
                <w:szCs w:val="21"/>
                <w:highlight w:val="none"/>
              </w:rPr>
            </w:pPr>
            <w:r>
              <w:rPr>
                <w:rFonts w:hint="eastAsia" w:ascii="宋体" w:hAnsi="宋体" w:cs="Arial"/>
                <w:b/>
                <w:szCs w:val="21"/>
                <w:highlight w:val="none"/>
              </w:rPr>
              <w:t>4</w:t>
            </w:r>
          </w:p>
        </w:tc>
        <w:tc>
          <w:tcPr>
            <w:tcW w:w="2389" w:type="dxa"/>
            <w:tcMar>
              <w:left w:w="28" w:type="dxa"/>
              <w:right w:w="28" w:type="dxa"/>
            </w:tcMar>
            <w:vAlign w:val="center"/>
          </w:tcPr>
          <w:p>
            <w:pPr>
              <w:spacing w:line="360" w:lineRule="auto"/>
              <w:jc w:val="center"/>
              <w:rPr>
                <w:rFonts w:hint="eastAsia" w:ascii="宋体" w:hAnsi="宋体"/>
                <w:bCs/>
                <w:szCs w:val="21"/>
                <w:highlight w:val="none"/>
              </w:rPr>
            </w:pPr>
          </w:p>
        </w:tc>
        <w:tc>
          <w:tcPr>
            <w:tcW w:w="2838" w:type="dxa"/>
            <w:tcMar>
              <w:left w:w="28" w:type="dxa"/>
              <w:right w:w="28" w:type="dxa"/>
            </w:tcMar>
            <w:vAlign w:val="center"/>
          </w:tcPr>
          <w:p>
            <w:pPr>
              <w:rPr>
                <w:rFonts w:hint="eastAsia" w:ascii="宋体" w:hAnsi="宋体"/>
                <w:szCs w:val="21"/>
                <w:highlight w:val="none"/>
              </w:rPr>
            </w:pPr>
          </w:p>
        </w:tc>
        <w:tc>
          <w:tcPr>
            <w:tcW w:w="1146" w:type="dxa"/>
            <w:tcMar>
              <w:left w:w="28" w:type="dxa"/>
              <w:right w:w="28" w:type="dxa"/>
            </w:tcMar>
            <w:vAlign w:val="center"/>
          </w:tcPr>
          <w:p>
            <w:pPr>
              <w:rPr>
                <w:rFonts w:hint="eastAsia" w:ascii="宋体" w:hAnsi="宋体"/>
                <w:szCs w:val="21"/>
                <w:highlight w:val="none"/>
              </w:rPr>
            </w:pPr>
          </w:p>
        </w:tc>
        <w:tc>
          <w:tcPr>
            <w:tcW w:w="1217" w:type="dxa"/>
            <w:vAlign w:val="center"/>
          </w:tcPr>
          <w:p>
            <w:pPr>
              <w:rPr>
                <w:rFonts w:hint="eastAsia" w:ascii="宋体" w:hAnsi="宋体"/>
                <w:szCs w:val="21"/>
                <w:highlight w:val="none"/>
              </w:rPr>
            </w:pPr>
          </w:p>
        </w:tc>
        <w:tc>
          <w:tcPr>
            <w:tcW w:w="959" w:type="dxa"/>
            <w:vAlign w:val="center"/>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Arial"/>
                <w:b/>
                <w:szCs w:val="21"/>
                <w:highlight w:val="none"/>
              </w:rPr>
            </w:pPr>
            <w:r>
              <w:rPr>
                <w:rFonts w:hint="eastAsia" w:ascii="宋体" w:hAnsi="宋体" w:cs="Arial"/>
                <w:b/>
                <w:szCs w:val="21"/>
                <w:highlight w:val="none"/>
              </w:rPr>
              <w:t>5</w:t>
            </w:r>
          </w:p>
        </w:tc>
        <w:tc>
          <w:tcPr>
            <w:tcW w:w="2389" w:type="dxa"/>
            <w:tcMar>
              <w:left w:w="28" w:type="dxa"/>
              <w:right w:w="28" w:type="dxa"/>
            </w:tcMar>
            <w:vAlign w:val="center"/>
          </w:tcPr>
          <w:p>
            <w:pPr>
              <w:spacing w:line="360" w:lineRule="auto"/>
              <w:jc w:val="center"/>
              <w:rPr>
                <w:rFonts w:hint="eastAsia" w:ascii="宋体" w:hAnsi="宋体"/>
                <w:szCs w:val="21"/>
                <w:highlight w:val="none"/>
              </w:rPr>
            </w:pPr>
          </w:p>
        </w:tc>
        <w:tc>
          <w:tcPr>
            <w:tcW w:w="2838" w:type="dxa"/>
            <w:tcMar>
              <w:left w:w="28" w:type="dxa"/>
              <w:right w:w="28" w:type="dxa"/>
            </w:tcMar>
            <w:vAlign w:val="center"/>
          </w:tcPr>
          <w:p>
            <w:pPr>
              <w:rPr>
                <w:rFonts w:hint="eastAsia" w:ascii="宋体" w:hAnsi="宋体"/>
                <w:szCs w:val="21"/>
                <w:highlight w:val="none"/>
              </w:rPr>
            </w:pPr>
          </w:p>
        </w:tc>
        <w:tc>
          <w:tcPr>
            <w:tcW w:w="1146" w:type="dxa"/>
            <w:tcMar>
              <w:left w:w="28" w:type="dxa"/>
              <w:right w:w="28" w:type="dxa"/>
            </w:tcMar>
            <w:vAlign w:val="center"/>
          </w:tcPr>
          <w:p>
            <w:pPr>
              <w:rPr>
                <w:rFonts w:hint="eastAsia" w:ascii="宋体" w:hAnsi="宋体"/>
                <w:szCs w:val="21"/>
                <w:highlight w:val="none"/>
              </w:rPr>
            </w:pPr>
          </w:p>
        </w:tc>
        <w:tc>
          <w:tcPr>
            <w:tcW w:w="1217" w:type="dxa"/>
            <w:vAlign w:val="center"/>
          </w:tcPr>
          <w:p>
            <w:pPr>
              <w:rPr>
                <w:rFonts w:hint="eastAsia" w:ascii="宋体" w:hAnsi="宋体"/>
                <w:szCs w:val="21"/>
                <w:highlight w:val="none"/>
              </w:rPr>
            </w:pPr>
          </w:p>
        </w:tc>
        <w:tc>
          <w:tcPr>
            <w:tcW w:w="959" w:type="dxa"/>
            <w:vAlign w:val="center"/>
          </w:tcPr>
          <w:p>
            <w:pP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495" w:type="dxa"/>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Arial"/>
                <w:b/>
                <w:szCs w:val="21"/>
                <w:highlight w:val="none"/>
              </w:rPr>
            </w:pPr>
            <w:r>
              <w:rPr>
                <w:rFonts w:hint="eastAsia" w:ascii="宋体" w:hAnsi="宋体" w:cs="Arial"/>
                <w:b/>
                <w:szCs w:val="21"/>
                <w:highlight w:val="none"/>
              </w:rPr>
              <w:t>...</w:t>
            </w:r>
          </w:p>
        </w:tc>
        <w:tc>
          <w:tcPr>
            <w:tcW w:w="2389" w:type="dxa"/>
            <w:tcMar>
              <w:left w:w="28" w:type="dxa"/>
              <w:right w:w="28" w:type="dxa"/>
            </w:tcMar>
            <w:vAlign w:val="center"/>
          </w:tcPr>
          <w:p>
            <w:pPr>
              <w:spacing w:line="360" w:lineRule="auto"/>
              <w:jc w:val="center"/>
              <w:rPr>
                <w:rFonts w:hint="eastAsia" w:ascii="宋体" w:hAnsi="宋体"/>
                <w:szCs w:val="21"/>
                <w:highlight w:val="none"/>
              </w:rPr>
            </w:pPr>
          </w:p>
        </w:tc>
        <w:tc>
          <w:tcPr>
            <w:tcW w:w="2838" w:type="dxa"/>
            <w:tcMar>
              <w:left w:w="28" w:type="dxa"/>
              <w:right w:w="28" w:type="dxa"/>
            </w:tcMar>
            <w:vAlign w:val="center"/>
          </w:tcPr>
          <w:p>
            <w:pPr>
              <w:rPr>
                <w:rFonts w:hint="eastAsia" w:ascii="宋体" w:hAnsi="宋体"/>
                <w:szCs w:val="21"/>
                <w:highlight w:val="none"/>
              </w:rPr>
            </w:pPr>
          </w:p>
        </w:tc>
        <w:tc>
          <w:tcPr>
            <w:tcW w:w="1146" w:type="dxa"/>
            <w:tcMar>
              <w:left w:w="28" w:type="dxa"/>
              <w:right w:w="28" w:type="dxa"/>
            </w:tcMar>
            <w:vAlign w:val="center"/>
          </w:tcPr>
          <w:p>
            <w:pPr>
              <w:rPr>
                <w:rFonts w:hint="eastAsia" w:ascii="宋体" w:hAnsi="宋体"/>
                <w:szCs w:val="21"/>
                <w:highlight w:val="none"/>
              </w:rPr>
            </w:pPr>
          </w:p>
        </w:tc>
        <w:tc>
          <w:tcPr>
            <w:tcW w:w="1217" w:type="dxa"/>
            <w:vAlign w:val="center"/>
          </w:tcPr>
          <w:p>
            <w:pPr>
              <w:rPr>
                <w:rFonts w:hint="eastAsia" w:ascii="宋体" w:hAnsi="宋体"/>
                <w:szCs w:val="21"/>
                <w:highlight w:val="none"/>
              </w:rPr>
            </w:pPr>
          </w:p>
        </w:tc>
        <w:tc>
          <w:tcPr>
            <w:tcW w:w="959" w:type="dxa"/>
            <w:vAlign w:val="center"/>
          </w:tcPr>
          <w:p>
            <w:pPr>
              <w:rPr>
                <w:rFonts w:hint="eastAsia" w:ascii="宋体" w:hAnsi="宋体"/>
                <w:szCs w:val="21"/>
                <w:highlight w:val="none"/>
              </w:rPr>
            </w:pPr>
          </w:p>
        </w:tc>
      </w:tr>
    </w:tbl>
    <w:p>
      <w:pPr>
        <w:spacing w:line="360" w:lineRule="auto"/>
        <w:rPr>
          <w:rFonts w:hint="eastAsia" w:ascii="宋体" w:hAnsi="宋体"/>
          <w:b/>
          <w:bCs/>
          <w:szCs w:val="21"/>
          <w:highlight w:val="none"/>
        </w:rPr>
      </w:pPr>
      <w:r>
        <w:rPr>
          <w:rFonts w:hint="eastAsia" w:ascii="宋体" w:hAnsi="宋体"/>
          <w:b/>
          <w:bCs/>
          <w:szCs w:val="21"/>
          <w:highlight w:val="none"/>
        </w:rPr>
        <w:t>注：请供应商根据</w:t>
      </w:r>
      <w:r>
        <w:rPr>
          <w:rFonts w:hint="eastAsia" w:ascii="宋体" w:hAnsi="宋体" w:cs="Arial"/>
          <w:b/>
          <w:szCs w:val="21"/>
          <w:highlight w:val="none"/>
        </w:rPr>
        <w:t>谈判文件</w:t>
      </w:r>
      <w:r>
        <w:rPr>
          <w:rFonts w:hint="eastAsia" w:ascii="宋体" w:hAnsi="宋体"/>
          <w:b/>
          <w:bCs/>
          <w:szCs w:val="21"/>
          <w:highlight w:val="none"/>
        </w:rPr>
        <w:t>的商务评审表逐项响应，表格不够填写的资料可以另页。证明材料可以附后。</w:t>
      </w:r>
    </w:p>
    <w:p>
      <w:pPr>
        <w:spacing w:line="360" w:lineRule="auto"/>
        <w:ind w:firstLine="2940" w:firstLineChars="1400"/>
        <w:jc w:val="left"/>
        <w:rPr>
          <w:rFonts w:hint="eastAsia" w:ascii="宋体" w:hAnsi="宋体"/>
          <w:szCs w:val="21"/>
          <w:highlight w:val="none"/>
        </w:rPr>
      </w:pPr>
      <w:bookmarkStart w:id="394" w:name="_Toc29619"/>
      <w:bookmarkStart w:id="395" w:name="_Toc504657641"/>
    </w:p>
    <w:p>
      <w:pPr>
        <w:spacing w:line="360" w:lineRule="auto"/>
        <w:ind w:firstLine="2940" w:firstLineChars="1400"/>
        <w:jc w:val="left"/>
        <w:rPr>
          <w:rFonts w:hint="eastAsia" w:ascii="宋体" w:hAnsi="宋体"/>
          <w:szCs w:val="21"/>
          <w:highlight w:val="none"/>
        </w:rPr>
      </w:pPr>
    </w:p>
    <w:p>
      <w:pPr>
        <w:spacing w:line="360" w:lineRule="auto"/>
        <w:ind w:firstLine="2940" w:firstLineChars="1400"/>
        <w:jc w:val="left"/>
        <w:rPr>
          <w:rFonts w:hint="eastAsia" w:ascii="宋体" w:hAnsi="宋体"/>
          <w:szCs w:val="21"/>
          <w:highlight w:val="none"/>
          <w:u w:val="single"/>
        </w:rPr>
      </w:pPr>
      <w:r>
        <w:rPr>
          <w:rFonts w:hint="eastAsia" w:ascii="宋体" w:hAnsi="宋体"/>
          <w:szCs w:val="21"/>
          <w:highlight w:val="none"/>
        </w:rPr>
        <w:t>供应商（单位公章）：</w:t>
      </w:r>
      <w:r>
        <w:rPr>
          <w:rFonts w:hint="eastAsia" w:ascii="宋体" w:hAnsi="宋体"/>
          <w:szCs w:val="21"/>
          <w:highlight w:val="none"/>
          <w:u w:val="single"/>
        </w:rPr>
        <w:t xml:space="preserve">                              </w:t>
      </w:r>
    </w:p>
    <w:p>
      <w:pPr>
        <w:spacing w:before="156" w:beforeLines="50" w:after="156" w:afterLines="50" w:line="360" w:lineRule="auto"/>
        <w:ind w:firstLine="3570" w:firstLineChars="1700"/>
        <w:rPr>
          <w:rFonts w:hint="eastAsia" w:ascii="宋体" w:hAnsi="宋体" w:cs="Arial"/>
          <w:szCs w:val="21"/>
          <w:highlight w:val="none"/>
        </w:rPr>
      </w:pPr>
      <w:r>
        <w:rPr>
          <w:rFonts w:hint="eastAsia" w:ascii="宋体" w:hAnsi="宋体" w:cs="Arial"/>
          <w:szCs w:val="21"/>
          <w:highlight w:val="none"/>
          <w:u w:val="single"/>
        </w:rPr>
        <w:t xml:space="preserve">    </w:t>
      </w:r>
      <w:r>
        <w:rPr>
          <w:rFonts w:hint="eastAsia" w:ascii="宋体" w:hAnsi="宋体" w:cs="Arial"/>
          <w:szCs w:val="21"/>
          <w:highlight w:val="none"/>
        </w:rPr>
        <w:t>年</w:t>
      </w:r>
      <w:r>
        <w:rPr>
          <w:rFonts w:hint="eastAsia" w:ascii="宋体" w:hAnsi="宋体" w:cs="Arial"/>
          <w:szCs w:val="21"/>
          <w:highlight w:val="none"/>
          <w:u w:val="single"/>
        </w:rPr>
        <w:t xml:space="preserve">    </w:t>
      </w:r>
      <w:r>
        <w:rPr>
          <w:rFonts w:hint="eastAsia" w:ascii="宋体" w:hAnsi="宋体" w:cs="Arial"/>
          <w:szCs w:val="21"/>
          <w:highlight w:val="none"/>
        </w:rPr>
        <w:t>月</w:t>
      </w:r>
      <w:r>
        <w:rPr>
          <w:rFonts w:hint="eastAsia" w:ascii="宋体" w:hAnsi="宋体" w:cs="Arial"/>
          <w:szCs w:val="21"/>
          <w:highlight w:val="none"/>
          <w:u w:val="single"/>
        </w:rPr>
        <w:t xml:space="preserve">   </w:t>
      </w:r>
      <w:r>
        <w:rPr>
          <w:rFonts w:hint="eastAsia" w:ascii="宋体" w:hAnsi="宋体" w:cs="Arial"/>
          <w:szCs w:val="21"/>
          <w:highlight w:val="none"/>
        </w:rPr>
        <w:t>日</w:t>
      </w:r>
    </w:p>
    <w:p>
      <w:pPr>
        <w:spacing w:before="156" w:beforeLines="50" w:after="156" w:afterLines="50" w:line="360" w:lineRule="auto"/>
        <w:ind w:firstLine="3570" w:firstLineChars="1700"/>
        <w:rPr>
          <w:rFonts w:hint="eastAsia" w:ascii="宋体" w:hAnsi="宋体" w:cs="Arial"/>
          <w:szCs w:val="21"/>
          <w:highlight w:val="none"/>
        </w:rPr>
      </w:pPr>
    </w:p>
    <w:p>
      <w:pPr>
        <w:pStyle w:val="4"/>
        <w:pageBreakBefore/>
        <w:spacing w:before="156" w:beforeLines="50" w:after="156" w:afterLines="50" w:line="360" w:lineRule="auto"/>
        <w:ind w:left="0"/>
        <w:jc w:val="center"/>
        <w:rPr>
          <w:b/>
          <w:highlight w:val="none"/>
        </w:rPr>
      </w:pPr>
      <w:bookmarkStart w:id="396" w:name="_Toc5974"/>
      <w:bookmarkStart w:id="397" w:name="_Toc11710"/>
      <w:r>
        <w:rPr>
          <w:rFonts w:hint="eastAsia"/>
          <w:b/>
          <w:highlight w:val="none"/>
        </w:rPr>
        <w:t>格式九-1  商务响应格式（对应商务评审表部分）</w:t>
      </w:r>
      <w:bookmarkEnd w:id="396"/>
      <w:bookmarkEnd w:id="397"/>
    </w:p>
    <w:p>
      <w:pPr>
        <w:rPr>
          <w:highlight w:val="none"/>
        </w:rPr>
      </w:pPr>
      <w:permStart w:id="35" w:edGrp="everyone"/>
      <w:r>
        <w:rPr>
          <w:rFonts w:hint="eastAsia"/>
          <w:highlight w:val="none"/>
        </w:rPr>
        <w:t>附：1、酒店星级评定证书扫描件、采购公告发布后的携程评分截图。</w:t>
      </w:r>
    </w:p>
    <w:p>
      <w:pPr>
        <w:rPr>
          <w:highlight w:val="none"/>
        </w:rPr>
      </w:pPr>
      <w:r>
        <w:rPr>
          <w:rFonts w:hint="eastAsia"/>
          <w:highlight w:val="none"/>
        </w:rPr>
        <w:t>或采购公告发布后的携程评钻、采购公告发布后的携程评分截图（二选一）</w:t>
      </w:r>
    </w:p>
    <w:p>
      <w:pPr>
        <w:rPr>
          <w:highlight w:val="none"/>
        </w:rPr>
      </w:pPr>
      <w:r>
        <w:rPr>
          <w:rFonts w:hint="eastAsia"/>
          <w:highlight w:val="none"/>
        </w:rPr>
        <w:t>2、餐饮服务食品安全等级证明</w:t>
      </w:r>
    </w:p>
    <w:permEnd w:id="35"/>
    <w:p>
      <w:pPr>
        <w:spacing w:before="156" w:beforeLines="50" w:after="156" w:afterLines="50" w:line="360" w:lineRule="auto"/>
        <w:ind w:firstLine="3570" w:firstLineChars="1700"/>
        <w:rPr>
          <w:rFonts w:hint="eastAsia" w:ascii="宋体" w:hAnsi="宋体" w:cs="Arial"/>
          <w:szCs w:val="21"/>
          <w:highlight w:val="none"/>
        </w:rPr>
      </w:pPr>
    </w:p>
    <w:p>
      <w:pPr>
        <w:spacing w:before="156" w:beforeLines="50" w:after="156" w:afterLines="50" w:line="360" w:lineRule="auto"/>
        <w:ind w:firstLine="3570" w:firstLineChars="1700"/>
        <w:rPr>
          <w:rFonts w:hint="eastAsia" w:ascii="宋体" w:hAnsi="宋体" w:cs="Arial"/>
          <w:szCs w:val="21"/>
          <w:highlight w:val="none"/>
        </w:rPr>
      </w:pPr>
    </w:p>
    <w:p>
      <w:pPr>
        <w:spacing w:before="156" w:beforeLines="50" w:after="156" w:afterLines="50" w:line="360" w:lineRule="auto"/>
        <w:ind w:firstLine="3570" w:firstLineChars="1700"/>
        <w:rPr>
          <w:rFonts w:hint="eastAsia" w:ascii="宋体" w:hAnsi="宋体" w:cs="Arial"/>
          <w:szCs w:val="21"/>
          <w:highlight w:val="none"/>
        </w:rPr>
      </w:pPr>
    </w:p>
    <w:p>
      <w:pPr>
        <w:spacing w:before="156" w:beforeLines="50" w:after="156" w:afterLines="50" w:line="360" w:lineRule="auto"/>
        <w:ind w:firstLine="3570" w:firstLineChars="1700"/>
        <w:rPr>
          <w:rFonts w:hint="eastAsia" w:ascii="宋体" w:hAnsi="宋体" w:cs="Arial"/>
          <w:szCs w:val="21"/>
          <w:highlight w:val="none"/>
        </w:rPr>
      </w:pPr>
    </w:p>
    <w:p>
      <w:pPr>
        <w:pStyle w:val="4"/>
        <w:pageBreakBefore/>
        <w:spacing w:before="156" w:beforeLines="50" w:after="156" w:afterLines="50" w:line="360" w:lineRule="auto"/>
        <w:ind w:left="0"/>
        <w:jc w:val="center"/>
        <w:rPr>
          <w:b/>
          <w:highlight w:val="none"/>
        </w:rPr>
      </w:pPr>
      <w:bookmarkStart w:id="398" w:name="_Toc7513"/>
      <w:bookmarkStart w:id="399" w:name="_Toc2370"/>
      <w:bookmarkStart w:id="400" w:name="_Toc8977"/>
      <w:bookmarkStart w:id="401" w:name="_Toc5926"/>
      <w:bookmarkStart w:id="402" w:name="_Toc10192"/>
      <w:bookmarkStart w:id="403" w:name="_Toc9394"/>
      <w:bookmarkStart w:id="404" w:name="_Toc25035"/>
      <w:bookmarkStart w:id="405" w:name="_Toc11659"/>
      <w:bookmarkStart w:id="406" w:name="_Toc25898"/>
      <w:bookmarkStart w:id="407" w:name="_Toc12209"/>
      <w:r>
        <w:rPr>
          <w:rFonts w:hint="eastAsia"/>
          <w:b/>
          <w:highlight w:val="none"/>
        </w:rPr>
        <w:t>格式十、技术评分索引表（对应技术评审表）</w:t>
      </w:r>
      <w:bookmarkEnd w:id="394"/>
      <w:bookmarkEnd w:id="395"/>
      <w:bookmarkEnd w:id="398"/>
      <w:bookmarkEnd w:id="399"/>
      <w:bookmarkEnd w:id="400"/>
      <w:bookmarkEnd w:id="401"/>
      <w:bookmarkEnd w:id="402"/>
      <w:bookmarkEnd w:id="403"/>
      <w:bookmarkEnd w:id="404"/>
      <w:bookmarkEnd w:id="405"/>
      <w:bookmarkEnd w:id="406"/>
      <w:bookmarkEnd w:id="407"/>
    </w:p>
    <w:p>
      <w:pPr>
        <w:pStyle w:val="5"/>
        <w:rPr>
          <w:highlight w:val="none"/>
        </w:rPr>
      </w:pPr>
    </w:p>
    <w:tbl>
      <w:tblPr>
        <w:tblStyle w:val="25"/>
        <w:tblW w:w="90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4"/>
        <w:gridCol w:w="2467"/>
        <w:gridCol w:w="2382"/>
        <w:gridCol w:w="1458"/>
        <w:gridCol w:w="1180"/>
        <w:gridCol w:w="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6" w:hRule="atLeast"/>
          <w:jc w:val="center"/>
        </w:trPr>
        <w:tc>
          <w:tcPr>
            <w:tcW w:w="3081" w:type="dxa"/>
            <w:gridSpan w:val="2"/>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Arial"/>
                <w:b/>
                <w:bCs/>
                <w:szCs w:val="21"/>
                <w:highlight w:val="none"/>
              </w:rPr>
            </w:pPr>
            <w:r>
              <w:rPr>
                <w:rFonts w:hint="eastAsia" w:ascii="宋体" w:hAnsi="宋体" w:cs="Arial"/>
                <w:b/>
                <w:szCs w:val="21"/>
                <w:highlight w:val="none"/>
              </w:rPr>
              <w:t>谈判文件评审内容</w:t>
            </w:r>
          </w:p>
        </w:tc>
        <w:tc>
          <w:tcPr>
            <w:tcW w:w="2382" w:type="dxa"/>
            <w:vAlign w:val="center"/>
          </w:tcPr>
          <w:p>
            <w:pPr>
              <w:autoSpaceDE w:val="0"/>
              <w:autoSpaceDN w:val="0"/>
              <w:adjustRightInd w:val="0"/>
              <w:spacing w:line="360" w:lineRule="auto"/>
              <w:ind w:right="84" w:rightChars="40"/>
              <w:jc w:val="center"/>
              <w:rPr>
                <w:rFonts w:hint="eastAsia" w:ascii="宋体" w:hAnsi="宋体" w:cs="Arial"/>
                <w:b/>
                <w:bCs/>
                <w:szCs w:val="21"/>
                <w:highlight w:val="none"/>
              </w:rPr>
            </w:pPr>
            <w:r>
              <w:rPr>
                <w:rFonts w:hint="eastAsia" w:ascii="宋体" w:hAnsi="宋体" w:cs="Arial"/>
                <w:b/>
                <w:bCs/>
                <w:szCs w:val="21"/>
                <w:highlight w:val="none"/>
              </w:rPr>
              <w:t>供应商响应内容</w:t>
            </w:r>
          </w:p>
        </w:tc>
        <w:tc>
          <w:tcPr>
            <w:tcW w:w="1458" w:type="dxa"/>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Arial"/>
                <w:b/>
                <w:bCs/>
                <w:szCs w:val="21"/>
                <w:highlight w:val="none"/>
              </w:rPr>
            </w:pPr>
            <w:r>
              <w:rPr>
                <w:rFonts w:hint="eastAsia" w:ascii="宋体" w:hAnsi="宋体" w:cs="Arial"/>
                <w:b/>
                <w:bCs/>
                <w:szCs w:val="21"/>
                <w:highlight w:val="none"/>
              </w:rPr>
              <w:t>证明材料</w:t>
            </w:r>
          </w:p>
        </w:tc>
        <w:tc>
          <w:tcPr>
            <w:tcW w:w="1180" w:type="dxa"/>
            <w:vAlign w:val="center"/>
          </w:tcPr>
          <w:p>
            <w:pPr>
              <w:autoSpaceDE w:val="0"/>
              <w:autoSpaceDN w:val="0"/>
              <w:adjustRightInd w:val="0"/>
              <w:spacing w:line="360" w:lineRule="auto"/>
              <w:ind w:right="84" w:rightChars="40"/>
              <w:jc w:val="center"/>
              <w:rPr>
                <w:rFonts w:hint="eastAsia" w:ascii="宋体" w:hAnsi="宋体" w:cs="Arial"/>
                <w:b/>
                <w:bCs/>
                <w:szCs w:val="21"/>
                <w:highlight w:val="none"/>
              </w:rPr>
            </w:pPr>
            <w:r>
              <w:rPr>
                <w:rFonts w:hint="eastAsia" w:ascii="宋体" w:hAnsi="宋体" w:cs="Arial"/>
                <w:b/>
                <w:bCs/>
                <w:szCs w:val="21"/>
                <w:highlight w:val="none"/>
              </w:rPr>
              <w:t>所在页码</w:t>
            </w:r>
          </w:p>
        </w:tc>
        <w:tc>
          <w:tcPr>
            <w:tcW w:w="944" w:type="dxa"/>
            <w:vAlign w:val="center"/>
          </w:tcPr>
          <w:p>
            <w:pPr>
              <w:autoSpaceDE w:val="0"/>
              <w:autoSpaceDN w:val="0"/>
              <w:adjustRightInd w:val="0"/>
              <w:spacing w:line="360" w:lineRule="auto"/>
              <w:ind w:right="84" w:rightChars="40"/>
              <w:jc w:val="center"/>
              <w:rPr>
                <w:rFonts w:hint="eastAsia" w:ascii="宋体" w:hAnsi="宋体" w:cs="Arial"/>
                <w:b/>
                <w:bCs/>
                <w:szCs w:val="21"/>
                <w:highlight w:val="none"/>
              </w:rPr>
            </w:pPr>
            <w:r>
              <w:rPr>
                <w:rFonts w:hint="eastAsia" w:ascii="宋体" w:hAnsi="宋体" w:cs="Arial"/>
                <w:b/>
                <w:bCs/>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6" w:hRule="atLeast"/>
          <w:jc w:val="center"/>
        </w:trPr>
        <w:tc>
          <w:tcPr>
            <w:tcW w:w="614" w:type="dxa"/>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Arial"/>
                <w:b/>
                <w:szCs w:val="21"/>
                <w:highlight w:val="none"/>
              </w:rPr>
            </w:pPr>
            <w:r>
              <w:rPr>
                <w:rFonts w:hint="eastAsia" w:ascii="宋体" w:hAnsi="宋体" w:cs="Arial"/>
                <w:b/>
                <w:szCs w:val="21"/>
                <w:highlight w:val="none"/>
              </w:rPr>
              <w:t>1</w:t>
            </w:r>
          </w:p>
        </w:tc>
        <w:tc>
          <w:tcPr>
            <w:tcW w:w="2467" w:type="dxa"/>
            <w:tcMar>
              <w:left w:w="28" w:type="dxa"/>
              <w:right w:w="28" w:type="dxa"/>
            </w:tcMar>
            <w:vAlign w:val="center"/>
          </w:tcPr>
          <w:p>
            <w:pPr>
              <w:jc w:val="center"/>
              <w:rPr>
                <w:rFonts w:hint="eastAsia" w:ascii="宋体" w:hAnsi="宋体"/>
                <w:szCs w:val="21"/>
                <w:highlight w:val="none"/>
              </w:rPr>
            </w:pPr>
            <w:r>
              <w:rPr>
                <w:rFonts w:hint="eastAsia" w:ascii="宋体" w:hAnsi="宋体" w:cs="宋体"/>
                <w:szCs w:val="21"/>
                <w:highlight w:val="none"/>
              </w:rPr>
              <w:t>【</w:t>
            </w:r>
            <w:r>
              <w:rPr>
                <w:rFonts w:hint="eastAsia" w:ascii="宋体" w:hAnsi="宋体" w:cs="宋体"/>
                <w:bCs/>
                <w:szCs w:val="21"/>
                <w:highlight w:val="none"/>
              </w:rPr>
              <w:t>服务方案</w:t>
            </w:r>
            <w:r>
              <w:rPr>
                <w:rFonts w:hint="eastAsia" w:ascii="宋体" w:hAnsi="宋体"/>
                <w:szCs w:val="21"/>
                <w:highlight w:val="none"/>
              </w:rPr>
              <w:t>】</w:t>
            </w:r>
          </w:p>
        </w:tc>
        <w:tc>
          <w:tcPr>
            <w:tcW w:w="2382" w:type="dxa"/>
            <w:vAlign w:val="center"/>
          </w:tcPr>
          <w:p>
            <w:pPr>
              <w:spacing w:line="360" w:lineRule="auto"/>
              <w:jc w:val="center"/>
              <w:rPr>
                <w:rFonts w:hint="eastAsia" w:ascii="宋体" w:hAnsi="宋体"/>
                <w:szCs w:val="21"/>
                <w:highlight w:val="none"/>
              </w:rPr>
            </w:pPr>
          </w:p>
        </w:tc>
        <w:tc>
          <w:tcPr>
            <w:tcW w:w="1458" w:type="dxa"/>
            <w:tcMar>
              <w:left w:w="28" w:type="dxa"/>
              <w:right w:w="28" w:type="dxa"/>
            </w:tcMar>
            <w:vAlign w:val="center"/>
          </w:tcPr>
          <w:p>
            <w:pPr>
              <w:spacing w:line="360" w:lineRule="auto"/>
              <w:jc w:val="center"/>
              <w:rPr>
                <w:rFonts w:hint="eastAsia" w:ascii="宋体" w:hAnsi="宋体"/>
                <w:szCs w:val="21"/>
                <w:highlight w:val="none"/>
              </w:rPr>
            </w:pPr>
          </w:p>
        </w:tc>
        <w:tc>
          <w:tcPr>
            <w:tcW w:w="1180" w:type="dxa"/>
            <w:vAlign w:val="center"/>
          </w:tcPr>
          <w:p>
            <w:pPr>
              <w:spacing w:line="360" w:lineRule="auto"/>
              <w:jc w:val="center"/>
              <w:rPr>
                <w:rFonts w:hint="eastAsia" w:ascii="宋体" w:hAnsi="宋体"/>
                <w:szCs w:val="21"/>
                <w:highlight w:val="none"/>
              </w:rPr>
            </w:pPr>
          </w:p>
        </w:tc>
        <w:tc>
          <w:tcPr>
            <w:tcW w:w="944" w:type="dxa"/>
            <w:vAlign w:val="center"/>
          </w:tcPr>
          <w:p>
            <w:pPr>
              <w:spacing w:line="360" w:lineRule="auto"/>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6" w:hRule="atLeast"/>
          <w:jc w:val="center"/>
        </w:trPr>
        <w:tc>
          <w:tcPr>
            <w:tcW w:w="614" w:type="dxa"/>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Arial"/>
                <w:b/>
                <w:szCs w:val="21"/>
                <w:highlight w:val="none"/>
              </w:rPr>
            </w:pPr>
            <w:r>
              <w:rPr>
                <w:rFonts w:hint="eastAsia" w:ascii="宋体" w:hAnsi="宋体" w:cs="Arial"/>
                <w:b/>
                <w:szCs w:val="21"/>
                <w:highlight w:val="none"/>
              </w:rPr>
              <w:t>2</w:t>
            </w:r>
          </w:p>
        </w:tc>
        <w:tc>
          <w:tcPr>
            <w:tcW w:w="2467" w:type="dxa"/>
            <w:tcMar>
              <w:left w:w="28" w:type="dxa"/>
              <w:right w:w="28" w:type="dxa"/>
            </w:tcMar>
            <w:vAlign w:val="center"/>
          </w:tcPr>
          <w:p>
            <w:pPr>
              <w:jc w:val="center"/>
              <w:rPr>
                <w:rFonts w:hint="eastAsia" w:ascii="宋体" w:hAnsi="宋体"/>
                <w:szCs w:val="21"/>
                <w:highlight w:val="none"/>
              </w:rPr>
            </w:pPr>
            <w:r>
              <w:rPr>
                <w:rFonts w:hint="eastAsia" w:ascii="宋体" w:hAnsi="宋体" w:cs="宋体"/>
                <w:szCs w:val="21"/>
                <w:highlight w:val="none"/>
              </w:rPr>
              <w:t>【优惠政策</w:t>
            </w:r>
            <w:r>
              <w:rPr>
                <w:rFonts w:hint="eastAsia" w:ascii="宋体" w:hAnsi="宋体"/>
                <w:szCs w:val="21"/>
                <w:highlight w:val="none"/>
              </w:rPr>
              <w:t>】</w:t>
            </w:r>
          </w:p>
        </w:tc>
        <w:tc>
          <w:tcPr>
            <w:tcW w:w="2382" w:type="dxa"/>
            <w:vAlign w:val="center"/>
          </w:tcPr>
          <w:p>
            <w:pPr>
              <w:spacing w:line="360" w:lineRule="auto"/>
              <w:jc w:val="center"/>
              <w:rPr>
                <w:rFonts w:hint="eastAsia" w:ascii="宋体" w:hAnsi="宋体"/>
                <w:szCs w:val="21"/>
                <w:highlight w:val="none"/>
              </w:rPr>
            </w:pPr>
          </w:p>
        </w:tc>
        <w:tc>
          <w:tcPr>
            <w:tcW w:w="1458" w:type="dxa"/>
            <w:tcMar>
              <w:left w:w="28" w:type="dxa"/>
              <w:right w:w="28" w:type="dxa"/>
            </w:tcMar>
            <w:vAlign w:val="center"/>
          </w:tcPr>
          <w:p>
            <w:pPr>
              <w:spacing w:line="360" w:lineRule="auto"/>
              <w:jc w:val="center"/>
              <w:rPr>
                <w:rFonts w:hint="eastAsia" w:ascii="宋体" w:hAnsi="宋体"/>
                <w:szCs w:val="21"/>
                <w:highlight w:val="none"/>
              </w:rPr>
            </w:pPr>
          </w:p>
        </w:tc>
        <w:tc>
          <w:tcPr>
            <w:tcW w:w="1180" w:type="dxa"/>
            <w:vAlign w:val="center"/>
          </w:tcPr>
          <w:p>
            <w:pPr>
              <w:spacing w:line="360" w:lineRule="auto"/>
              <w:jc w:val="center"/>
              <w:rPr>
                <w:rFonts w:hint="eastAsia" w:ascii="宋体" w:hAnsi="宋体"/>
                <w:szCs w:val="21"/>
                <w:highlight w:val="none"/>
              </w:rPr>
            </w:pPr>
          </w:p>
        </w:tc>
        <w:tc>
          <w:tcPr>
            <w:tcW w:w="944" w:type="dxa"/>
            <w:vAlign w:val="center"/>
          </w:tcPr>
          <w:p>
            <w:pPr>
              <w:spacing w:line="360" w:lineRule="auto"/>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6" w:hRule="atLeast"/>
          <w:jc w:val="center"/>
        </w:trPr>
        <w:tc>
          <w:tcPr>
            <w:tcW w:w="614" w:type="dxa"/>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Arial"/>
                <w:b/>
                <w:szCs w:val="21"/>
                <w:highlight w:val="none"/>
              </w:rPr>
            </w:pPr>
            <w:r>
              <w:rPr>
                <w:rFonts w:hint="eastAsia" w:ascii="宋体" w:hAnsi="宋体" w:cs="Arial"/>
                <w:b/>
                <w:szCs w:val="21"/>
                <w:highlight w:val="none"/>
              </w:rPr>
              <w:t>3</w:t>
            </w:r>
          </w:p>
        </w:tc>
        <w:tc>
          <w:tcPr>
            <w:tcW w:w="2467" w:type="dxa"/>
            <w:tcMar>
              <w:left w:w="28" w:type="dxa"/>
              <w:right w:w="28" w:type="dxa"/>
            </w:tcMar>
            <w:vAlign w:val="center"/>
          </w:tcPr>
          <w:p>
            <w:pPr>
              <w:jc w:val="center"/>
              <w:rPr>
                <w:rFonts w:hint="eastAsia" w:ascii="宋体" w:hAnsi="宋体"/>
                <w:szCs w:val="21"/>
                <w:highlight w:val="none"/>
              </w:rPr>
            </w:pPr>
            <w:r>
              <w:rPr>
                <w:rFonts w:hint="eastAsia" w:ascii="宋体" w:hAnsi="宋体" w:cs="宋体"/>
                <w:szCs w:val="21"/>
                <w:highlight w:val="none"/>
              </w:rPr>
              <w:t>【房间数量</w:t>
            </w:r>
            <w:r>
              <w:rPr>
                <w:rFonts w:hint="eastAsia" w:ascii="宋体" w:hAnsi="宋体"/>
                <w:szCs w:val="21"/>
                <w:highlight w:val="none"/>
              </w:rPr>
              <w:t>】</w:t>
            </w:r>
          </w:p>
        </w:tc>
        <w:tc>
          <w:tcPr>
            <w:tcW w:w="2382" w:type="dxa"/>
            <w:vAlign w:val="center"/>
          </w:tcPr>
          <w:p>
            <w:pPr>
              <w:spacing w:line="360" w:lineRule="auto"/>
              <w:jc w:val="center"/>
              <w:rPr>
                <w:rFonts w:hint="eastAsia" w:ascii="宋体" w:hAnsi="宋体"/>
                <w:szCs w:val="21"/>
                <w:highlight w:val="none"/>
              </w:rPr>
            </w:pPr>
          </w:p>
        </w:tc>
        <w:tc>
          <w:tcPr>
            <w:tcW w:w="1458" w:type="dxa"/>
            <w:tcMar>
              <w:left w:w="28" w:type="dxa"/>
              <w:right w:w="28" w:type="dxa"/>
            </w:tcMar>
            <w:vAlign w:val="center"/>
          </w:tcPr>
          <w:p>
            <w:pPr>
              <w:spacing w:line="360" w:lineRule="auto"/>
              <w:jc w:val="center"/>
              <w:rPr>
                <w:rFonts w:hint="eastAsia" w:ascii="宋体" w:hAnsi="宋体"/>
                <w:szCs w:val="21"/>
                <w:highlight w:val="none"/>
              </w:rPr>
            </w:pPr>
          </w:p>
        </w:tc>
        <w:tc>
          <w:tcPr>
            <w:tcW w:w="1180" w:type="dxa"/>
            <w:vAlign w:val="center"/>
          </w:tcPr>
          <w:p>
            <w:pPr>
              <w:spacing w:line="360" w:lineRule="auto"/>
              <w:jc w:val="center"/>
              <w:rPr>
                <w:rFonts w:hint="eastAsia" w:ascii="宋体" w:hAnsi="宋体"/>
                <w:szCs w:val="21"/>
                <w:highlight w:val="none"/>
              </w:rPr>
            </w:pPr>
          </w:p>
        </w:tc>
        <w:tc>
          <w:tcPr>
            <w:tcW w:w="944" w:type="dxa"/>
            <w:vAlign w:val="center"/>
          </w:tcPr>
          <w:p>
            <w:pPr>
              <w:spacing w:line="360" w:lineRule="auto"/>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6" w:hRule="atLeast"/>
          <w:jc w:val="center"/>
        </w:trPr>
        <w:tc>
          <w:tcPr>
            <w:tcW w:w="614" w:type="dxa"/>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Arial"/>
                <w:b/>
                <w:szCs w:val="21"/>
                <w:highlight w:val="none"/>
              </w:rPr>
            </w:pPr>
            <w:r>
              <w:rPr>
                <w:rFonts w:hint="eastAsia" w:ascii="宋体" w:hAnsi="宋体" w:cs="Arial"/>
                <w:b/>
                <w:szCs w:val="21"/>
                <w:highlight w:val="none"/>
              </w:rPr>
              <w:t>4</w:t>
            </w:r>
          </w:p>
        </w:tc>
        <w:tc>
          <w:tcPr>
            <w:tcW w:w="2467" w:type="dxa"/>
            <w:tcMar>
              <w:left w:w="28" w:type="dxa"/>
              <w:right w:w="28" w:type="dxa"/>
            </w:tcMar>
            <w:vAlign w:val="center"/>
          </w:tcPr>
          <w:p>
            <w:pPr>
              <w:jc w:val="center"/>
              <w:rPr>
                <w:rFonts w:hint="eastAsia" w:ascii="宋体" w:hAnsi="宋体"/>
                <w:szCs w:val="21"/>
                <w:highlight w:val="none"/>
              </w:rPr>
            </w:pPr>
            <w:r>
              <w:rPr>
                <w:rFonts w:hint="eastAsia" w:ascii="宋体" w:hAnsi="宋体" w:cs="宋体"/>
                <w:szCs w:val="21"/>
                <w:highlight w:val="none"/>
              </w:rPr>
              <w:t>【安全体系</w:t>
            </w:r>
            <w:r>
              <w:rPr>
                <w:rFonts w:hint="eastAsia" w:ascii="宋体" w:hAnsi="宋体"/>
                <w:szCs w:val="21"/>
                <w:highlight w:val="none"/>
              </w:rPr>
              <w:t>】</w:t>
            </w:r>
          </w:p>
        </w:tc>
        <w:tc>
          <w:tcPr>
            <w:tcW w:w="2382" w:type="dxa"/>
            <w:vAlign w:val="center"/>
          </w:tcPr>
          <w:p>
            <w:pPr>
              <w:spacing w:line="360" w:lineRule="auto"/>
              <w:jc w:val="center"/>
              <w:rPr>
                <w:rFonts w:hint="eastAsia" w:ascii="宋体" w:hAnsi="宋体"/>
                <w:szCs w:val="21"/>
                <w:highlight w:val="none"/>
              </w:rPr>
            </w:pPr>
          </w:p>
        </w:tc>
        <w:tc>
          <w:tcPr>
            <w:tcW w:w="1458" w:type="dxa"/>
            <w:tcMar>
              <w:left w:w="28" w:type="dxa"/>
              <w:right w:w="28" w:type="dxa"/>
            </w:tcMar>
            <w:vAlign w:val="center"/>
          </w:tcPr>
          <w:p>
            <w:pPr>
              <w:spacing w:line="360" w:lineRule="auto"/>
              <w:jc w:val="center"/>
              <w:rPr>
                <w:rFonts w:hint="eastAsia" w:ascii="宋体" w:hAnsi="宋体"/>
                <w:szCs w:val="21"/>
                <w:highlight w:val="none"/>
              </w:rPr>
            </w:pPr>
          </w:p>
        </w:tc>
        <w:tc>
          <w:tcPr>
            <w:tcW w:w="1180" w:type="dxa"/>
            <w:vAlign w:val="center"/>
          </w:tcPr>
          <w:p>
            <w:pPr>
              <w:spacing w:line="360" w:lineRule="auto"/>
              <w:jc w:val="center"/>
              <w:rPr>
                <w:rFonts w:hint="eastAsia" w:ascii="宋体" w:hAnsi="宋体"/>
                <w:szCs w:val="21"/>
                <w:highlight w:val="none"/>
              </w:rPr>
            </w:pPr>
          </w:p>
        </w:tc>
        <w:tc>
          <w:tcPr>
            <w:tcW w:w="944" w:type="dxa"/>
            <w:vAlign w:val="center"/>
          </w:tcPr>
          <w:p>
            <w:pPr>
              <w:spacing w:line="360" w:lineRule="auto"/>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6" w:hRule="atLeast"/>
          <w:jc w:val="center"/>
        </w:trPr>
        <w:tc>
          <w:tcPr>
            <w:tcW w:w="614" w:type="dxa"/>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Arial"/>
                <w:b/>
                <w:szCs w:val="21"/>
                <w:highlight w:val="none"/>
              </w:rPr>
            </w:pPr>
            <w:r>
              <w:rPr>
                <w:rFonts w:hint="eastAsia" w:ascii="宋体" w:hAnsi="宋体" w:cs="Arial"/>
                <w:b/>
                <w:szCs w:val="21"/>
                <w:highlight w:val="none"/>
              </w:rPr>
              <w:t>5</w:t>
            </w:r>
          </w:p>
        </w:tc>
        <w:tc>
          <w:tcPr>
            <w:tcW w:w="2467" w:type="dxa"/>
            <w:tcMar>
              <w:left w:w="28" w:type="dxa"/>
              <w:right w:w="28" w:type="dxa"/>
            </w:tcMar>
            <w:vAlign w:val="center"/>
          </w:tcPr>
          <w:p>
            <w:pPr>
              <w:jc w:val="center"/>
              <w:rPr>
                <w:rFonts w:hint="eastAsia" w:ascii="宋体" w:hAnsi="宋体"/>
                <w:szCs w:val="21"/>
                <w:highlight w:val="none"/>
              </w:rPr>
            </w:pPr>
            <w:r>
              <w:rPr>
                <w:rFonts w:hint="eastAsia" w:ascii="宋体" w:hAnsi="宋体" w:cs="宋体"/>
                <w:szCs w:val="21"/>
                <w:highlight w:val="none"/>
              </w:rPr>
              <w:t>【航延响应程度</w:t>
            </w:r>
            <w:r>
              <w:rPr>
                <w:rFonts w:hint="eastAsia" w:ascii="宋体" w:hAnsi="宋体"/>
                <w:szCs w:val="21"/>
                <w:highlight w:val="none"/>
              </w:rPr>
              <w:t>】</w:t>
            </w:r>
          </w:p>
        </w:tc>
        <w:tc>
          <w:tcPr>
            <w:tcW w:w="2382" w:type="dxa"/>
            <w:vAlign w:val="center"/>
          </w:tcPr>
          <w:p>
            <w:pPr>
              <w:spacing w:line="360" w:lineRule="auto"/>
              <w:jc w:val="center"/>
              <w:rPr>
                <w:rFonts w:hint="eastAsia" w:ascii="宋体" w:hAnsi="宋体"/>
                <w:szCs w:val="21"/>
                <w:highlight w:val="none"/>
              </w:rPr>
            </w:pPr>
          </w:p>
        </w:tc>
        <w:tc>
          <w:tcPr>
            <w:tcW w:w="1458" w:type="dxa"/>
            <w:tcMar>
              <w:left w:w="28" w:type="dxa"/>
              <w:right w:w="28" w:type="dxa"/>
            </w:tcMar>
            <w:vAlign w:val="center"/>
          </w:tcPr>
          <w:p>
            <w:pPr>
              <w:spacing w:line="360" w:lineRule="auto"/>
              <w:jc w:val="center"/>
              <w:rPr>
                <w:rFonts w:hint="eastAsia" w:ascii="宋体" w:hAnsi="宋体"/>
                <w:szCs w:val="21"/>
                <w:highlight w:val="none"/>
              </w:rPr>
            </w:pPr>
          </w:p>
        </w:tc>
        <w:tc>
          <w:tcPr>
            <w:tcW w:w="1180" w:type="dxa"/>
            <w:vAlign w:val="center"/>
          </w:tcPr>
          <w:p>
            <w:pPr>
              <w:spacing w:line="360" w:lineRule="auto"/>
              <w:jc w:val="center"/>
              <w:rPr>
                <w:rFonts w:hint="eastAsia" w:ascii="宋体" w:hAnsi="宋体"/>
                <w:szCs w:val="21"/>
                <w:highlight w:val="none"/>
              </w:rPr>
            </w:pPr>
          </w:p>
        </w:tc>
        <w:tc>
          <w:tcPr>
            <w:tcW w:w="944" w:type="dxa"/>
            <w:vAlign w:val="center"/>
          </w:tcPr>
          <w:p>
            <w:pPr>
              <w:spacing w:line="360" w:lineRule="auto"/>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6" w:hRule="atLeast"/>
          <w:jc w:val="center"/>
        </w:trPr>
        <w:tc>
          <w:tcPr>
            <w:tcW w:w="614" w:type="dxa"/>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Arial"/>
                <w:b/>
                <w:szCs w:val="21"/>
                <w:highlight w:val="none"/>
              </w:rPr>
            </w:pPr>
            <w:r>
              <w:rPr>
                <w:rFonts w:hint="eastAsia" w:ascii="宋体" w:hAnsi="宋体" w:cs="Arial"/>
                <w:b/>
                <w:szCs w:val="21"/>
                <w:highlight w:val="none"/>
              </w:rPr>
              <w:t>6</w:t>
            </w:r>
          </w:p>
        </w:tc>
        <w:tc>
          <w:tcPr>
            <w:tcW w:w="2467" w:type="dxa"/>
            <w:tcMar>
              <w:left w:w="28" w:type="dxa"/>
              <w:right w:w="28" w:type="dxa"/>
            </w:tcMar>
            <w:vAlign w:val="center"/>
          </w:tcPr>
          <w:p>
            <w:pPr>
              <w:jc w:val="center"/>
              <w:rPr>
                <w:rFonts w:hint="eastAsia" w:ascii="宋体" w:hAnsi="宋体"/>
                <w:szCs w:val="21"/>
                <w:highlight w:val="none"/>
              </w:rPr>
            </w:pPr>
            <w:r>
              <w:rPr>
                <w:rFonts w:hint="eastAsia" w:ascii="宋体" w:hAnsi="宋体" w:cs="宋体"/>
                <w:szCs w:val="21"/>
                <w:highlight w:val="none"/>
              </w:rPr>
              <w:t>【车程距离</w:t>
            </w:r>
            <w:r>
              <w:rPr>
                <w:rFonts w:hint="eastAsia" w:ascii="宋体" w:hAnsi="宋体"/>
                <w:szCs w:val="21"/>
                <w:highlight w:val="none"/>
              </w:rPr>
              <w:t>】</w:t>
            </w:r>
          </w:p>
        </w:tc>
        <w:tc>
          <w:tcPr>
            <w:tcW w:w="2382" w:type="dxa"/>
            <w:vAlign w:val="center"/>
          </w:tcPr>
          <w:p>
            <w:pPr>
              <w:spacing w:line="360" w:lineRule="auto"/>
              <w:jc w:val="center"/>
              <w:rPr>
                <w:rFonts w:hint="eastAsia" w:ascii="宋体" w:hAnsi="宋体"/>
                <w:szCs w:val="21"/>
                <w:highlight w:val="none"/>
              </w:rPr>
            </w:pPr>
          </w:p>
        </w:tc>
        <w:tc>
          <w:tcPr>
            <w:tcW w:w="1458" w:type="dxa"/>
            <w:tcMar>
              <w:left w:w="28" w:type="dxa"/>
              <w:right w:w="28" w:type="dxa"/>
            </w:tcMar>
            <w:vAlign w:val="center"/>
          </w:tcPr>
          <w:p>
            <w:pPr>
              <w:spacing w:line="360" w:lineRule="auto"/>
              <w:jc w:val="center"/>
              <w:rPr>
                <w:rFonts w:hint="eastAsia" w:ascii="宋体" w:hAnsi="宋体"/>
                <w:szCs w:val="21"/>
                <w:highlight w:val="none"/>
              </w:rPr>
            </w:pPr>
          </w:p>
        </w:tc>
        <w:tc>
          <w:tcPr>
            <w:tcW w:w="1180" w:type="dxa"/>
            <w:vAlign w:val="center"/>
          </w:tcPr>
          <w:p>
            <w:pPr>
              <w:spacing w:line="360" w:lineRule="auto"/>
              <w:jc w:val="center"/>
              <w:rPr>
                <w:rFonts w:hint="eastAsia" w:ascii="宋体" w:hAnsi="宋体"/>
                <w:szCs w:val="21"/>
                <w:highlight w:val="none"/>
              </w:rPr>
            </w:pPr>
          </w:p>
        </w:tc>
        <w:tc>
          <w:tcPr>
            <w:tcW w:w="944" w:type="dxa"/>
            <w:vAlign w:val="center"/>
          </w:tcPr>
          <w:p>
            <w:pPr>
              <w:spacing w:line="360" w:lineRule="auto"/>
              <w:jc w:val="center"/>
              <w:rPr>
                <w:rFonts w:hint="eastAsia"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6" w:hRule="atLeast"/>
          <w:jc w:val="center"/>
        </w:trPr>
        <w:tc>
          <w:tcPr>
            <w:tcW w:w="614" w:type="dxa"/>
            <w:tcMar>
              <w:left w:w="28" w:type="dxa"/>
              <w:right w:w="28" w:type="dxa"/>
            </w:tcMar>
            <w:vAlign w:val="center"/>
          </w:tcPr>
          <w:p>
            <w:pPr>
              <w:autoSpaceDE w:val="0"/>
              <w:autoSpaceDN w:val="0"/>
              <w:adjustRightInd w:val="0"/>
              <w:spacing w:line="360" w:lineRule="auto"/>
              <w:ind w:right="84" w:rightChars="40"/>
              <w:jc w:val="center"/>
              <w:rPr>
                <w:rFonts w:hint="eastAsia" w:ascii="宋体" w:hAnsi="宋体" w:cs="Arial"/>
                <w:b/>
                <w:szCs w:val="21"/>
                <w:highlight w:val="none"/>
              </w:rPr>
            </w:pPr>
            <w:r>
              <w:rPr>
                <w:rFonts w:hint="eastAsia" w:ascii="宋体" w:hAnsi="宋体" w:cs="Arial"/>
                <w:b/>
                <w:szCs w:val="21"/>
                <w:highlight w:val="none"/>
              </w:rPr>
              <w:t>7</w:t>
            </w:r>
          </w:p>
        </w:tc>
        <w:tc>
          <w:tcPr>
            <w:tcW w:w="2467" w:type="dxa"/>
            <w:tcMar>
              <w:left w:w="28" w:type="dxa"/>
              <w:right w:w="28" w:type="dxa"/>
            </w:tcMar>
            <w:vAlign w:val="center"/>
          </w:tcPr>
          <w:p>
            <w:pPr>
              <w:jc w:val="center"/>
              <w:rPr>
                <w:rFonts w:hint="eastAsia" w:ascii="宋体" w:hAnsi="宋体" w:cs="宋体"/>
                <w:szCs w:val="21"/>
                <w:highlight w:val="none"/>
              </w:rPr>
            </w:pPr>
            <w:r>
              <w:rPr>
                <w:rFonts w:hint="eastAsia" w:ascii="宋体" w:hAnsi="宋体" w:cs="宋体"/>
                <w:szCs w:val="21"/>
                <w:highlight w:val="none"/>
              </w:rPr>
              <w:t>【项目成员经验</w:t>
            </w:r>
            <w:r>
              <w:rPr>
                <w:rFonts w:hint="eastAsia" w:ascii="宋体" w:hAnsi="宋体"/>
                <w:szCs w:val="21"/>
                <w:highlight w:val="none"/>
              </w:rPr>
              <w:t>】</w:t>
            </w:r>
          </w:p>
        </w:tc>
        <w:tc>
          <w:tcPr>
            <w:tcW w:w="2382" w:type="dxa"/>
            <w:vAlign w:val="center"/>
          </w:tcPr>
          <w:p>
            <w:pPr>
              <w:spacing w:line="360" w:lineRule="auto"/>
              <w:jc w:val="center"/>
              <w:rPr>
                <w:rFonts w:hint="eastAsia" w:ascii="宋体" w:hAnsi="宋体"/>
                <w:szCs w:val="21"/>
                <w:highlight w:val="none"/>
              </w:rPr>
            </w:pPr>
          </w:p>
        </w:tc>
        <w:tc>
          <w:tcPr>
            <w:tcW w:w="1458" w:type="dxa"/>
            <w:tcMar>
              <w:left w:w="28" w:type="dxa"/>
              <w:right w:w="28" w:type="dxa"/>
            </w:tcMar>
            <w:vAlign w:val="center"/>
          </w:tcPr>
          <w:p>
            <w:pPr>
              <w:spacing w:line="360" w:lineRule="auto"/>
              <w:jc w:val="center"/>
              <w:rPr>
                <w:rFonts w:hint="eastAsia" w:ascii="宋体" w:hAnsi="宋体"/>
                <w:szCs w:val="21"/>
                <w:highlight w:val="none"/>
              </w:rPr>
            </w:pPr>
          </w:p>
        </w:tc>
        <w:tc>
          <w:tcPr>
            <w:tcW w:w="1180" w:type="dxa"/>
            <w:vAlign w:val="center"/>
          </w:tcPr>
          <w:p>
            <w:pPr>
              <w:spacing w:line="360" w:lineRule="auto"/>
              <w:jc w:val="center"/>
              <w:rPr>
                <w:rFonts w:hint="eastAsia" w:ascii="宋体" w:hAnsi="宋体"/>
                <w:szCs w:val="21"/>
                <w:highlight w:val="none"/>
              </w:rPr>
            </w:pPr>
          </w:p>
        </w:tc>
        <w:tc>
          <w:tcPr>
            <w:tcW w:w="944" w:type="dxa"/>
            <w:vAlign w:val="center"/>
          </w:tcPr>
          <w:p>
            <w:pPr>
              <w:spacing w:line="360" w:lineRule="auto"/>
              <w:jc w:val="center"/>
              <w:rPr>
                <w:rFonts w:hint="eastAsia" w:ascii="宋体" w:hAnsi="宋体"/>
                <w:szCs w:val="21"/>
                <w:highlight w:val="none"/>
              </w:rPr>
            </w:pPr>
          </w:p>
        </w:tc>
      </w:tr>
    </w:tbl>
    <w:p>
      <w:pPr>
        <w:pStyle w:val="13"/>
        <w:spacing w:line="360" w:lineRule="auto"/>
        <w:rPr>
          <w:rFonts w:hint="eastAsia" w:hAnsi="宋体"/>
          <w:b/>
          <w:bCs/>
          <w:szCs w:val="21"/>
          <w:highlight w:val="none"/>
        </w:rPr>
      </w:pPr>
      <w:r>
        <w:rPr>
          <w:rFonts w:hint="eastAsia" w:hAnsi="宋体"/>
          <w:b/>
          <w:bCs/>
          <w:szCs w:val="21"/>
          <w:highlight w:val="none"/>
        </w:rPr>
        <w:t>注：请供应商根据</w:t>
      </w:r>
      <w:r>
        <w:rPr>
          <w:rFonts w:hint="eastAsia" w:hAnsi="宋体" w:cs="Arial"/>
          <w:b/>
          <w:szCs w:val="21"/>
          <w:highlight w:val="none"/>
        </w:rPr>
        <w:t>谈判文件</w:t>
      </w:r>
      <w:r>
        <w:rPr>
          <w:rFonts w:hint="eastAsia" w:hAnsi="宋体"/>
          <w:b/>
          <w:bCs/>
          <w:szCs w:val="21"/>
          <w:highlight w:val="none"/>
        </w:rPr>
        <w:t>的技术评审表逐项响应，表格不够填写的资料可以另页。证明材料可以附后。</w:t>
      </w:r>
    </w:p>
    <w:p>
      <w:pPr>
        <w:spacing w:line="360" w:lineRule="auto"/>
        <w:ind w:firstLine="2940" w:firstLineChars="1400"/>
        <w:jc w:val="left"/>
        <w:rPr>
          <w:rFonts w:hint="eastAsia" w:ascii="宋体" w:hAnsi="宋体"/>
          <w:szCs w:val="21"/>
          <w:highlight w:val="none"/>
          <w:u w:val="single"/>
        </w:rPr>
      </w:pPr>
      <w:r>
        <w:rPr>
          <w:rFonts w:hint="eastAsia" w:ascii="宋体" w:hAnsi="宋体"/>
          <w:szCs w:val="21"/>
          <w:highlight w:val="none"/>
        </w:rPr>
        <w:t>供应商（单位公章）：</w:t>
      </w:r>
      <w:r>
        <w:rPr>
          <w:rFonts w:hint="eastAsia" w:ascii="宋体" w:hAnsi="宋体"/>
          <w:szCs w:val="21"/>
          <w:highlight w:val="none"/>
          <w:u w:val="single"/>
        </w:rPr>
        <w:t xml:space="preserve">                              </w:t>
      </w:r>
    </w:p>
    <w:p>
      <w:pPr>
        <w:spacing w:before="156" w:beforeLines="50" w:after="156" w:afterLines="50" w:line="360" w:lineRule="auto"/>
        <w:ind w:firstLine="3570" w:firstLineChars="1700"/>
        <w:rPr>
          <w:rFonts w:hint="eastAsia" w:ascii="宋体" w:hAnsi="宋体" w:cs="Arial"/>
          <w:szCs w:val="21"/>
          <w:highlight w:val="none"/>
        </w:rPr>
      </w:pPr>
      <w:r>
        <w:rPr>
          <w:rFonts w:hint="eastAsia" w:ascii="宋体" w:hAnsi="宋体" w:cs="Arial"/>
          <w:szCs w:val="21"/>
          <w:highlight w:val="none"/>
          <w:u w:val="single"/>
        </w:rPr>
        <w:t xml:space="preserve">    </w:t>
      </w:r>
      <w:r>
        <w:rPr>
          <w:rFonts w:hint="eastAsia" w:ascii="宋体" w:hAnsi="宋体" w:cs="Arial"/>
          <w:szCs w:val="21"/>
          <w:highlight w:val="none"/>
        </w:rPr>
        <w:t>年</w:t>
      </w:r>
      <w:r>
        <w:rPr>
          <w:rFonts w:hint="eastAsia" w:ascii="宋体" w:hAnsi="宋体" w:cs="Arial"/>
          <w:szCs w:val="21"/>
          <w:highlight w:val="none"/>
          <w:u w:val="single"/>
        </w:rPr>
        <w:t xml:space="preserve">    </w:t>
      </w:r>
      <w:r>
        <w:rPr>
          <w:rFonts w:hint="eastAsia" w:ascii="宋体" w:hAnsi="宋体" w:cs="Arial"/>
          <w:szCs w:val="21"/>
          <w:highlight w:val="none"/>
        </w:rPr>
        <w:t>月</w:t>
      </w:r>
      <w:r>
        <w:rPr>
          <w:rFonts w:hint="eastAsia" w:ascii="宋体" w:hAnsi="宋体" w:cs="Arial"/>
          <w:szCs w:val="21"/>
          <w:highlight w:val="none"/>
          <w:u w:val="single"/>
        </w:rPr>
        <w:t xml:space="preserve">   </w:t>
      </w:r>
      <w:r>
        <w:rPr>
          <w:rFonts w:hint="eastAsia" w:ascii="宋体" w:hAnsi="宋体" w:cs="Arial"/>
          <w:szCs w:val="21"/>
          <w:highlight w:val="none"/>
        </w:rPr>
        <w:t>日</w:t>
      </w:r>
    </w:p>
    <w:p>
      <w:pPr>
        <w:spacing w:before="156" w:beforeLines="50" w:after="156" w:afterLines="50" w:line="360" w:lineRule="auto"/>
        <w:ind w:firstLine="562" w:firstLineChars="200"/>
        <w:rPr>
          <w:rFonts w:hint="eastAsia" w:ascii="宋体" w:hAnsi="宋体" w:cs="宋体"/>
          <w:b/>
          <w:sz w:val="28"/>
          <w:szCs w:val="20"/>
          <w:highlight w:val="none"/>
        </w:rPr>
      </w:pPr>
      <w:permStart w:id="36" w:edGrp="everyone"/>
      <w:r>
        <w:rPr>
          <w:rFonts w:hint="eastAsia" w:ascii="宋体" w:hAnsi="宋体" w:cs="宋体"/>
          <w:b/>
          <w:sz w:val="28"/>
          <w:szCs w:val="20"/>
          <w:highlight w:val="none"/>
        </w:rPr>
        <w:t>格式</w:t>
      </w:r>
      <w:r>
        <w:rPr>
          <w:rFonts w:hint="eastAsia"/>
          <w:b/>
          <w:sz w:val="28"/>
          <w:szCs w:val="36"/>
          <w:highlight w:val="none"/>
        </w:rPr>
        <w:t>十</w:t>
      </w:r>
      <w:r>
        <w:rPr>
          <w:rFonts w:hint="eastAsia" w:ascii="宋体" w:hAnsi="宋体" w:cs="宋体"/>
          <w:b/>
          <w:sz w:val="28"/>
          <w:szCs w:val="20"/>
          <w:highlight w:val="none"/>
        </w:rPr>
        <w:t xml:space="preserve">-1  </w:t>
      </w:r>
      <w:r>
        <w:rPr>
          <w:rFonts w:hint="eastAsia" w:hAnsi="宋体" w:cs="宋体"/>
          <w:b/>
          <w:sz w:val="28"/>
          <w:szCs w:val="20"/>
          <w:highlight w:val="none"/>
        </w:rPr>
        <w:t>技术</w:t>
      </w:r>
      <w:r>
        <w:rPr>
          <w:rFonts w:hint="eastAsia" w:ascii="宋体" w:hAnsi="宋体" w:cs="宋体"/>
          <w:b/>
          <w:sz w:val="28"/>
          <w:szCs w:val="20"/>
          <w:highlight w:val="none"/>
        </w:rPr>
        <w:t xml:space="preserve">响应格式（对应技术评审表总体服务方案部分） </w:t>
      </w:r>
    </w:p>
    <w:p>
      <w:pPr>
        <w:rPr>
          <w:highlight w:val="none"/>
        </w:rPr>
      </w:pPr>
      <w:r>
        <w:rPr>
          <w:rFonts w:hint="eastAsia"/>
          <w:highlight w:val="none"/>
        </w:rPr>
        <w:t>供应商结合酒店自身条件针对【              】项目（项目编号：          ）制定整体服务方案，内容包括但不限于客房服务、餐饮服务、安全保卫、消防、医疗等方面服务，请供应商按以下框架格式编制具体服务内容。</w:t>
      </w:r>
    </w:p>
    <w:p>
      <w:pPr>
        <w:rPr>
          <w:highlight w:val="none"/>
        </w:rPr>
      </w:pPr>
      <w:r>
        <w:rPr>
          <w:rFonts w:hint="eastAsia"/>
          <w:highlight w:val="none"/>
        </w:rPr>
        <w:t>1、项目人员投入情况</w:t>
      </w:r>
    </w:p>
    <w:p>
      <w:pPr>
        <w:rPr>
          <w:highlight w:val="none"/>
        </w:rPr>
      </w:pPr>
      <w:r>
        <w:rPr>
          <w:rFonts w:hint="eastAsia"/>
          <w:highlight w:val="none"/>
        </w:rPr>
        <w:t>【包括不限于项目经理、财务、对账人员、司机、驻场人员及前台接待人员等】</w:t>
      </w:r>
    </w:p>
    <w:p>
      <w:pPr>
        <w:rPr>
          <w:highlight w:val="none"/>
        </w:rPr>
      </w:pPr>
      <w:r>
        <w:rPr>
          <w:rFonts w:hint="eastAsia"/>
          <w:highlight w:val="none"/>
        </w:rPr>
        <w:t>2、规章制度</w:t>
      </w:r>
    </w:p>
    <w:p>
      <w:pPr>
        <w:rPr>
          <w:highlight w:val="none"/>
        </w:rPr>
      </w:pPr>
      <w:r>
        <w:rPr>
          <w:rFonts w:hint="eastAsia"/>
          <w:highlight w:val="none"/>
        </w:rPr>
        <w:t>【包括不限于餐饮服务规章制度、原材料验收制度、后厨管理制度、客房管理制度、财务管理制度及安全管理等酒店相关规章制度】</w:t>
      </w:r>
    </w:p>
    <w:p>
      <w:pPr>
        <w:rPr>
          <w:highlight w:val="none"/>
        </w:rPr>
      </w:pPr>
      <w:r>
        <w:rPr>
          <w:rFonts w:hint="eastAsia"/>
          <w:highlight w:val="none"/>
        </w:rPr>
        <w:t>3、客房服务方面</w:t>
      </w:r>
    </w:p>
    <w:p>
      <w:pPr>
        <w:rPr>
          <w:highlight w:val="none"/>
        </w:rPr>
      </w:pPr>
      <w:r>
        <w:rPr>
          <w:rFonts w:hint="eastAsia"/>
          <w:highlight w:val="none"/>
        </w:rPr>
        <w:t>【包括不限于候机楼驻场人员、前台人员接待、入离办理及保障能力等客房服务标准及流程】</w:t>
      </w:r>
    </w:p>
    <w:p>
      <w:pPr>
        <w:rPr>
          <w:highlight w:val="none"/>
        </w:rPr>
      </w:pPr>
      <w:r>
        <w:rPr>
          <w:rFonts w:hint="eastAsia"/>
          <w:highlight w:val="none"/>
        </w:rPr>
        <w:t>4、餐饮服务方面</w:t>
      </w:r>
    </w:p>
    <w:p>
      <w:pPr>
        <w:rPr>
          <w:highlight w:val="none"/>
        </w:rPr>
      </w:pPr>
      <w:r>
        <w:rPr>
          <w:rFonts w:hint="eastAsia"/>
          <w:highlight w:val="none"/>
        </w:rPr>
        <w:t>【包括不限于食品安全、菜谱制定、坏境保洁、人员培训、餐饮保障能力及个性化服务等服务内容】</w:t>
      </w:r>
    </w:p>
    <w:p>
      <w:pPr>
        <w:rPr>
          <w:highlight w:val="none"/>
        </w:rPr>
      </w:pPr>
      <w:r>
        <w:rPr>
          <w:rFonts w:hint="eastAsia"/>
          <w:highlight w:val="none"/>
        </w:rPr>
        <w:t>5、安全保卫方面</w:t>
      </w:r>
    </w:p>
    <w:p>
      <w:pPr>
        <w:rPr>
          <w:highlight w:val="none"/>
        </w:rPr>
      </w:pPr>
      <w:r>
        <w:rPr>
          <w:rFonts w:hint="eastAsia"/>
          <w:highlight w:val="none"/>
        </w:rPr>
        <w:t>【包括不限于日常巡逻、消防设备维护及消防培训等酒店安全相关服务措施】</w:t>
      </w:r>
    </w:p>
    <w:p>
      <w:pPr>
        <w:rPr>
          <w:highlight w:val="none"/>
        </w:rPr>
      </w:pPr>
      <w:r>
        <w:rPr>
          <w:rFonts w:hint="eastAsia"/>
          <w:highlight w:val="none"/>
        </w:rPr>
        <w:t>6、医疗服务</w:t>
      </w:r>
    </w:p>
    <w:p>
      <w:pPr>
        <w:rPr>
          <w:highlight w:val="none"/>
        </w:rPr>
      </w:pPr>
      <w:r>
        <w:rPr>
          <w:rFonts w:hint="eastAsia"/>
          <w:highlight w:val="none"/>
        </w:rPr>
        <w:t>【包括不限于配备常规医疗物品、急救等设施设备】</w:t>
      </w:r>
    </w:p>
    <w:p>
      <w:pPr>
        <w:rPr>
          <w:highlight w:val="none"/>
        </w:rPr>
      </w:pPr>
      <w:r>
        <w:rPr>
          <w:rFonts w:hint="eastAsia"/>
          <w:highlight w:val="none"/>
        </w:rPr>
        <w:t>7、应急方案</w:t>
      </w:r>
    </w:p>
    <w:p>
      <w:pPr>
        <w:rPr>
          <w:highlight w:val="none"/>
        </w:rPr>
      </w:pPr>
      <w:r>
        <w:rPr>
          <w:rFonts w:hint="eastAsia"/>
          <w:highlight w:val="none"/>
        </w:rPr>
        <w:t>【包括不限于消防、食物中毒、治安突发事件、停电紧急情况处理及紧急病症（如心脏病、晕倒等）处理等突发事件应急预案】</w:t>
      </w:r>
    </w:p>
    <w:p>
      <w:pPr>
        <w:rPr>
          <w:highlight w:val="none"/>
        </w:rPr>
      </w:pPr>
      <w:r>
        <w:rPr>
          <w:rFonts w:hint="eastAsia"/>
          <w:highlight w:val="none"/>
        </w:rPr>
        <w:t>【其他】</w:t>
      </w:r>
    </w:p>
    <w:p>
      <w:pPr>
        <w:pStyle w:val="9"/>
        <w:rPr>
          <w:highlight w:val="none"/>
        </w:rPr>
      </w:pPr>
    </w:p>
    <w:p>
      <w:pPr>
        <w:rPr>
          <w:highlight w:val="none"/>
        </w:rPr>
      </w:pPr>
    </w:p>
    <w:p>
      <w:pPr>
        <w:pStyle w:val="9"/>
        <w:rPr>
          <w:highlight w:val="none"/>
        </w:rPr>
      </w:pPr>
    </w:p>
    <w:p>
      <w:pPr>
        <w:rPr>
          <w:highlight w:val="none"/>
        </w:rPr>
      </w:pPr>
    </w:p>
    <w:p>
      <w:pPr>
        <w:rPr>
          <w:highlight w:val="none"/>
        </w:rPr>
      </w:pPr>
    </w:p>
    <w:p>
      <w:pPr>
        <w:pStyle w:val="9"/>
        <w:rPr>
          <w:highlight w:val="none"/>
        </w:rPr>
      </w:pPr>
    </w:p>
    <w:p>
      <w:pPr>
        <w:rPr>
          <w:highlight w:val="none"/>
        </w:rPr>
      </w:pPr>
    </w:p>
    <w:p>
      <w:pPr>
        <w:spacing w:before="156" w:beforeLines="50" w:after="156" w:afterLines="50" w:line="360" w:lineRule="auto"/>
        <w:ind w:firstLine="562" w:firstLineChars="200"/>
        <w:rPr>
          <w:rFonts w:hint="eastAsia" w:ascii="宋体" w:hAnsi="宋体" w:cs="宋体"/>
          <w:szCs w:val="21"/>
          <w:highlight w:val="none"/>
        </w:rPr>
      </w:pPr>
      <w:r>
        <w:rPr>
          <w:rFonts w:hint="eastAsia" w:ascii="宋体" w:hAnsi="宋体" w:cs="宋体"/>
          <w:b/>
          <w:sz w:val="28"/>
          <w:szCs w:val="20"/>
          <w:highlight w:val="none"/>
        </w:rPr>
        <w:t>格式</w:t>
      </w:r>
      <w:r>
        <w:rPr>
          <w:rFonts w:hint="eastAsia"/>
          <w:b/>
          <w:sz w:val="28"/>
          <w:szCs w:val="36"/>
          <w:highlight w:val="none"/>
        </w:rPr>
        <w:t>十</w:t>
      </w:r>
      <w:r>
        <w:rPr>
          <w:rFonts w:hint="eastAsia" w:ascii="宋体" w:hAnsi="宋体" w:cs="宋体"/>
          <w:b/>
          <w:sz w:val="28"/>
          <w:szCs w:val="20"/>
          <w:highlight w:val="none"/>
        </w:rPr>
        <w:t xml:space="preserve">-2  </w:t>
      </w:r>
      <w:r>
        <w:rPr>
          <w:rFonts w:hint="eastAsia" w:hAnsi="宋体" w:cs="宋体"/>
          <w:b/>
          <w:sz w:val="28"/>
          <w:szCs w:val="20"/>
          <w:highlight w:val="none"/>
        </w:rPr>
        <w:t>技术</w:t>
      </w:r>
      <w:r>
        <w:rPr>
          <w:rFonts w:hint="eastAsia" w:ascii="宋体" w:hAnsi="宋体" w:cs="宋体"/>
          <w:b/>
          <w:sz w:val="28"/>
          <w:szCs w:val="20"/>
          <w:highlight w:val="none"/>
        </w:rPr>
        <w:t>响应格式（对应技术评审表优惠政策部分）</w:t>
      </w:r>
    </w:p>
    <w:p>
      <w:pPr>
        <w:pStyle w:val="5"/>
        <w:spacing w:line="360" w:lineRule="auto"/>
        <w:jc w:val="left"/>
        <w:rPr>
          <w:rFonts w:hint="eastAsia" w:ascii="宋体" w:hAnsi="宋体" w:cs="宋体"/>
          <w:b/>
          <w:szCs w:val="21"/>
          <w:highlight w:val="none"/>
        </w:rPr>
      </w:pPr>
      <w:r>
        <w:rPr>
          <w:rFonts w:hint="eastAsia" w:ascii="宋体" w:hAnsi="宋体" w:cs="宋体"/>
          <w:szCs w:val="21"/>
          <w:highlight w:val="none"/>
        </w:rPr>
        <w:t>供应商确认对南航航延旅客保障业务【</w:t>
      </w:r>
      <w:r>
        <w:rPr>
          <w:rFonts w:hint="eastAsia" w:ascii="宋体" w:hAnsi="宋体" w:cs="宋体"/>
          <w:szCs w:val="21"/>
          <w:highlight w:val="none"/>
          <w:u w:val="single"/>
        </w:rPr>
        <w:t>免费/有偿】</w:t>
      </w:r>
      <w:r>
        <w:rPr>
          <w:rFonts w:hint="eastAsia" w:ascii="宋体" w:hAnsi="宋体" w:cs="宋体"/>
          <w:szCs w:val="21"/>
          <w:highlight w:val="none"/>
        </w:rPr>
        <w:t>提供早餐；配备自有/租赁车辆【     】台小型车、中巴、大巴等车型，共计【</w:t>
      </w:r>
      <w:r>
        <w:rPr>
          <w:rFonts w:hint="eastAsia" w:ascii="宋体" w:hAnsi="宋体" w:cs="宋体"/>
          <w:szCs w:val="21"/>
          <w:highlight w:val="none"/>
          <w:u w:val="single"/>
        </w:rPr>
        <w:t xml:space="preserve">     </w:t>
      </w:r>
      <w:r>
        <w:rPr>
          <w:rFonts w:hint="eastAsia" w:ascii="宋体" w:hAnsi="宋体" w:cs="宋体"/>
          <w:szCs w:val="21"/>
          <w:highlight w:val="none"/>
        </w:rPr>
        <w:t>】个座位，其中自购车辆【</w:t>
      </w:r>
      <w:r>
        <w:rPr>
          <w:rFonts w:hint="eastAsia" w:ascii="宋体" w:hAnsi="宋体" w:cs="宋体"/>
          <w:szCs w:val="21"/>
          <w:highlight w:val="none"/>
          <w:u w:val="single"/>
        </w:rPr>
        <w:t xml:space="preserve">     </w:t>
      </w:r>
      <w:r>
        <w:rPr>
          <w:rFonts w:hint="eastAsia" w:ascii="宋体" w:hAnsi="宋体" w:cs="宋体"/>
          <w:szCs w:val="21"/>
          <w:highlight w:val="none"/>
        </w:rPr>
        <w:t>】台【</w:t>
      </w:r>
      <w:r>
        <w:rPr>
          <w:rFonts w:hint="eastAsia" w:ascii="宋体" w:hAnsi="宋体" w:cs="宋体"/>
          <w:szCs w:val="21"/>
          <w:highlight w:val="none"/>
          <w:u w:val="single"/>
        </w:rPr>
        <w:t xml:space="preserve">      </w:t>
      </w:r>
      <w:r>
        <w:rPr>
          <w:rFonts w:hint="eastAsia" w:ascii="宋体" w:hAnsi="宋体" w:cs="宋体"/>
          <w:szCs w:val="21"/>
          <w:highlight w:val="none"/>
        </w:rPr>
        <w:t>】个座位，租赁车辆【</w:t>
      </w:r>
      <w:r>
        <w:rPr>
          <w:rFonts w:hint="eastAsia" w:ascii="宋体" w:hAnsi="宋体" w:cs="宋体"/>
          <w:szCs w:val="21"/>
          <w:highlight w:val="none"/>
          <w:u w:val="single"/>
        </w:rPr>
        <w:t xml:space="preserve">     </w:t>
      </w:r>
      <w:r>
        <w:rPr>
          <w:rFonts w:hint="eastAsia" w:ascii="宋体" w:hAnsi="宋体" w:cs="宋体"/>
          <w:szCs w:val="21"/>
          <w:highlight w:val="none"/>
        </w:rPr>
        <w:t>】台【</w:t>
      </w:r>
      <w:r>
        <w:rPr>
          <w:rFonts w:hint="eastAsia" w:ascii="宋体" w:hAnsi="宋体" w:cs="宋体"/>
          <w:szCs w:val="21"/>
          <w:highlight w:val="none"/>
          <w:u w:val="single"/>
        </w:rPr>
        <w:t xml:space="preserve">    </w:t>
      </w:r>
      <w:r>
        <w:rPr>
          <w:rFonts w:hint="eastAsia" w:ascii="宋体" w:hAnsi="宋体" w:cs="宋体"/>
          <w:szCs w:val="21"/>
          <w:highlight w:val="none"/>
        </w:rPr>
        <w:t>】个座位，A1驾照资格司机【</w:t>
      </w:r>
      <w:r>
        <w:rPr>
          <w:rFonts w:hint="eastAsia" w:ascii="宋体" w:hAnsi="宋体" w:cs="宋体"/>
          <w:szCs w:val="21"/>
          <w:highlight w:val="none"/>
          <w:u w:val="single"/>
        </w:rPr>
        <w:t xml:space="preserve">    </w:t>
      </w:r>
      <w:r>
        <w:rPr>
          <w:rFonts w:hint="eastAsia" w:ascii="宋体" w:hAnsi="宋体" w:cs="宋体"/>
          <w:szCs w:val="21"/>
          <w:highlight w:val="none"/>
        </w:rPr>
        <w:t>】</w:t>
      </w:r>
      <w:r>
        <w:rPr>
          <w:rFonts w:hint="eastAsia" w:ascii="宋体" w:hAnsi="宋体" w:cs="宋体"/>
          <w:szCs w:val="21"/>
          <w:highlight w:val="none"/>
          <w:u w:val="single"/>
        </w:rPr>
        <w:t>名（不得少于1名）</w:t>
      </w:r>
      <w:r>
        <w:rPr>
          <w:rFonts w:hint="eastAsia" w:ascii="宋体" w:hAnsi="宋体" w:cs="宋体"/>
          <w:szCs w:val="21"/>
          <w:highlight w:val="none"/>
        </w:rPr>
        <w:t xml:space="preserve">  ，座位数40座（含）以上大巴【</w:t>
      </w:r>
      <w:r>
        <w:rPr>
          <w:rFonts w:hint="eastAsia" w:ascii="宋体" w:hAnsi="宋体" w:cs="宋体"/>
          <w:szCs w:val="21"/>
          <w:highlight w:val="none"/>
          <w:u w:val="single"/>
        </w:rPr>
        <w:t xml:space="preserve">     </w:t>
      </w:r>
      <w:r>
        <w:rPr>
          <w:rFonts w:hint="eastAsia" w:ascii="宋体" w:hAnsi="宋体" w:cs="宋体"/>
          <w:szCs w:val="21"/>
          <w:highlight w:val="none"/>
        </w:rPr>
        <w:t>】台，并按照南航要求的标准时间内为南航中转、旅客提供酒店至机场之间的往返程车辆接送服务。</w:t>
      </w:r>
    </w:p>
    <w:p>
      <w:pPr>
        <w:pStyle w:val="5"/>
        <w:spacing w:line="360" w:lineRule="auto"/>
        <w:jc w:val="left"/>
        <w:rPr>
          <w:rFonts w:hint="eastAsia" w:ascii="宋体" w:hAnsi="宋体" w:cs="宋体"/>
          <w:szCs w:val="21"/>
          <w:highlight w:val="none"/>
        </w:rPr>
      </w:pPr>
      <w:r>
        <w:rPr>
          <w:rFonts w:hint="eastAsia" w:ascii="宋体" w:hAnsi="宋体" w:cs="宋体"/>
          <w:szCs w:val="21"/>
          <w:highlight w:val="none"/>
        </w:rPr>
        <w:t>【附：1、自有车辆：提供行驶证扫描件、车辆照片及车辆座位数量证明材料</w:t>
      </w:r>
    </w:p>
    <w:p>
      <w:pPr>
        <w:pStyle w:val="5"/>
        <w:numPr>
          <w:ilvl w:val="0"/>
          <w:numId w:val="23"/>
        </w:numPr>
        <w:spacing w:line="360" w:lineRule="auto"/>
        <w:ind w:firstLine="840" w:firstLineChars="400"/>
        <w:jc w:val="left"/>
        <w:rPr>
          <w:rFonts w:hint="eastAsia" w:ascii="宋体" w:hAnsi="宋体" w:cs="宋体"/>
          <w:szCs w:val="21"/>
          <w:highlight w:val="none"/>
        </w:rPr>
      </w:pPr>
      <w:r>
        <w:rPr>
          <w:rFonts w:hint="eastAsia" w:ascii="宋体" w:hAnsi="宋体" w:cs="宋体"/>
          <w:szCs w:val="21"/>
          <w:highlight w:val="none"/>
        </w:rPr>
        <w:t>租赁车辆：提供车辆租赁合同扫描件、行驶证扫描件、车辆照片，及车辆座位数量证明材料</w:t>
      </w:r>
    </w:p>
    <w:p>
      <w:pPr>
        <w:pStyle w:val="44"/>
        <w:numPr>
          <w:ilvl w:val="0"/>
          <w:numId w:val="23"/>
        </w:numPr>
        <w:spacing w:line="360" w:lineRule="auto"/>
        <w:ind w:firstLine="840" w:firstLineChars="400"/>
        <w:rPr>
          <w:rFonts w:hint="eastAsia" w:hAnsi="宋体"/>
          <w:sz w:val="21"/>
          <w:szCs w:val="21"/>
          <w:highlight w:val="none"/>
        </w:rPr>
      </w:pPr>
      <w:r>
        <w:rPr>
          <w:rFonts w:hint="eastAsia" w:hAnsi="宋体"/>
          <w:color w:val="auto"/>
          <w:sz w:val="21"/>
          <w:szCs w:val="21"/>
          <w:highlight w:val="none"/>
        </w:rPr>
        <w:t>提供</w:t>
      </w:r>
      <w:r>
        <w:rPr>
          <w:rFonts w:hint="eastAsia" w:hAnsi="宋体"/>
          <w:sz w:val="21"/>
          <w:szCs w:val="21"/>
          <w:highlight w:val="none"/>
        </w:rPr>
        <w:t>A1驾照资格司机驾驶证及劳动关系证明加盖公章</w:t>
      </w:r>
    </w:p>
    <w:p>
      <w:pPr>
        <w:pStyle w:val="44"/>
        <w:numPr>
          <w:ilvl w:val="0"/>
          <w:numId w:val="23"/>
        </w:numPr>
        <w:spacing w:line="360" w:lineRule="auto"/>
        <w:ind w:firstLine="840" w:firstLineChars="400"/>
        <w:rPr>
          <w:rFonts w:hint="eastAsia" w:hAnsi="宋体"/>
          <w:sz w:val="21"/>
          <w:szCs w:val="21"/>
          <w:highlight w:val="none"/>
        </w:rPr>
      </w:pPr>
      <w:r>
        <w:rPr>
          <w:rFonts w:hint="eastAsia" w:hAnsi="宋体"/>
          <w:sz w:val="21"/>
          <w:szCs w:val="21"/>
          <w:highlight w:val="none"/>
          <w:u w:val="single"/>
        </w:rPr>
        <w:t>免费提供航延早餐响应材料（格式自拟）</w:t>
      </w:r>
    </w:p>
    <w:p>
      <w:pPr>
        <w:pStyle w:val="44"/>
        <w:numPr>
          <w:ilvl w:val="0"/>
          <w:numId w:val="23"/>
        </w:numPr>
        <w:spacing w:line="360" w:lineRule="auto"/>
        <w:ind w:firstLine="840" w:firstLineChars="400"/>
        <w:rPr>
          <w:rFonts w:hint="eastAsia" w:hAnsi="宋体"/>
          <w:sz w:val="21"/>
          <w:szCs w:val="21"/>
          <w:highlight w:val="none"/>
        </w:rPr>
      </w:pPr>
      <w:r>
        <w:rPr>
          <w:rFonts w:hint="eastAsia" w:hAnsi="宋体"/>
          <w:sz w:val="21"/>
          <w:szCs w:val="21"/>
          <w:highlight w:val="none"/>
        </w:rPr>
        <w:t>提供24小时随时调度响应材料加盖公章（详见格式十七、响应材料）</w:t>
      </w:r>
    </w:p>
    <w:p>
      <w:pPr>
        <w:pStyle w:val="9"/>
        <w:spacing w:line="360" w:lineRule="auto"/>
        <w:rPr>
          <w:rFonts w:hint="eastAsia" w:ascii="宋体" w:hAnsi="宋体" w:cs="宋体"/>
          <w:sz w:val="21"/>
          <w:szCs w:val="21"/>
          <w:highlight w:val="none"/>
        </w:rPr>
      </w:pPr>
      <w:r>
        <w:rPr>
          <w:rFonts w:hint="eastAsia" w:ascii="宋体" w:hAnsi="宋体" w:cs="宋体"/>
          <w:sz w:val="21"/>
          <w:szCs w:val="21"/>
          <w:highlight w:val="none"/>
        </w:rPr>
        <w:t>备注：自购车辆：车辆所有人应是该供应商；租赁车辆：车辆承租方应是该供应商，车辆所有人应是租赁公司】</w:t>
      </w:r>
    </w:p>
    <w:p>
      <w:pPr>
        <w:spacing w:line="360" w:lineRule="auto"/>
        <w:rPr>
          <w:rFonts w:hint="eastAsia" w:ascii="宋体" w:hAnsi="宋体" w:cs="宋体"/>
          <w:szCs w:val="21"/>
          <w:highlight w:val="none"/>
        </w:rPr>
      </w:pPr>
    </w:p>
    <w:p>
      <w:pPr>
        <w:pStyle w:val="9"/>
        <w:rPr>
          <w:rFonts w:hint="eastAsia" w:ascii="宋体" w:hAnsi="宋体" w:cs="宋体"/>
          <w:sz w:val="21"/>
          <w:szCs w:val="21"/>
          <w:highlight w:val="none"/>
        </w:rPr>
      </w:pPr>
    </w:p>
    <w:p>
      <w:pPr>
        <w:rPr>
          <w:rFonts w:hint="eastAsia" w:ascii="宋体" w:hAnsi="宋体" w:cs="宋体"/>
          <w:szCs w:val="21"/>
          <w:highlight w:val="none"/>
        </w:rPr>
      </w:pPr>
    </w:p>
    <w:p>
      <w:pPr>
        <w:pStyle w:val="9"/>
        <w:rPr>
          <w:rFonts w:hint="eastAsia" w:ascii="宋体" w:hAnsi="宋体" w:cs="宋体"/>
          <w:sz w:val="21"/>
          <w:szCs w:val="21"/>
          <w:highlight w:val="none"/>
        </w:rPr>
      </w:pPr>
    </w:p>
    <w:p>
      <w:pPr>
        <w:rPr>
          <w:rFonts w:hint="eastAsia" w:ascii="宋体" w:hAnsi="宋体" w:cs="宋体"/>
          <w:szCs w:val="21"/>
          <w:highlight w:val="none"/>
        </w:rPr>
      </w:pPr>
    </w:p>
    <w:p>
      <w:pPr>
        <w:pStyle w:val="9"/>
        <w:rPr>
          <w:rFonts w:hint="eastAsia" w:ascii="宋体" w:hAnsi="宋体" w:cs="宋体"/>
          <w:sz w:val="21"/>
          <w:szCs w:val="21"/>
          <w:highlight w:val="none"/>
        </w:rPr>
      </w:pPr>
    </w:p>
    <w:p>
      <w:pPr>
        <w:rPr>
          <w:rFonts w:hint="eastAsia" w:ascii="宋体" w:hAnsi="宋体" w:cs="宋体"/>
          <w:szCs w:val="21"/>
          <w:highlight w:val="none"/>
        </w:rPr>
      </w:pPr>
    </w:p>
    <w:p>
      <w:pPr>
        <w:pStyle w:val="9"/>
        <w:rPr>
          <w:rFonts w:hint="eastAsia" w:ascii="宋体" w:hAnsi="宋体" w:cs="宋体"/>
          <w:sz w:val="21"/>
          <w:szCs w:val="21"/>
          <w:highlight w:val="none"/>
        </w:rPr>
      </w:pPr>
    </w:p>
    <w:p>
      <w:pPr>
        <w:rPr>
          <w:rFonts w:hint="eastAsia" w:ascii="宋体" w:hAnsi="宋体" w:cs="宋体"/>
          <w:szCs w:val="21"/>
          <w:highlight w:val="none"/>
        </w:rPr>
      </w:pPr>
    </w:p>
    <w:p>
      <w:pPr>
        <w:pStyle w:val="9"/>
        <w:rPr>
          <w:rFonts w:hint="eastAsia" w:ascii="宋体" w:hAnsi="宋体" w:cs="宋体"/>
          <w:sz w:val="21"/>
          <w:szCs w:val="21"/>
          <w:highlight w:val="none"/>
        </w:rPr>
      </w:pPr>
    </w:p>
    <w:p>
      <w:pPr>
        <w:rPr>
          <w:rFonts w:hint="eastAsia" w:ascii="宋体" w:hAnsi="宋体" w:cs="宋体"/>
          <w:szCs w:val="21"/>
          <w:highlight w:val="none"/>
        </w:rPr>
      </w:pPr>
    </w:p>
    <w:p>
      <w:pPr>
        <w:pStyle w:val="9"/>
        <w:rPr>
          <w:rFonts w:hint="eastAsia" w:ascii="宋体" w:hAnsi="宋体" w:cs="宋体"/>
          <w:sz w:val="21"/>
          <w:szCs w:val="21"/>
          <w:highlight w:val="none"/>
        </w:rPr>
      </w:pPr>
    </w:p>
    <w:p>
      <w:pPr>
        <w:rPr>
          <w:rFonts w:hint="eastAsia" w:ascii="宋体" w:hAnsi="宋体" w:cs="宋体"/>
          <w:szCs w:val="21"/>
          <w:highlight w:val="none"/>
        </w:rPr>
      </w:pPr>
    </w:p>
    <w:p>
      <w:pPr>
        <w:pStyle w:val="9"/>
        <w:rPr>
          <w:rFonts w:hint="eastAsia" w:ascii="宋体" w:hAnsi="宋体" w:cs="宋体"/>
          <w:sz w:val="21"/>
          <w:szCs w:val="21"/>
          <w:highlight w:val="none"/>
        </w:rPr>
      </w:pPr>
    </w:p>
    <w:p>
      <w:pPr>
        <w:rPr>
          <w:rFonts w:hint="eastAsia" w:ascii="宋体" w:hAnsi="宋体" w:cs="宋体"/>
          <w:szCs w:val="21"/>
          <w:highlight w:val="none"/>
        </w:rPr>
      </w:pPr>
    </w:p>
    <w:p>
      <w:pPr>
        <w:pStyle w:val="9"/>
        <w:rPr>
          <w:rFonts w:hint="eastAsia" w:ascii="宋体" w:hAnsi="宋体" w:cs="宋体"/>
          <w:sz w:val="21"/>
          <w:szCs w:val="21"/>
          <w:highlight w:val="none"/>
        </w:rPr>
      </w:pPr>
    </w:p>
    <w:p>
      <w:pPr>
        <w:rPr>
          <w:rFonts w:hint="eastAsia" w:ascii="宋体" w:hAnsi="宋体" w:cs="宋体"/>
          <w:szCs w:val="21"/>
          <w:highlight w:val="none"/>
        </w:rPr>
      </w:pPr>
    </w:p>
    <w:p>
      <w:pPr>
        <w:pStyle w:val="9"/>
        <w:rPr>
          <w:rFonts w:hint="eastAsia" w:ascii="宋体" w:hAnsi="宋体" w:cs="宋体"/>
          <w:sz w:val="21"/>
          <w:szCs w:val="21"/>
          <w:highlight w:val="none"/>
        </w:rPr>
      </w:pPr>
    </w:p>
    <w:p>
      <w:pPr>
        <w:rPr>
          <w:rFonts w:hint="eastAsia" w:ascii="宋体" w:hAnsi="宋体" w:cs="宋体"/>
          <w:szCs w:val="21"/>
          <w:highlight w:val="none"/>
        </w:rPr>
      </w:pPr>
    </w:p>
    <w:p>
      <w:pPr>
        <w:pStyle w:val="9"/>
        <w:rPr>
          <w:rFonts w:hint="eastAsia" w:ascii="宋体" w:hAnsi="宋体" w:cs="宋体"/>
          <w:sz w:val="21"/>
          <w:szCs w:val="21"/>
          <w:highlight w:val="none"/>
        </w:rPr>
      </w:pPr>
    </w:p>
    <w:p>
      <w:pPr>
        <w:rPr>
          <w:rFonts w:hint="eastAsia" w:ascii="宋体" w:hAnsi="宋体" w:cs="宋体"/>
          <w:szCs w:val="21"/>
          <w:highlight w:val="none"/>
        </w:rPr>
      </w:pPr>
    </w:p>
    <w:p>
      <w:pPr>
        <w:pStyle w:val="9"/>
        <w:rPr>
          <w:rFonts w:hint="eastAsia" w:ascii="宋体" w:hAnsi="宋体" w:cs="宋体"/>
          <w:sz w:val="21"/>
          <w:szCs w:val="21"/>
          <w:highlight w:val="none"/>
        </w:rPr>
      </w:pPr>
    </w:p>
    <w:p>
      <w:pPr>
        <w:rPr>
          <w:rFonts w:hint="eastAsia" w:ascii="宋体" w:hAnsi="宋体" w:cs="宋体"/>
          <w:szCs w:val="21"/>
          <w:highlight w:val="none"/>
        </w:rPr>
      </w:pPr>
    </w:p>
    <w:p>
      <w:pPr>
        <w:pStyle w:val="9"/>
        <w:ind w:firstLine="562" w:firstLineChars="200"/>
        <w:rPr>
          <w:rFonts w:hint="eastAsia" w:ascii="宋体" w:hAnsi="宋体" w:cs="宋体"/>
          <w:b/>
          <w:szCs w:val="20"/>
          <w:highlight w:val="none"/>
        </w:rPr>
      </w:pPr>
      <w:r>
        <w:rPr>
          <w:rFonts w:hint="eastAsia" w:ascii="宋体" w:hAnsi="宋体" w:cs="宋体"/>
          <w:b/>
          <w:szCs w:val="20"/>
          <w:highlight w:val="none"/>
        </w:rPr>
        <w:t>格式</w:t>
      </w:r>
      <w:r>
        <w:rPr>
          <w:rFonts w:hint="eastAsia"/>
          <w:b/>
          <w:szCs w:val="36"/>
          <w:highlight w:val="none"/>
        </w:rPr>
        <w:t>十</w:t>
      </w:r>
      <w:r>
        <w:rPr>
          <w:rFonts w:hint="eastAsia" w:ascii="宋体" w:hAnsi="宋体" w:cs="宋体"/>
          <w:b/>
          <w:szCs w:val="20"/>
          <w:highlight w:val="none"/>
        </w:rPr>
        <w:t>-3  技术响应格式（对应技术评审表房间数量、航延响应程度部分）</w:t>
      </w:r>
    </w:p>
    <w:p>
      <w:pPr>
        <w:widowControl/>
        <w:spacing w:line="360" w:lineRule="auto"/>
        <w:ind w:firstLine="420" w:firstLineChars="200"/>
        <w:jc w:val="left"/>
        <w:rPr>
          <w:rFonts w:hint="eastAsia" w:ascii="宋体" w:hAnsi="宋体" w:cs="宋体"/>
          <w:szCs w:val="21"/>
          <w:highlight w:val="none"/>
        </w:rPr>
      </w:pPr>
    </w:p>
    <w:p>
      <w:pPr>
        <w:widowControl/>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【供应商旗下酒店拥有【</w:t>
      </w:r>
      <w:r>
        <w:rPr>
          <w:rFonts w:hint="eastAsia" w:ascii="宋体" w:hAnsi="宋体" w:cs="宋体"/>
          <w:szCs w:val="21"/>
          <w:highlight w:val="none"/>
          <w:u w:val="single"/>
        </w:rPr>
        <w:t xml:space="preserve">        </w:t>
      </w:r>
      <w:r>
        <w:rPr>
          <w:rFonts w:hint="eastAsia" w:ascii="宋体" w:hAnsi="宋体" w:cs="宋体"/>
          <w:szCs w:val="21"/>
          <w:highlight w:val="none"/>
        </w:rPr>
        <w:t>】</w:t>
      </w:r>
      <w:r>
        <w:rPr>
          <w:rFonts w:hint="eastAsia" w:ascii="宋体" w:hAnsi="宋体" w:cs="宋体"/>
          <w:kern w:val="0"/>
          <w:szCs w:val="21"/>
          <w:highlight w:val="none"/>
        </w:rPr>
        <w:t>（选填： 单人间、双人间及三人间...）</w:t>
      </w:r>
      <w:r>
        <w:rPr>
          <w:rFonts w:hint="eastAsia" w:ascii="宋体" w:hAnsi="宋体" w:cs="宋体"/>
          <w:szCs w:val="21"/>
          <w:highlight w:val="none"/>
        </w:rPr>
        <w:t>等多种房型客房（不含异型客房、无窗客房），房间总数量为【</w:t>
      </w:r>
      <w:r>
        <w:rPr>
          <w:rFonts w:hint="eastAsia" w:ascii="宋体" w:hAnsi="宋体" w:cs="宋体"/>
          <w:kern w:val="0"/>
          <w:szCs w:val="21"/>
          <w:highlight w:val="none"/>
          <w:u w:val="single"/>
        </w:rPr>
        <w:t xml:space="preserve">         </w:t>
      </w:r>
      <w:r>
        <w:rPr>
          <w:rFonts w:hint="eastAsia" w:ascii="宋体" w:hAnsi="宋体" w:cs="宋体"/>
          <w:szCs w:val="21"/>
          <w:highlight w:val="none"/>
        </w:rPr>
        <w:t>】</w:t>
      </w:r>
      <w:r>
        <w:rPr>
          <w:rFonts w:hint="eastAsia" w:ascii="宋体" w:hAnsi="宋体" w:cs="宋体"/>
          <w:kern w:val="0"/>
          <w:szCs w:val="21"/>
          <w:highlight w:val="none"/>
        </w:rPr>
        <w:t>间，其中单人间</w:t>
      </w:r>
      <w:r>
        <w:rPr>
          <w:rFonts w:hint="eastAsia" w:ascii="宋体" w:hAnsi="宋体" w:cs="宋体"/>
          <w:kern w:val="0"/>
          <w:szCs w:val="21"/>
          <w:highlight w:val="none"/>
          <w:u w:val="single"/>
        </w:rPr>
        <w:t xml:space="preserve"> </w:t>
      </w:r>
      <w:r>
        <w:rPr>
          <w:rFonts w:hint="eastAsia" w:ascii="宋体" w:hAnsi="宋体" w:cs="宋体"/>
          <w:szCs w:val="21"/>
          <w:highlight w:val="none"/>
        </w:rPr>
        <w:t>【</w:t>
      </w:r>
      <w:r>
        <w:rPr>
          <w:rFonts w:hint="eastAsia" w:ascii="宋体" w:hAnsi="宋体" w:cs="宋体"/>
          <w:kern w:val="0"/>
          <w:szCs w:val="21"/>
          <w:highlight w:val="none"/>
          <w:u w:val="single"/>
        </w:rPr>
        <w:t xml:space="preserve">    </w:t>
      </w:r>
      <w:r>
        <w:rPr>
          <w:rFonts w:hint="eastAsia" w:ascii="宋体" w:hAnsi="宋体" w:cs="宋体"/>
          <w:szCs w:val="21"/>
          <w:highlight w:val="none"/>
        </w:rPr>
        <w:t>】</w:t>
      </w:r>
      <w:r>
        <w:rPr>
          <w:rFonts w:hint="eastAsia" w:ascii="宋体" w:hAnsi="宋体" w:cs="宋体"/>
          <w:kern w:val="0"/>
          <w:szCs w:val="21"/>
          <w:highlight w:val="none"/>
        </w:rPr>
        <w:t>间，双人间</w:t>
      </w:r>
      <w:r>
        <w:rPr>
          <w:rFonts w:hint="eastAsia" w:ascii="宋体" w:hAnsi="宋体" w:cs="宋体"/>
          <w:szCs w:val="21"/>
          <w:highlight w:val="none"/>
        </w:rPr>
        <w:t>【</w:t>
      </w:r>
      <w:r>
        <w:rPr>
          <w:rFonts w:hint="eastAsia" w:ascii="宋体" w:hAnsi="宋体" w:cs="宋体"/>
          <w:kern w:val="0"/>
          <w:szCs w:val="21"/>
          <w:highlight w:val="none"/>
          <w:u w:val="single"/>
        </w:rPr>
        <w:t xml:space="preserve">    </w:t>
      </w:r>
      <w:r>
        <w:rPr>
          <w:rFonts w:hint="eastAsia" w:ascii="宋体" w:hAnsi="宋体" w:cs="宋体"/>
          <w:szCs w:val="21"/>
          <w:highlight w:val="none"/>
        </w:rPr>
        <w:t>】</w:t>
      </w:r>
      <w:r>
        <w:rPr>
          <w:rFonts w:hint="eastAsia" w:ascii="宋体" w:hAnsi="宋体" w:cs="宋体"/>
          <w:kern w:val="0"/>
          <w:szCs w:val="21"/>
          <w:highlight w:val="none"/>
        </w:rPr>
        <w:t>间，酒店最基础房型建筑面积为</w:t>
      </w:r>
      <w:r>
        <w:rPr>
          <w:rFonts w:hint="eastAsia" w:ascii="宋体" w:hAnsi="宋体" w:cs="宋体"/>
          <w:szCs w:val="21"/>
          <w:highlight w:val="none"/>
        </w:rPr>
        <w:t>【</w:t>
      </w:r>
      <w:r>
        <w:rPr>
          <w:rFonts w:hint="eastAsia" w:ascii="宋体" w:hAnsi="宋体" w:cs="宋体"/>
          <w:kern w:val="0"/>
          <w:szCs w:val="21"/>
          <w:highlight w:val="none"/>
          <w:u w:val="single"/>
        </w:rPr>
        <w:t xml:space="preserve">      </w:t>
      </w:r>
      <w:r>
        <w:rPr>
          <w:rFonts w:hint="eastAsia" w:ascii="宋体" w:hAnsi="宋体" w:cs="宋体"/>
          <w:szCs w:val="21"/>
          <w:highlight w:val="none"/>
        </w:rPr>
        <w:t>】</w:t>
      </w:r>
      <w:r>
        <w:rPr>
          <w:rFonts w:hint="eastAsia" w:ascii="宋体" w:hAnsi="宋体" w:cs="宋体"/>
          <w:kern w:val="0"/>
          <w:szCs w:val="21"/>
          <w:highlight w:val="none"/>
        </w:rPr>
        <w:t>平方米。确认在</w:t>
      </w:r>
      <w:r>
        <w:rPr>
          <w:rFonts w:hint="eastAsia" w:ascii="宋体" w:hAnsi="宋体" w:cs="宋体"/>
          <w:szCs w:val="21"/>
          <w:highlight w:val="none"/>
        </w:rPr>
        <w:t>发生大面积航延时，优先保障南航航延旅客，为航延旅客提供</w:t>
      </w:r>
      <w:r>
        <w:rPr>
          <w:rFonts w:hint="eastAsia" w:ascii="宋体" w:hAnsi="宋体" w:cs="宋体"/>
          <w:szCs w:val="21"/>
          <w:highlight w:val="none"/>
          <w:u w:val="single"/>
        </w:rPr>
        <w:t xml:space="preserve"> </w:t>
      </w:r>
      <w:r>
        <w:rPr>
          <w:rFonts w:hint="eastAsia" w:ascii="宋体" w:hAnsi="宋体" w:cs="宋体"/>
          <w:szCs w:val="21"/>
          <w:highlight w:val="none"/>
        </w:rPr>
        <w:t>【</w:t>
      </w:r>
      <w:r>
        <w:rPr>
          <w:rFonts w:hint="eastAsia" w:ascii="宋体" w:hAnsi="宋体" w:cs="宋体"/>
          <w:szCs w:val="21"/>
          <w:highlight w:val="none"/>
          <w:u w:val="single"/>
        </w:rPr>
        <w:t xml:space="preserve">     </w:t>
      </w:r>
      <w:r>
        <w:rPr>
          <w:rFonts w:hint="eastAsia" w:ascii="宋体" w:hAnsi="宋体" w:cs="宋体"/>
          <w:szCs w:val="21"/>
          <w:highlight w:val="none"/>
        </w:rPr>
        <w:t xml:space="preserve"> 】个床位。</w:t>
      </w:r>
    </w:p>
    <w:p>
      <w:pPr>
        <w:rPr>
          <w:highlight w:val="none"/>
        </w:rPr>
      </w:pPr>
      <w:bookmarkStart w:id="408" w:name="_Toc26451"/>
    </w:p>
    <w:p>
      <w:pPr>
        <w:rPr>
          <w:highlight w:val="none"/>
        </w:rPr>
      </w:pPr>
    </w:p>
    <w:p>
      <w:pPr>
        <w:rPr>
          <w:highlight w:val="none"/>
        </w:rPr>
      </w:pPr>
      <w:r>
        <w:rPr>
          <w:rFonts w:hint="eastAsia"/>
          <w:highlight w:val="none"/>
        </w:rPr>
        <w:t>附：1、酒店管理系统房态图或携程公示的房间数量截图或其他证明材料</w:t>
      </w:r>
      <w:bookmarkEnd w:id="408"/>
    </w:p>
    <w:p>
      <w:pPr>
        <w:rPr>
          <w:highlight w:val="none"/>
        </w:rPr>
      </w:pPr>
      <w:r>
        <w:rPr>
          <w:rFonts w:hint="eastAsia"/>
          <w:highlight w:val="none"/>
        </w:rPr>
        <w:t>2、客房最基础房型（单人间/双人间）图片（各提供一张图片即可）</w:t>
      </w:r>
    </w:p>
    <w:p>
      <w:pPr>
        <w:rPr>
          <w:highlight w:val="none"/>
        </w:rPr>
      </w:pPr>
      <w:r>
        <w:rPr>
          <w:rFonts w:hint="eastAsia"/>
          <w:highlight w:val="none"/>
        </w:rPr>
        <w:t>3、航延响应材料（详见格式十七、响应材料）</w:t>
      </w:r>
    </w:p>
    <w:p>
      <w:pPr>
        <w:spacing w:line="360" w:lineRule="auto"/>
        <w:rPr>
          <w:rFonts w:hint="eastAsia" w:ascii="宋体" w:hAnsi="宋体" w:cs="宋体"/>
          <w:kern w:val="0"/>
          <w:szCs w:val="21"/>
          <w:highlight w:val="none"/>
        </w:rPr>
      </w:pPr>
    </w:p>
    <w:p>
      <w:pPr>
        <w:pStyle w:val="9"/>
        <w:spacing w:line="360" w:lineRule="auto"/>
        <w:rPr>
          <w:rFonts w:hint="eastAsia" w:ascii="宋体" w:hAnsi="宋体" w:cs="宋体"/>
          <w:kern w:val="0"/>
          <w:sz w:val="21"/>
          <w:szCs w:val="21"/>
          <w:highlight w:val="none"/>
        </w:rPr>
      </w:pPr>
    </w:p>
    <w:p>
      <w:pPr>
        <w:spacing w:line="360" w:lineRule="auto"/>
        <w:rPr>
          <w:rFonts w:hint="eastAsia" w:ascii="宋体" w:hAnsi="宋体" w:cs="宋体"/>
          <w:kern w:val="0"/>
          <w:szCs w:val="21"/>
          <w:highlight w:val="none"/>
        </w:rPr>
      </w:pPr>
    </w:p>
    <w:p>
      <w:pPr>
        <w:pStyle w:val="9"/>
        <w:spacing w:line="360" w:lineRule="auto"/>
        <w:rPr>
          <w:rFonts w:hint="eastAsia" w:ascii="宋体" w:hAnsi="宋体" w:cs="宋体"/>
          <w:kern w:val="0"/>
          <w:sz w:val="21"/>
          <w:szCs w:val="21"/>
          <w:highlight w:val="none"/>
        </w:rPr>
      </w:pPr>
    </w:p>
    <w:p>
      <w:pPr>
        <w:rPr>
          <w:rFonts w:hint="eastAsia" w:ascii="宋体" w:hAnsi="宋体" w:cs="宋体"/>
          <w:kern w:val="0"/>
          <w:szCs w:val="21"/>
          <w:highlight w:val="none"/>
        </w:rPr>
      </w:pPr>
    </w:p>
    <w:p>
      <w:pPr>
        <w:pStyle w:val="9"/>
        <w:rPr>
          <w:rFonts w:hint="eastAsia" w:ascii="宋体" w:hAnsi="宋体" w:cs="宋体"/>
          <w:kern w:val="0"/>
          <w:sz w:val="21"/>
          <w:szCs w:val="21"/>
          <w:highlight w:val="none"/>
        </w:rPr>
      </w:pPr>
    </w:p>
    <w:p>
      <w:pPr>
        <w:rPr>
          <w:rFonts w:hint="eastAsia" w:ascii="宋体" w:hAnsi="宋体" w:cs="宋体"/>
          <w:kern w:val="0"/>
          <w:szCs w:val="21"/>
          <w:highlight w:val="none"/>
        </w:rPr>
      </w:pPr>
    </w:p>
    <w:p>
      <w:pPr>
        <w:pStyle w:val="9"/>
        <w:rPr>
          <w:rFonts w:hint="eastAsia" w:ascii="宋体" w:hAnsi="宋体" w:cs="宋体"/>
          <w:kern w:val="0"/>
          <w:sz w:val="21"/>
          <w:szCs w:val="21"/>
          <w:highlight w:val="none"/>
        </w:rPr>
      </w:pPr>
    </w:p>
    <w:p>
      <w:pPr>
        <w:rPr>
          <w:rFonts w:hint="eastAsia" w:ascii="宋体" w:hAnsi="宋体" w:cs="宋体"/>
          <w:kern w:val="0"/>
          <w:szCs w:val="21"/>
          <w:highlight w:val="none"/>
        </w:rPr>
      </w:pPr>
    </w:p>
    <w:p>
      <w:pPr>
        <w:pStyle w:val="9"/>
        <w:rPr>
          <w:rFonts w:hint="eastAsia" w:ascii="宋体" w:hAnsi="宋体" w:cs="宋体"/>
          <w:kern w:val="0"/>
          <w:sz w:val="21"/>
          <w:szCs w:val="21"/>
          <w:highlight w:val="none"/>
        </w:rPr>
      </w:pPr>
    </w:p>
    <w:p>
      <w:pPr>
        <w:rPr>
          <w:rFonts w:hint="eastAsia" w:ascii="宋体" w:hAnsi="宋体" w:cs="宋体"/>
          <w:kern w:val="0"/>
          <w:szCs w:val="21"/>
          <w:highlight w:val="none"/>
        </w:rPr>
      </w:pPr>
    </w:p>
    <w:p>
      <w:pPr>
        <w:pStyle w:val="9"/>
        <w:rPr>
          <w:rFonts w:hint="eastAsia" w:ascii="宋体" w:hAnsi="宋体" w:cs="宋体"/>
          <w:kern w:val="0"/>
          <w:sz w:val="21"/>
          <w:szCs w:val="21"/>
          <w:highlight w:val="none"/>
        </w:rPr>
      </w:pPr>
    </w:p>
    <w:p>
      <w:pPr>
        <w:rPr>
          <w:rFonts w:hint="eastAsia" w:ascii="宋体" w:hAnsi="宋体" w:cs="宋体"/>
          <w:kern w:val="0"/>
          <w:szCs w:val="21"/>
          <w:highlight w:val="none"/>
        </w:rPr>
      </w:pPr>
    </w:p>
    <w:p>
      <w:pPr>
        <w:pStyle w:val="9"/>
        <w:ind w:firstLine="562" w:firstLineChars="200"/>
        <w:outlineLvl w:val="1"/>
        <w:rPr>
          <w:rFonts w:hint="eastAsia" w:ascii="宋体" w:hAnsi="宋体" w:cs="宋体"/>
          <w:b/>
          <w:szCs w:val="20"/>
          <w:highlight w:val="none"/>
        </w:rPr>
      </w:pPr>
      <w:bookmarkStart w:id="409" w:name="_Toc3901"/>
      <w:bookmarkStart w:id="410" w:name="_Toc7533"/>
      <w:r>
        <w:rPr>
          <w:rFonts w:hint="eastAsia" w:ascii="宋体" w:hAnsi="宋体" w:cs="宋体"/>
          <w:b/>
          <w:szCs w:val="20"/>
          <w:highlight w:val="none"/>
        </w:rPr>
        <w:t>格式</w:t>
      </w:r>
      <w:r>
        <w:rPr>
          <w:rFonts w:hint="eastAsia"/>
          <w:b/>
          <w:szCs w:val="36"/>
          <w:highlight w:val="none"/>
        </w:rPr>
        <w:t>十</w:t>
      </w:r>
      <w:r>
        <w:rPr>
          <w:rFonts w:hint="eastAsia" w:ascii="宋体" w:hAnsi="宋体" w:cs="宋体"/>
          <w:b/>
          <w:szCs w:val="20"/>
          <w:highlight w:val="none"/>
        </w:rPr>
        <w:t xml:space="preserve">-4  </w:t>
      </w:r>
      <w:r>
        <w:rPr>
          <w:rFonts w:hint="eastAsia" w:hAnsi="宋体" w:cs="宋体"/>
          <w:b/>
          <w:szCs w:val="20"/>
          <w:highlight w:val="none"/>
        </w:rPr>
        <w:t>技术</w:t>
      </w:r>
      <w:r>
        <w:rPr>
          <w:rFonts w:hint="eastAsia" w:ascii="宋体" w:hAnsi="宋体" w:cs="宋体"/>
          <w:b/>
          <w:szCs w:val="20"/>
          <w:highlight w:val="none"/>
        </w:rPr>
        <w:t>响应格式（对应技术评审表安全体系部分）</w:t>
      </w:r>
      <w:bookmarkEnd w:id="409"/>
      <w:bookmarkEnd w:id="410"/>
    </w:p>
    <w:tbl>
      <w:tblPr>
        <w:tblStyle w:val="2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2916"/>
        <w:gridCol w:w="1448"/>
        <w:gridCol w:w="1701"/>
        <w:gridCol w:w="1559"/>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trPr>
        <w:tc>
          <w:tcPr>
            <w:tcW w:w="706" w:type="dxa"/>
            <w:vAlign w:val="center"/>
          </w:tcPr>
          <w:p>
            <w:pPr>
              <w:spacing w:before="156" w:beforeLines="50" w:after="156" w:afterLines="50" w:line="360" w:lineRule="auto"/>
              <w:jc w:val="center"/>
              <w:rPr>
                <w:rFonts w:hint="eastAsia" w:ascii="宋体" w:hAnsi="宋体" w:cs="宋体"/>
                <w:b/>
                <w:szCs w:val="21"/>
                <w:highlight w:val="none"/>
              </w:rPr>
            </w:pPr>
            <w:r>
              <w:rPr>
                <w:rFonts w:hint="eastAsia" w:ascii="宋体" w:hAnsi="宋体" w:cs="宋体"/>
                <w:b/>
                <w:szCs w:val="21"/>
                <w:highlight w:val="none"/>
              </w:rPr>
              <w:t>序号</w:t>
            </w:r>
          </w:p>
        </w:tc>
        <w:tc>
          <w:tcPr>
            <w:tcW w:w="2916" w:type="dxa"/>
            <w:vAlign w:val="center"/>
          </w:tcPr>
          <w:p>
            <w:pPr>
              <w:spacing w:before="156" w:beforeLines="50" w:after="156" w:afterLines="50" w:line="360" w:lineRule="auto"/>
              <w:jc w:val="center"/>
              <w:rPr>
                <w:rFonts w:hint="eastAsia" w:ascii="宋体" w:hAnsi="宋体" w:cs="宋体"/>
                <w:b/>
                <w:szCs w:val="21"/>
                <w:highlight w:val="none"/>
              </w:rPr>
            </w:pPr>
            <w:r>
              <w:rPr>
                <w:rFonts w:hint="eastAsia" w:ascii="宋体" w:hAnsi="宋体" w:cs="宋体"/>
                <w:b/>
                <w:szCs w:val="21"/>
                <w:highlight w:val="none"/>
              </w:rPr>
              <w:t>服务内容</w:t>
            </w:r>
          </w:p>
        </w:tc>
        <w:tc>
          <w:tcPr>
            <w:tcW w:w="1448" w:type="dxa"/>
            <w:vAlign w:val="center"/>
          </w:tcPr>
          <w:p>
            <w:pPr>
              <w:spacing w:before="156" w:beforeLines="50" w:after="156" w:afterLines="50" w:line="360" w:lineRule="auto"/>
              <w:jc w:val="center"/>
              <w:rPr>
                <w:rFonts w:hint="eastAsia" w:ascii="宋体" w:hAnsi="宋体" w:cs="宋体"/>
                <w:b/>
                <w:szCs w:val="21"/>
                <w:highlight w:val="none"/>
              </w:rPr>
            </w:pPr>
            <w:r>
              <w:rPr>
                <w:rFonts w:hint="eastAsia" w:ascii="宋体" w:hAnsi="宋体" w:cs="宋体"/>
                <w:b/>
                <w:szCs w:val="21"/>
                <w:highlight w:val="none"/>
              </w:rPr>
              <w:t>是否</w:t>
            </w:r>
            <w:r>
              <w:rPr>
                <w:rFonts w:hint="eastAsia" w:ascii="宋体" w:hAnsi="宋体" w:cs="宋体"/>
                <w:b/>
                <w:bCs/>
                <w:color w:val="000000"/>
                <w:szCs w:val="21"/>
                <w:highlight w:val="none"/>
              </w:rPr>
              <w:t>响应</w:t>
            </w:r>
          </w:p>
        </w:tc>
        <w:tc>
          <w:tcPr>
            <w:tcW w:w="1701" w:type="dxa"/>
            <w:vAlign w:val="center"/>
          </w:tcPr>
          <w:p>
            <w:pPr>
              <w:spacing w:before="156" w:beforeLines="50" w:after="156" w:afterLines="50" w:line="360" w:lineRule="auto"/>
              <w:rPr>
                <w:rFonts w:hint="eastAsia" w:ascii="宋体" w:hAnsi="宋体" w:cs="宋体"/>
                <w:b/>
                <w:szCs w:val="21"/>
                <w:highlight w:val="none"/>
              </w:rPr>
            </w:pPr>
            <w:r>
              <w:rPr>
                <w:rFonts w:hint="eastAsia" w:ascii="宋体" w:hAnsi="宋体" w:cs="宋体"/>
                <w:b/>
                <w:bCs/>
                <w:color w:val="000000"/>
                <w:szCs w:val="21"/>
                <w:highlight w:val="none"/>
              </w:rPr>
              <w:t>响应文件的响应</w:t>
            </w:r>
          </w:p>
        </w:tc>
        <w:tc>
          <w:tcPr>
            <w:tcW w:w="1559" w:type="dxa"/>
            <w:vAlign w:val="center"/>
          </w:tcPr>
          <w:p>
            <w:pPr>
              <w:spacing w:before="156" w:beforeLines="50" w:after="156" w:afterLines="50" w:line="360" w:lineRule="auto"/>
              <w:jc w:val="center"/>
              <w:rPr>
                <w:rFonts w:hint="eastAsia" w:ascii="宋体" w:hAnsi="宋体" w:cs="宋体"/>
                <w:b/>
                <w:szCs w:val="21"/>
                <w:highlight w:val="none"/>
              </w:rPr>
            </w:pPr>
            <w:r>
              <w:rPr>
                <w:rFonts w:hint="eastAsia" w:ascii="宋体" w:hAnsi="宋体" w:cs="宋体"/>
                <w:b/>
                <w:szCs w:val="21"/>
                <w:highlight w:val="none"/>
              </w:rPr>
              <w:t>证明材料</w:t>
            </w:r>
          </w:p>
          <w:p>
            <w:pPr>
              <w:spacing w:before="156" w:beforeLines="50" w:after="156" w:afterLines="50" w:line="360" w:lineRule="auto"/>
              <w:jc w:val="center"/>
              <w:rPr>
                <w:rFonts w:hint="eastAsia" w:ascii="宋体" w:hAnsi="宋体" w:cs="宋体"/>
                <w:b/>
                <w:szCs w:val="21"/>
                <w:highlight w:val="none"/>
              </w:rPr>
            </w:pPr>
            <w:r>
              <w:rPr>
                <w:rFonts w:hint="eastAsia" w:ascii="宋体" w:hAnsi="宋体" w:cs="宋体"/>
                <w:b/>
                <w:szCs w:val="21"/>
                <w:highlight w:val="none"/>
              </w:rPr>
              <w:t>（对应页码）</w:t>
            </w:r>
          </w:p>
        </w:tc>
        <w:tc>
          <w:tcPr>
            <w:tcW w:w="1134" w:type="dxa"/>
            <w:vAlign w:val="center"/>
          </w:tcPr>
          <w:p>
            <w:pPr>
              <w:spacing w:before="156" w:beforeLines="50" w:after="156" w:afterLines="50" w:line="360" w:lineRule="auto"/>
              <w:jc w:val="center"/>
              <w:rPr>
                <w:rFonts w:hint="eastAsia" w:ascii="宋体" w:hAnsi="宋体" w:cs="宋体"/>
                <w:b/>
                <w:szCs w:val="21"/>
                <w:highlight w:val="none"/>
              </w:rPr>
            </w:pPr>
            <w:r>
              <w:rPr>
                <w:rFonts w:hint="eastAsia" w:ascii="宋体" w:hAnsi="宋体" w:cs="宋体"/>
                <w:b/>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706" w:type="dxa"/>
            <w:vAlign w:val="center"/>
          </w:tcPr>
          <w:p>
            <w:pPr>
              <w:spacing w:before="156" w:beforeLines="50" w:after="156" w:afterLines="50" w:line="360" w:lineRule="auto"/>
              <w:jc w:val="center"/>
              <w:rPr>
                <w:rFonts w:hint="eastAsia" w:ascii="宋体" w:hAnsi="宋体" w:cs="宋体"/>
                <w:b/>
                <w:szCs w:val="21"/>
                <w:highlight w:val="none"/>
              </w:rPr>
            </w:pPr>
            <w:r>
              <w:rPr>
                <w:rFonts w:hint="eastAsia" w:ascii="宋体" w:hAnsi="宋体" w:cs="宋体"/>
                <w:b/>
                <w:szCs w:val="21"/>
                <w:highlight w:val="none"/>
              </w:rPr>
              <w:t>1</w:t>
            </w:r>
          </w:p>
        </w:tc>
        <w:tc>
          <w:tcPr>
            <w:tcW w:w="2916" w:type="dxa"/>
            <w:vAlign w:val="center"/>
          </w:tcPr>
          <w:p>
            <w:pPr>
              <w:widowControl/>
              <w:spacing w:line="360" w:lineRule="auto"/>
              <w:jc w:val="left"/>
              <w:textAlignment w:val="center"/>
              <w:rPr>
                <w:rFonts w:hint="eastAsia" w:ascii="宋体" w:hAnsi="宋体" w:cs="宋体"/>
                <w:b/>
                <w:szCs w:val="21"/>
                <w:highlight w:val="none"/>
              </w:rPr>
            </w:pPr>
            <w:r>
              <w:rPr>
                <w:rFonts w:hint="eastAsia" w:ascii="宋体" w:hAnsi="宋体" w:cs="宋体"/>
                <w:color w:val="000000"/>
                <w:kern w:val="0"/>
                <w:szCs w:val="21"/>
                <w:highlight w:val="none"/>
                <w:lang w:bidi="ar"/>
              </w:rPr>
              <w:t>酒店有完善的门禁系统（酒店电梯须安装刷卡门禁），摄像头覆盖全面，得1分；</w:t>
            </w:r>
          </w:p>
        </w:tc>
        <w:tc>
          <w:tcPr>
            <w:tcW w:w="1448" w:type="dxa"/>
            <w:vAlign w:val="center"/>
          </w:tcPr>
          <w:p>
            <w:pPr>
              <w:spacing w:before="156" w:beforeLines="50" w:after="156" w:afterLines="50" w:line="360" w:lineRule="auto"/>
              <w:jc w:val="left"/>
              <w:rPr>
                <w:rFonts w:hint="eastAsia" w:ascii="宋体" w:hAnsi="宋体" w:cs="宋体"/>
                <w:b/>
                <w:szCs w:val="21"/>
                <w:highlight w:val="none"/>
              </w:rPr>
            </w:pPr>
          </w:p>
        </w:tc>
        <w:tc>
          <w:tcPr>
            <w:tcW w:w="1701" w:type="dxa"/>
            <w:vAlign w:val="center"/>
          </w:tcPr>
          <w:p>
            <w:pPr>
              <w:spacing w:before="156" w:beforeLines="50" w:after="156" w:afterLines="50" w:line="360" w:lineRule="auto"/>
              <w:jc w:val="left"/>
              <w:rPr>
                <w:rFonts w:hint="eastAsia" w:ascii="宋体" w:hAnsi="宋体" w:cs="宋体"/>
                <w:b/>
                <w:szCs w:val="21"/>
                <w:highlight w:val="none"/>
              </w:rPr>
            </w:pPr>
          </w:p>
        </w:tc>
        <w:tc>
          <w:tcPr>
            <w:tcW w:w="1559" w:type="dxa"/>
            <w:vAlign w:val="center"/>
          </w:tcPr>
          <w:p>
            <w:pPr>
              <w:spacing w:before="156" w:beforeLines="50" w:after="156" w:afterLines="50" w:line="360" w:lineRule="auto"/>
              <w:jc w:val="left"/>
              <w:rPr>
                <w:rFonts w:hint="eastAsia" w:ascii="宋体" w:hAnsi="宋体" w:cs="宋体"/>
                <w:b/>
                <w:szCs w:val="21"/>
                <w:highlight w:val="none"/>
              </w:rPr>
            </w:pPr>
          </w:p>
        </w:tc>
        <w:tc>
          <w:tcPr>
            <w:tcW w:w="1134" w:type="dxa"/>
            <w:vAlign w:val="center"/>
          </w:tcPr>
          <w:p>
            <w:pPr>
              <w:spacing w:before="156" w:beforeLines="50" w:after="156" w:afterLines="50" w:line="360" w:lineRule="auto"/>
              <w:jc w:val="left"/>
              <w:rPr>
                <w:rFonts w:hint="eastAsia" w:ascii="宋体" w:hAnsi="宋体" w:cs="宋体"/>
                <w:b/>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706" w:type="dxa"/>
            <w:vAlign w:val="center"/>
          </w:tcPr>
          <w:p>
            <w:pPr>
              <w:spacing w:before="156" w:beforeLines="50" w:after="156" w:afterLines="50" w:line="360" w:lineRule="auto"/>
              <w:jc w:val="center"/>
              <w:rPr>
                <w:rFonts w:hint="eastAsia" w:ascii="宋体" w:hAnsi="宋体" w:cs="宋体"/>
                <w:b/>
                <w:szCs w:val="21"/>
                <w:highlight w:val="none"/>
              </w:rPr>
            </w:pPr>
            <w:r>
              <w:rPr>
                <w:rFonts w:hint="eastAsia" w:ascii="宋体" w:hAnsi="宋体" w:cs="宋体"/>
                <w:b/>
                <w:szCs w:val="21"/>
                <w:highlight w:val="none"/>
              </w:rPr>
              <w:t>2</w:t>
            </w:r>
          </w:p>
        </w:tc>
        <w:tc>
          <w:tcPr>
            <w:tcW w:w="2916" w:type="dxa"/>
            <w:vAlign w:val="center"/>
          </w:tcPr>
          <w:p>
            <w:pPr>
              <w:widowControl/>
              <w:spacing w:line="360" w:lineRule="auto"/>
              <w:jc w:val="left"/>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设立独立监控室并24小时有专人值班；</w:t>
            </w:r>
          </w:p>
        </w:tc>
        <w:tc>
          <w:tcPr>
            <w:tcW w:w="1448" w:type="dxa"/>
            <w:vAlign w:val="center"/>
          </w:tcPr>
          <w:p>
            <w:pPr>
              <w:spacing w:before="156" w:beforeLines="50" w:after="156" w:afterLines="50" w:line="360" w:lineRule="auto"/>
              <w:jc w:val="left"/>
              <w:rPr>
                <w:rFonts w:hint="eastAsia" w:ascii="宋体" w:hAnsi="宋体" w:cs="宋体"/>
                <w:b/>
                <w:szCs w:val="21"/>
                <w:highlight w:val="none"/>
              </w:rPr>
            </w:pPr>
          </w:p>
        </w:tc>
        <w:tc>
          <w:tcPr>
            <w:tcW w:w="1701" w:type="dxa"/>
            <w:vAlign w:val="center"/>
          </w:tcPr>
          <w:p>
            <w:pPr>
              <w:spacing w:before="156" w:beforeLines="50" w:after="156" w:afterLines="50" w:line="360" w:lineRule="auto"/>
              <w:jc w:val="left"/>
              <w:rPr>
                <w:rFonts w:hint="eastAsia" w:ascii="宋体" w:hAnsi="宋体" w:cs="宋体"/>
                <w:b/>
                <w:szCs w:val="21"/>
                <w:highlight w:val="none"/>
              </w:rPr>
            </w:pPr>
          </w:p>
        </w:tc>
        <w:tc>
          <w:tcPr>
            <w:tcW w:w="1559" w:type="dxa"/>
            <w:vAlign w:val="center"/>
          </w:tcPr>
          <w:p>
            <w:pPr>
              <w:spacing w:before="156" w:beforeLines="50" w:after="156" w:afterLines="50" w:line="360" w:lineRule="auto"/>
              <w:jc w:val="left"/>
              <w:rPr>
                <w:rFonts w:hint="eastAsia" w:ascii="宋体" w:hAnsi="宋体" w:cs="宋体"/>
                <w:b/>
                <w:szCs w:val="21"/>
                <w:highlight w:val="none"/>
              </w:rPr>
            </w:pPr>
          </w:p>
        </w:tc>
        <w:tc>
          <w:tcPr>
            <w:tcW w:w="1134" w:type="dxa"/>
            <w:vAlign w:val="center"/>
          </w:tcPr>
          <w:p>
            <w:pPr>
              <w:spacing w:before="156" w:beforeLines="50" w:after="156" w:afterLines="50" w:line="360" w:lineRule="auto"/>
              <w:jc w:val="left"/>
              <w:rPr>
                <w:rFonts w:hint="eastAsia" w:ascii="宋体" w:hAnsi="宋体" w:cs="宋体"/>
                <w:b/>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706" w:type="dxa"/>
            <w:vAlign w:val="center"/>
          </w:tcPr>
          <w:p>
            <w:pPr>
              <w:spacing w:before="156" w:beforeLines="50" w:after="156" w:afterLines="50" w:line="360" w:lineRule="auto"/>
              <w:jc w:val="center"/>
              <w:rPr>
                <w:rFonts w:hint="eastAsia" w:ascii="宋体" w:hAnsi="宋体" w:cs="宋体"/>
                <w:b/>
                <w:szCs w:val="21"/>
                <w:highlight w:val="none"/>
              </w:rPr>
            </w:pPr>
            <w:r>
              <w:rPr>
                <w:rFonts w:hint="eastAsia" w:ascii="宋体" w:hAnsi="宋体" w:cs="宋体"/>
                <w:b/>
                <w:szCs w:val="21"/>
                <w:highlight w:val="none"/>
              </w:rPr>
              <w:t>3</w:t>
            </w:r>
          </w:p>
        </w:tc>
        <w:tc>
          <w:tcPr>
            <w:tcW w:w="2916" w:type="dxa"/>
            <w:vAlign w:val="center"/>
          </w:tcPr>
          <w:p>
            <w:pPr>
              <w:widowControl/>
              <w:spacing w:line="360" w:lineRule="auto"/>
              <w:jc w:val="left"/>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对外来人员有来访登记制度。</w:t>
            </w:r>
          </w:p>
        </w:tc>
        <w:tc>
          <w:tcPr>
            <w:tcW w:w="1448" w:type="dxa"/>
            <w:vAlign w:val="center"/>
          </w:tcPr>
          <w:p>
            <w:pPr>
              <w:spacing w:before="156" w:beforeLines="50" w:after="156" w:afterLines="50" w:line="360" w:lineRule="auto"/>
              <w:jc w:val="left"/>
              <w:rPr>
                <w:rFonts w:hint="eastAsia" w:ascii="宋体" w:hAnsi="宋体" w:cs="宋体"/>
                <w:b/>
                <w:szCs w:val="21"/>
                <w:highlight w:val="none"/>
              </w:rPr>
            </w:pPr>
          </w:p>
        </w:tc>
        <w:tc>
          <w:tcPr>
            <w:tcW w:w="1701" w:type="dxa"/>
            <w:vAlign w:val="center"/>
          </w:tcPr>
          <w:p>
            <w:pPr>
              <w:spacing w:before="156" w:beforeLines="50" w:after="156" w:afterLines="50" w:line="360" w:lineRule="auto"/>
              <w:jc w:val="left"/>
              <w:rPr>
                <w:rFonts w:hint="eastAsia" w:ascii="宋体" w:hAnsi="宋体" w:cs="宋体"/>
                <w:b/>
                <w:szCs w:val="21"/>
                <w:highlight w:val="none"/>
              </w:rPr>
            </w:pPr>
          </w:p>
        </w:tc>
        <w:tc>
          <w:tcPr>
            <w:tcW w:w="1559" w:type="dxa"/>
            <w:vAlign w:val="center"/>
          </w:tcPr>
          <w:p>
            <w:pPr>
              <w:spacing w:before="156" w:beforeLines="50" w:after="156" w:afterLines="50" w:line="360" w:lineRule="auto"/>
              <w:jc w:val="left"/>
              <w:rPr>
                <w:rFonts w:hint="eastAsia" w:ascii="宋体" w:hAnsi="宋体" w:cs="宋体"/>
                <w:b/>
                <w:szCs w:val="21"/>
                <w:highlight w:val="none"/>
              </w:rPr>
            </w:pPr>
          </w:p>
        </w:tc>
        <w:tc>
          <w:tcPr>
            <w:tcW w:w="1134" w:type="dxa"/>
            <w:vAlign w:val="center"/>
          </w:tcPr>
          <w:p>
            <w:pPr>
              <w:spacing w:before="156" w:beforeLines="50" w:after="156" w:afterLines="50" w:line="360" w:lineRule="auto"/>
              <w:jc w:val="left"/>
              <w:rPr>
                <w:rFonts w:hint="eastAsia" w:ascii="宋体" w:hAnsi="宋体" w:cs="宋体"/>
                <w:b/>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706" w:type="dxa"/>
            <w:vAlign w:val="center"/>
          </w:tcPr>
          <w:p>
            <w:pPr>
              <w:spacing w:before="156" w:beforeLines="50" w:after="156" w:afterLines="50" w:line="360" w:lineRule="auto"/>
              <w:jc w:val="center"/>
              <w:rPr>
                <w:rFonts w:hint="eastAsia" w:ascii="宋体" w:hAnsi="宋体" w:cs="宋体"/>
                <w:b/>
                <w:szCs w:val="21"/>
                <w:highlight w:val="none"/>
              </w:rPr>
            </w:pPr>
            <w:r>
              <w:rPr>
                <w:rFonts w:hint="eastAsia" w:ascii="宋体" w:hAnsi="宋体" w:cs="宋体"/>
                <w:b/>
                <w:szCs w:val="21"/>
                <w:highlight w:val="none"/>
              </w:rPr>
              <w:t>4</w:t>
            </w:r>
          </w:p>
        </w:tc>
        <w:tc>
          <w:tcPr>
            <w:tcW w:w="2916" w:type="dxa"/>
            <w:vAlign w:val="center"/>
          </w:tcPr>
          <w:p>
            <w:pPr>
              <w:widowControl/>
              <w:numPr>
                <w:ilvl w:val="255"/>
                <w:numId w:val="0"/>
              </w:numPr>
              <w:jc w:val="left"/>
              <w:rPr>
                <w:rFonts w:hint="eastAsia" w:ascii="宋体" w:hAnsi="宋体" w:cs="宋体"/>
                <w:color w:val="000000"/>
                <w:kern w:val="0"/>
                <w:szCs w:val="21"/>
                <w:highlight w:val="none"/>
                <w:lang w:bidi="ar"/>
              </w:rPr>
            </w:pPr>
            <w:r>
              <w:rPr>
                <w:rFonts w:hint="eastAsia" w:ascii="宋体" w:hAnsi="宋体" w:cs="宋体"/>
                <w:kern w:val="0"/>
                <w:szCs w:val="21"/>
                <w:highlight w:val="none"/>
                <w:lang w:bidi="ar"/>
              </w:rPr>
              <w:t>酒店各公共区域及客房内配备灭火器、消防栓、防毒面具、逃生锤、安全出口指示图。</w:t>
            </w:r>
          </w:p>
        </w:tc>
        <w:tc>
          <w:tcPr>
            <w:tcW w:w="1448" w:type="dxa"/>
            <w:vAlign w:val="center"/>
          </w:tcPr>
          <w:p>
            <w:pPr>
              <w:spacing w:before="156" w:beforeLines="50" w:after="156" w:afterLines="50" w:line="360" w:lineRule="auto"/>
              <w:jc w:val="left"/>
              <w:rPr>
                <w:rFonts w:hint="eastAsia" w:ascii="宋体" w:hAnsi="宋体" w:cs="宋体"/>
                <w:b/>
                <w:szCs w:val="21"/>
                <w:highlight w:val="none"/>
              </w:rPr>
            </w:pPr>
          </w:p>
        </w:tc>
        <w:tc>
          <w:tcPr>
            <w:tcW w:w="1701" w:type="dxa"/>
            <w:vAlign w:val="center"/>
          </w:tcPr>
          <w:p>
            <w:pPr>
              <w:spacing w:before="156" w:beforeLines="50" w:after="156" w:afterLines="50" w:line="360" w:lineRule="auto"/>
              <w:jc w:val="left"/>
              <w:rPr>
                <w:rFonts w:hint="eastAsia" w:ascii="宋体" w:hAnsi="宋体" w:cs="宋体"/>
                <w:b/>
                <w:szCs w:val="21"/>
                <w:highlight w:val="none"/>
              </w:rPr>
            </w:pPr>
          </w:p>
        </w:tc>
        <w:tc>
          <w:tcPr>
            <w:tcW w:w="1559" w:type="dxa"/>
            <w:vAlign w:val="center"/>
          </w:tcPr>
          <w:p>
            <w:pPr>
              <w:spacing w:before="156" w:beforeLines="50" w:after="156" w:afterLines="50" w:line="360" w:lineRule="auto"/>
              <w:jc w:val="left"/>
              <w:rPr>
                <w:rFonts w:hint="eastAsia" w:ascii="宋体" w:hAnsi="宋体" w:cs="宋体"/>
                <w:b/>
                <w:szCs w:val="21"/>
                <w:highlight w:val="none"/>
              </w:rPr>
            </w:pPr>
          </w:p>
        </w:tc>
        <w:tc>
          <w:tcPr>
            <w:tcW w:w="1134" w:type="dxa"/>
            <w:vAlign w:val="center"/>
          </w:tcPr>
          <w:p>
            <w:pPr>
              <w:spacing w:before="156" w:beforeLines="50" w:after="156" w:afterLines="50" w:line="360" w:lineRule="auto"/>
              <w:jc w:val="left"/>
              <w:rPr>
                <w:rFonts w:hint="eastAsia" w:ascii="宋体" w:hAnsi="宋体" w:cs="宋体"/>
                <w:b/>
                <w:szCs w:val="21"/>
                <w:highlight w:val="none"/>
              </w:rPr>
            </w:pPr>
          </w:p>
        </w:tc>
      </w:tr>
    </w:tbl>
    <w:p>
      <w:pPr>
        <w:pStyle w:val="5"/>
        <w:spacing w:line="360" w:lineRule="auto"/>
        <w:rPr>
          <w:rFonts w:hint="eastAsia" w:ascii="宋体" w:hAnsi="宋体" w:cs="宋体"/>
          <w:szCs w:val="21"/>
          <w:highlight w:val="none"/>
        </w:rPr>
      </w:pPr>
      <w:r>
        <w:rPr>
          <w:rFonts w:hint="eastAsia" w:ascii="宋体" w:hAnsi="宋体" w:cs="宋体"/>
          <w:color w:val="000000"/>
          <w:szCs w:val="21"/>
          <w:highlight w:val="none"/>
        </w:rPr>
        <w:t>【</w:t>
      </w:r>
      <w:r>
        <w:rPr>
          <w:rFonts w:hint="eastAsia" w:ascii="宋体" w:hAnsi="宋体" w:cs="宋体"/>
          <w:szCs w:val="21"/>
          <w:highlight w:val="none"/>
        </w:rPr>
        <w:t>供应商</w:t>
      </w:r>
      <w:r>
        <w:rPr>
          <w:rFonts w:hint="eastAsia" w:ascii="宋体" w:hAnsi="宋体" w:cs="宋体"/>
          <w:color w:val="000000"/>
          <w:kern w:val="0"/>
          <w:szCs w:val="21"/>
          <w:highlight w:val="none"/>
          <w:lang w:bidi="ar"/>
        </w:rPr>
        <w:t>需针对本项目提供现场图片作为证明材料</w:t>
      </w:r>
      <w:r>
        <w:rPr>
          <w:rFonts w:hint="eastAsia" w:ascii="宋体" w:hAnsi="宋体" w:cs="宋体"/>
          <w:color w:val="000000"/>
          <w:szCs w:val="21"/>
          <w:highlight w:val="none"/>
        </w:rPr>
        <w:t>】</w:t>
      </w:r>
    </w:p>
    <w:p>
      <w:pPr>
        <w:rPr>
          <w:highlight w:val="none"/>
        </w:rPr>
      </w:pPr>
    </w:p>
    <w:p>
      <w:pPr>
        <w:pStyle w:val="9"/>
        <w:rPr>
          <w:highlight w:val="none"/>
        </w:rPr>
      </w:pPr>
    </w:p>
    <w:p>
      <w:pPr>
        <w:rPr>
          <w:highlight w:val="none"/>
        </w:rPr>
      </w:pPr>
    </w:p>
    <w:p>
      <w:pPr>
        <w:pStyle w:val="9"/>
        <w:rPr>
          <w:highlight w:val="none"/>
        </w:rPr>
      </w:pPr>
    </w:p>
    <w:p>
      <w:pPr>
        <w:rPr>
          <w:highlight w:val="none"/>
        </w:rPr>
      </w:pPr>
    </w:p>
    <w:p>
      <w:pPr>
        <w:pStyle w:val="9"/>
        <w:rPr>
          <w:highlight w:val="none"/>
        </w:rPr>
      </w:pPr>
    </w:p>
    <w:p>
      <w:pPr>
        <w:rPr>
          <w:highlight w:val="none"/>
        </w:rPr>
      </w:pPr>
    </w:p>
    <w:p>
      <w:pPr>
        <w:pStyle w:val="9"/>
        <w:rPr>
          <w:highlight w:val="none"/>
        </w:rPr>
      </w:pPr>
    </w:p>
    <w:p>
      <w:pPr>
        <w:rPr>
          <w:highlight w:val="none"/>
        </w:rPr>
      </w:pPr>
    </w:p>
    <w:p>
      <w:pPr>
        <w:pStyle w:val="9"/>
        <w:rPr>
          <w:highlight w:val="none"/>
        </w:rPr>
      </w:pPr>
    </w:p>
    <w:p>
      <w:pPr>
        <w:rPr>
          <w:highlight w:val="none"/>
        </w:rPr>
      </w:pPr>
    </w:p>
    <w:p>
      <w:pPr>
        <w:rPr>
          <w:highlight w:val="none"/>
        </w:rPr>
      </w:pPr>
    </w:p>
    <w:p>
      <w:pPr>
        <w:rPr>
          <w:highlight w:val="none"/>
        </w:rPr>
      </w:pPr>
    </w:p>
    <w:p>
      <w:pPr>
        <w:pStyle w:val="9"/>
        <w:spacing w:line="360" w:lineRule="auto"/>
        <w:ind w:firstLine="562" w:firstLineChars="200"/>
        <w:outlineLvl w:val="1"/>
        <w:rPr>
          <w:rFonts w:hint="eastAsia" w:ascii="宋体" w:hAnsi="宋体" w:cs="宋体"/>
          <w:b/>
          <w:szCs w:val="20"/>
          <w:highlight w:val="none"/>
        </w:rPr>
      </w:pPr>
      <w:bookmarkStart w:id="411" w:name="_Toc5629"/>
      <w:bookmarkStart w:id="412" w:name="_Toc19309"/>
      <w:r>
        <w:rPr>
          <w:rFonts w:hint="eastAsia" w:ascii="宋体" w:hAnsi="宋体" w:cs="宋体"/>
          <w:b/>
          <w:szCs w:val="20"/>
          <w:highlight w:val="none"/>
        </w:rPr>
        <w:t>格式</w:t>
      </w:r>
      <w:r>
        <w:rPr>
          <w:rFonts w:hint="eastAsia"/>
          <w:b/>
          <w:szCs w:val="36"/>
          <w:highlight w:val="none"/>
        </w:rPr>
        <w:t>十</w:t>
      </w:r>
      <w:r>
        <w:rPr>
          <w:rFonts w:hint="eastAsia" w:ascii="宋体" w:hAnsi="宋体" w:cs="宋体"/>
          <w:b/>
          <w:szCs w:val="20"/>
          <w:highlight w:val="none"/>
        </w:rPr>
        <w:t xml:space="preserve">-5  </w:t>
      </w:r>
      <w:r>
        <w:rPr>
          <w:rFonts w:hint="eastAsia" w:hAnsi="宋体" w:cs="宋体"/>
          <w:b/>
          <w:szCs w:val="20"/>
          <w:highlight w:val="none"/>
        </w:rPr>
        <w:t>技术响应</w:t>
      </w:r>
      <w:r>
        <w:rPr>
          <w:rFonts w:hint="eastAsia" w:ascii="宋体" w:hAnsi="宋体" w:cs="宋体"/>
          <w:b/>
          <w:szCs w:val="20"/>
          <w:highlight w:val="none"/>
        </w:rPr>
        <w:t>格式（对应技术评审表车程距离部分）</w:t>
      </w:r>
      <w:bookmarkEnd w:id="411"/>
      <w:bookmarkEnd w:id="412"/>
    </w:p>
    <w:p>
      <w:pPr>
        <w:spacing w:line="360" w:lineRule="auto"/>
        <w:ind w:firstLine="420" w:firstLineChars="200"/>
        <w:jc w:val="left"/>
        <w:rPr>
          <w:rFonts w:hint="eastAsia" w:ascii="宋体" w:hAnsi="宋体"/>
          <w:szCs w:val="21"/>
          <w:highlight w:val="none"/>
        </w:rPr>
      </w:pPr>
      <w:r>
        <w:rPr>
          <w:rFonts w:hint="eastAsia" w:ascii="宋体" w:hAnsi="宋体" w:cs="宋体"/>
          <w:szCs w:val="21"/>
          <w:highlight w:val="none"/>
        </w:rPr>
        <w:t>【供应商</w:t>
      </w:r>
      <w:r>
        <w:rPr>
          <w:rFonts w:hint="eastAsia" w:ascii="宋体" w:hAnsi="宋体"/>
          <w:szCs w:val="21"/>
          <w:highlight w:val="none"/>
        </w:rPr>
        <w:t>酒店距离【】</w:t>
      </w:r>
      <w:r>
        <w:rPr>
          <w:rFonts w:hint="eastAsia" w:ascii="宋体" w:hAnsi="宋体" w:cs="宋体"/>
          <w:szCs w:val="21"/>
          <w:highlight w:val="none"/>
        </w:rPr>
        <w:t>航站楼</w:t>
      </w:r>
      <w:r>
        <w:rPr>
          <w:rFonts w:hint="eastAsia" w:ascii="宋体" w:hAnsi="宋体"/>
          <w:szCs w:val="21"/>
          <w:highlight w:val="none"/>
        </w:rPr>
        <w:t>单程车程</w:t>
      </w:r>
      <w:r>
        <w:rPr>
          <w:rFonts w:hint="eastAsia" w:ascii="宋体" w:hAnsi="宋体" w:cs="宋体"/>
          <w:szCs w:val="21"/>
          <w:highlight w:val="none"/>
        </w:rPr>
        <w:t>【</w:t>
      </w:r>
      <w:r>
        <w:rPr>
          <w:rFonts w:hint="eastAsia" w:ascii="宋体" w:hAnsi="宋体"/>
          <w:szCs w:val="21"/>
          <w:highlight w:val="none"/>
          <w:u w:val="single"/>
        </w:rPr>
        <w:t xml:space="preserve">      </w:t>
      </w:r>
      <w:r>
        <w:rPr>
          <w:rFonts w:hint="eastAsia" w:ascii="宋体" w:hAnsi="宋体" w:cs="宋体"/>
          <w:color w:val="000000"/>
          <w:szCs w:val="21"/>
          <w:highlight w:val="none"/>
        </w:rPr>
        <w:t>】</w:t>
      </w:r>
      <w:r>
        <w:rPr>
          <w:rFonts w:hint="eastAsia" w:ascii="宋体" w:hAnsi="宋体"/>
          <w:szCs w:val="21"/>
          <w:highlight w:val="none"/>
        </w:rPr>
        <w:t>公里，车程约</w:t>
      </w:r>
      <w:r>
        <w:rPr>
          <w:rFonts w:hint="eastAsia" w:ascii="宋体" w:hAnsi="宋体" w:cs="宋体"/>
          <w:szCs w:val="21"/>
          <w:highlight w:val="none"/>
        </w:rPr>
        <w:t>【</w:t>
      </w:r>
      <w:r>
        <w:rPr>
          <w:rFonts w:hint="eastAsia" w:ascii="宋体" w:hAnsi="宋体"/>
          <w:szCs w:val="21"/>
          <w:highlight w:val="none"/>
          <w:u w:val="single"/>
        </w:rPr>
        <w:t xml:space="preserve">     </w:t>
      </w:r>
      <w:r>
        <w:rPr>
          <w:rFonts w:hint="eastAsia" w:ascii="宋体" w:hAnsi="宋体" w:cs="宋体"/>
          <w:color w:val="000000"/>
          <w:szCs w:val="21"/>
          <w:highlight w:val="none"/>
        </w:rPr>
        <w:t>】</w:t>
      </w:r>
      <w:r>
        <w:rPr>
          <w:rFonts w:hint="eastAsia" w:ascii="宋体" w:hAnsi="宋体"/>
          <w:szCs w:val="21"/>
          <w:highlight w:val="none"/>
        </w:rPr>
        <w:t>分钟；</w:t>
      </w:r>
    </w:p>
    <w:p>
      <w:pPr>
        <w:spacing w:line="360" w:lineRule="auto"/>
        <w:jc w:val="left"/>
        <w:rPr>
          <w:rFonts w:hint="eastAsia" w:ascii="宋体" w:hAnsi="宋体"/>
          <w:szCs w:val="21"/>
          <w:highlight w:val="none"/>
        </w:rPr>
      </w:pPr>
      <w:r>
        <w:rPr>
          <w:rFonts w:hint="eastAsia" w:ascii="宋体" w:hAnsi="宋体"/>
          <w:szCs w:val="21"/>
          <w:highlight w:val="none"/>
        </w:rPr>
        <w:t xml:space="preserve">    </w:t>
      </w:r>
    </w:p>
    <w:p>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 xml:space="preserve"> 附：酒店距离</w:t>
      </w:r>
      <w:r>
        <w:rPr>
          <w:rFonts w:hint="eastAsia" w:ascii="宋体" w:hAnsi="宋体" w:cs="宋体"/>
          <w:szCs w:val="21"/>
          <w:highlight w:val="none"/>
        </w:rPr>
        <w:t>【】航站楼在谈判响应文件递交截止日前【 】天任意时间</w:t>
      </w:r>
      <w:r>
        <w:rPr>
          <w:rFonts w:hint="eastAsia" w:ascii="宋体" w:hAnsi="宋体"/>
          <w:szCs w:val="21"/>
          <w:highlight w:val="none"/>
        </w:rPr>
        <w:t>“百度地图”驾车模式最短时间截图</w:t>
      </w:r>
      <w:r>
        <w:rPr>
          <w:rFonts w:hint="eastAsia" w:ascii="宋体" w:hAnsi="宋体" w:cs="宋体"/>
          <w:color w:val="000000"/>
          <w:szCs w:val="21"/>
          <w:highlight w:val="none"/>
        </w:rPr>
        <w:t>】</w:t>
      </w:r>
    </w:p>
    <w:permEnd w:id="36"/>
    <w:p>
      <w:pPr>
        <w:spacing w:before="156" w:beforeLines="50" w:after="156" w:afterLines="50" w:line="360" w:lineRule="auto"/>
        <w:ind w:firstLine="3570" w:firstLineChars="1700"/>
        <w:rPr>
          <w:rFonts w:hint="eastAsia" w:ascii="宋体" w:hAnsi="宋体" w:cs="Arial"/>
          <w:szCs w:val="21"/>
          <w:highlight w:val="none"/>
        </w:rPr>
      </w:pPr>
    </w:p>
    <w:p>
      <w:pPr>
        <w:pStyle w:val="9"/>
        <w:ind w:firstLine="562" w:firstLineChars="200"/>
        <w:rPr>
          <w:rFonts w:hint="eastAsia" w:ascii="宋体" w:hAnsi="宋体" w:cs="宋体"/>
          <w:b/>
          <w:szCs w:val="20"/>
          <w:highlight w:val="none"/>
        </w:rPr>
      </w:pPr>
      <w:r>
        <w:rPr>
          <w:rFonts w:hint="eastAsia" w:ascii="宋体" w:hAnsi="宋体" w:cs="宋体"/>
          <w:b/>
          <w:szCs w:val="20"/>
          <w:highlight w:val="none"/>
        </w:rPr>
        <w:br w:type="page"/>
      </w:r>
      <w:r>
        <w:rPr>
          <w:rFonts w:hint="eastAsia" w:ascii="宋体" w:hAnsi="宋体" w:cs="宋体"/>
          <w:b/>
          <w:szCs w:val="20"/>
          <w:highlight w:val="none"/>
        </w:rPr>
        <w:t>格式</w:t>
      </w:r>
      <w:r>
        <w:rPr>
          <w:rFonts w:hint="eastAsia"/>
          <w:b/>
          <w:szCs w:val="36"/>
          <w:highlight w:val="none"/>
        </w:rPr>
        <w:t>十</w:t>
      </w:r>
      <w:r>
        <w:rPr>
          <w:rFonts w:hint="eastAsia" w:ascii="宋体" w:hAnsi="宋体" w:cs="宋体"/>
          <w:b/>
          <w:szCs w:val="20"/>
          <w:highlight w:val="none"/>
        </w:rPr>
        <w:t xml:space="preserve">-6  </w:t>
      </w:r>
      <w:r>
        <w:rPr>
          <w:rFonts w:hint="eastAsia" w:hAnsi="宋体" w:cs="宋体"/>
          <w:b/>
          <w:szCs w:val="20"/>
          <w:highlight w:val="none"/>
        </w:rPr>
        <w:t>技术响应</w:t>
      </w:r>
      <w:r>
        <w:rPr>
          <w:rFonts w:hint="eastAsia" w:ascii="宋体" w:hAnsi="宋体" w:cs="宋体"/>
          <w:b/>
          <w:szCs w:val="20"/>
          <w:highlight w:val="none"/>
        </w:rPr>
        <w:t>格式（对应技术评审表项目成员经验部分）</w:t>
      </w:r>
    </w:p>
    <w:p>
      <w:pPr>
        <w:pStyle w:val="5"/>
        <w:ind w:firstLine="0" w:firstLineChars="0"/>
        <w:jc w:val="left"/>
        <w:rPr>
          <w:rFonts w:hint="eastAsia" w:ascii="宋体" w:hAnsi="宋体" w:cs="宋体"/>
          <w:bCs/>
          <w:szCs w:val="21"/>
          <w:highlight w:val="none"/>
        </w:rPr>
      </w:pPr>
      <w:r>
        <w:rPr>
          <w:rFonts w:hint="eastAsia" w:ascii="宋体" w:hAnsi="宋体" w:cs="宋体"/>
          <w:szCs w:val="21"/>
          <w:highlight w:val="none"/>
        </w:rPr>
        <w:t>【</w:t>
      </w:r>
      <w:r>
        <w:rPr>
          <w:rFonts w:hint="eastAsia" w:ascii="宋体" w:hAnsi="宋体" w:cs="宋体"/>
          <w:bCs/>
          <w:szCs w:val="21"/>
          <w:highlight w:val="none"/>
        </w:rPr>
        <w:t>供应商提供项目成员经验，填写汇总表如下，需要同时附上相关人员证书、劳动合同及社保证明文件扫描件并加盖公章。</w:t>
      </w:r>
      <w:r>
        <w:rPr>
          <w:rFonts w:hint="eastAsia" w:ascii="宋体" w:hAnsi="宋体" w:cs="宋体"/>
          <w:szCs w:val="21"/>
          <w:highlight w:val="none"/>
        </w:rPr>
        <w:t>】</w:t>
      </w:r>
    </w:p>
    <w:tbl>
      <w:tblPr>
        <w:tblStyle w:val="25"/>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7"/>
        <w:gridCol w:w="946"/>
        <w:gridCol w:w="756"/>
        <w:gridCol w:w="753"/>
        <w:gridCol w:w="754"/>
        <w:gridCol w:w="963"/>
        <w:gridCol w:w="1021"/>
        <w:gridCol w:w="896"/>
        <w:gridCol w:w="1078"/>
        <w:gridCol w:w="1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9" w:hRule="atLeast"/>
          <w:jc w:val="center"/>
        </w:trPr>
        <w:tc>
          <w:tcPr>
            <w:tcW w:w="1107" w:type="dxa"/>
            <w:shd w:val="clear" w:color="auto" w:fill="EEECE1"/>
            <w:vAlign w:val="center"/>
          </w:tcPr>
          <w:p>
            <w:pPr>
              <w:snapToGrid w:val="0"/>
              <w:jc w:val="center"/>
              <w:rPr>
                <w:highlight w:val="none"/>
              </w:rPr>
            </w:pPr>
            <w:r>
              <w:rPr>
                <w:rFonts w:hint="eastAsia"/>
                <w:highlight w:val="none"/>
              </w:rPr>
              <w:t>序号</w:t>
            </w:r>
          </w:p>
        </w:tc>
        <w:tc>
          <w:tcPr>
            <w:tcW w:w="946" w:type="dxa"/>
            <w:shd w:val="clear" w:color="auto" w:fill="EEECE1"/>
            <w:vAlign w:val="center"/>
          </w:tcPr>
          <w:p>
            <w:pPr>
              <w:pStyle w:val="45"/>
              <w:keepNext w:val="0"/>
              <w:snapToGrid w:val="0"/>
              <w:spacing w:before="0" w:after="0" w:line="240" w:lineRule="auto"/>
              <w:textAlignment w:val="auto"/>
              <w:rPr>
                <w:snapToGrid/>
                <w:spacing w:val="0"/>
                <w:kern w:val="2"/>
                <w:sz w:val="21"/>
                <w:szCs w:val="24"/>
                <w:highlight w:val="none"/>
              </w:rPr>
            </w:pPr>
            <w:r>
              <w:rPr>
                <w:rFonts w:hint="eastAsia"/>
                <w:snapToGrid/>
                <w:spacing w:val="0"/>
                <w:kern w:val="2"/>
                <w:sz w:val="21"/>
                <w:szCs w:val="24"/>
                <w:highlight w:val="none"/>
              </w:rPr>
              <w:t>姓名</w:t>
            </w:r>
          </w:p>
        </w:tc>
        <w:tc>
          <w:tcPr>
            <w:tcW w:w="756" w:type="dxa"/>
            <w:shd w:val="clear" w:color="auto" w:fill="EEECE1"/>
            <w:vAlign w:val="center"/>
          </w:tcPr>
          <w:p>
            <w:pPr>
              <w:snapToGrid w:val="0"/>
              <w:jc w:val="center"/>
              <w:rPr>
                <w:highlight w:val="none"/>
              </w:rPr>
            </w:pPr>
            <w:r>
              <w:rPr>
                <w:rFonts w:hint="eastAsia"/>
                <w:highlight w:val="none"/>
              </w:rPr>
              <w:t>性别</w:t>
            </w:r>
          </w:p>
        </w:tc>
        <w:tc>
          <w:tcPr>
            <w:tcW w:w="753" w:type="dxa"/>
            <w:shd w:val="clear" w:color="auto" w:fill="EEECE1"/>
            <w:vAlign w:val="center"/>
          </w:tcPr>
          <w:p>
            <w:pPr>
              <w:snapToGrid w:val="0"/>
              <w:jc w:val="center"/>
              <w:rPr>
                <w:highlight w:val="none"/>
              </w:rPr>
            </w:pPr>
            <w:r>
              <w:rPr>
                <w:rFonts w:hint="eastAsia"/>
                <w:highlight w:val="none"/>
              </w:rPr>
              <w:t>年龄</w:t>
            </w:r>
          </w:p>
        </w:tc>
        <w:tc>
          <w:tcPr>
            <w:tcW w:w="754" w:type="dxa"/>
            <w:shd w:val="clear" w:color="auto" w:fill="EEECE1"/>
            <w:vAlign w:val="center"/>
          </w:tcPr>
          <w:p>
            <w:pPr>
              <w:snapToGrid w:val="0"/>
              <w:jc w:val="center"/>
              <w:rPr>
                <w:highlight w:val="none"/>
              </w:rPr>
            </w:pPr>
            <w:r>
              <w:rPr>
                <w:rFonts w:hint="eastAsia"/>
                <w:highlight w:val="none"/>
              </w:rPr>
              <w:t>学历</w:t>
            </w:r>
          </w:p>
        </w:tc>
        <w:tc>
          <w:tcPr>
            <w:tcW w:w="963" w:type="dxa"/>
            <w:shd w:val="clear" w:color="auto" w:fill="EEECE1"/>
            <w:vAlign w:val="center"/>
          </w:tcPr>
          <w:p>
            <w:pPr>
              <w:snapToGrid w:val="0"/>
              <w:jc w:val="center"/>
              <w:rPr>
                <w:highlight w:val="none"/>
              </w:rPr>
            </w:pPr>
            <w:r>
              <w:rPr>
                <w:rFonts w:hint="eastAsia"/>
                <w:highlight w:val="none"/>
              </w:rPr>
              <w:t>职称</w:t>
            </w:r>
          </w:p>
        </w:tc>
        <w:tc>
          <w:tcPr>
            <w:tcW w:w="1021" w:type="dxa"/>
            <w:shd w:val="clear" w:color="auto" w:fill="EEECE1"/>
            <w:vAlign w:val="center"/>
          </w:tcPr>
          <w:p>
            <w:pPr>
              <w:snapToGrid w:val="0"/>
              <w:jc w:val="center"/>
              <w:rPr>
                <w:highlight w:val="none"/>
              </w:rPr>
            </w:pPr>
            <w:r>
              <w:rPr>
                <w:rFonts w:hint="eastAsia"/>
                <w:highlight w:val="none"/>
              </w:rPr>
              <w:t>专业</w:t>
            </w:r>
          </w:p>
        </w:tc>
        <w:tc>
          <w:tcPr>
            <w:tcW w:w="896" w:type="dxa"/>
            <w:shd w:val="clear" w:color="auto" w:fill="EEECE1"/>
            <w:vAlign w:val="center"/>
          </w:tcPr>
          <w:p>
            <w:pPr>
              <w:snapToGrid w:val="0"/>
              <w:jc w:val="center"/>
              <w:rPr>
                <w:highlight w:val="none"/>
              </w:rPr>
            </w:pPr>
            <w:r>
              <w:rPr>
                <w:rFonts w:hint="eastAsia"/>
                <w:highlight w:val="none"/>
              </w:rPr>
              <w:t>经验年限</w:t>
            </w:r>
          </w:p>
        </w:tc>
        <w:tc>
          <w:tcPr>
            <w:tcW w:w="1078" w:type="dxa"/>
            <w:shd w:val="clear" w:color="auto" w:fill="EEECE1"/>
            <w:vAlign w:val="center"/>
          </w:tcPr>
          <w:p>
            <w:pPr>
              <w:snapToGrid w:val="0"/>
              <w:jc w:val="center"/>
              <w:rPr>
                <w:highlight w:val="none"/>
              </w:rPr>
            </w:pPr>
            <w:r>
              <w:rPr>
                <w:rFonts w:hint="eastAsia"/>
                <w:highlight w:val="none"/>
              </w:rPr>
              <w:t>拟担任职务或承担工作内容</w:t>
            </w:r>
          </w:p>
        </w:tc>
        <w:tc>
          <w:tcPr>
            <w:tcW w:w="1126" w:type="dxa"/>
            <w:shd w:val="clear" w:color="auto" w:fill="EEECE1"/>
            <w:vAlign w:val="center"/>
          </w:tcPr>
          <w:p>
            <w:pPr>
              <w:snapToGrid w:val="0"/>
              <w:jc w:val="center"/>
              <w:rPr>
                <w:highlight w:val="none"/>
              </w:rPr>
            </w:pPr>
            <w:r>
              <w:rPr>
                <w:rFonts w:hint="eastAsia" w:ascii="宋体" w:hAnsi="宋体"/>
                <w:kern w:val="0"/>
                <w:szCs w:val="21"/>
                <w:highlight w:val="none"/>
              </w:rPr>
              <w:t>证明</w:t>
            </w:r>
            <w:r>
              <w:rPr>
                <w:rFonts w:ascii="宋体" w:hAnsi="宋体"/>
                <w:kern w:val="0"/>
                <w:szCs w:val="21"/>
                <w:highlight w:val="none"/>
              </w:rPr>
              <w:t>材料（</w:t>
            </w:r>
            <w:r>
              <w:rPr>
                <w:rFonts w:hint="eastAsia" w:ascii="宋体" w:hAnsi="宋体"/>
                <w:kern w:val="0"/>
                <w:szCs w:val="21"/>
                <w:highlight w:val="none"/>
              </w:rPr>
              <w:t>页码</w:t>
            </w:r>
            <w:r>
              <w:rPr>
                <w:rFonts w:ascii="宋体" w:hAnsi="宋体"/>
                <w:kern w:val="0"/>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9" w:hRule="atLeast"/>
          <w:jc w:val="center"/>
        </w:trPr>
        <w:tc>
          <w:tcPr>
            <w:tcW w:w="1107" w:type="dxa"/>
            <w:vAlign w:val="center"/>
          </w:tcPr>
          <w:p>
            <w:pPr>
              <w:widowControl/>
              <w:spacing w:line="400" w:lineRule="exact"/>
              <w:ind w:right="-55"/>
              <w:jc w:val="center"/>
              <w:rPr>
                <w:sz w:val="18"/>
                <w:szCs w:val="21"/>
                <w:highlight w:val="none"/>
              </w:rPr>
            </w:pPr>
            <w:r>
              <w:rPr>
                <w:rFonts w:hint="eastAsia" w:ascii="宋体" w:hAnsi="宋体" w:cs="宋体"/>
                <w:spacing w:val="-2"/>
                <w:kern w:val="0"/>
                <w:sz w:val="18"/>
                <w:szCs w:val="18"/>
                <w:highlight w:val="none"/>
              </w:rPr>
              <w:t>项目负责人</w:t>
            </w:r>
          </w:p>
        </w:tc>
        <w:tc>
          <w:tcPr>
            <w:tcW w:w="946" w:type="dxa"/>
            <w:vAlign w:val="center"/>
          </w:tcPr>
          <w:p>
            <w:pPr>
              <w:spacing w:line="400" w:lineRule="exact"/>
              <w:jc w:val="center"/>
              <w:rPr>
                <w:highlight w:val="none"/>
              </w:rPr>
            </w:pPr>
          </w:p>
        </w:tc>
        <w:tc>
          <w:tcPr>
            <w:tcW w:w="756" w:type="dxa"/>
            <w:vAlign w:val="center"/>
          </w:tcPr>
          <w:p>
            <w:pPr>
              <w:spacing w:line="400" w:lineRule="exact"/>
              <w:jc w:val="center"/>
              <w:rPr>
                <w:highlight w:val="none"/>
              </w:rPr>
            </w:pPr>
          </w:p>
        </w:tc>
        <w:tc>
          <w:tcPr>
            <w:tcW w:w="753" w:type="dxa"/>
            <w:vAlign w:val="center"/>
          </w:tcPr>
          <w:p>
            <w:pPr>
              <w:spacing w:line="400" w:lineRule="exact"/>
              <w:jc w:val="center"/>
              <w:rPr>
                <w:highlight w:val="none"/>
              </w:rPr>
            </w:pPr>
          </w:p>
        </w:tc>
        <w:tc>
          <w:tcPr>
            <w:tcW w:w="754" w:type="dxa"/>
            <w:vAlign w:val="center"/>
          </w:tcPr>
          <w:p>
            <w:pPr>
              <w:spacing w:line="400" w:lineRule="exact"/>
              <w:jc w:val="center"/>
              <w:rPr>
                <w:highlight w:val="none"/>
              </w:rPr>
            </w:pPr>
          </w:p>
        </w:tc>
        <w:tc>
          <w:tcPr>
            <w:tcW w:w="963" w:type="dxa"/>
            <w:vAlign w:val="center"/>
          </w:tcPr>
          <w:p>
            <w:pPr>
              <w:spacing w:line="400" w:lineRule="exact"/>
              <w:jc w:val="center"/>
              <w:rPr>
                <w:highlight w:val="none"/>
              </w:rPr>
            </w:pPr>
          </w:p>
        </w:tc>
        <w:tc>
          <w:tcPr>
            <w:tcW w:w="1021" w:type="dxa"/>
            <w:vAlign w:val="center"/>
          </w:tcPr>
          <w:p>
            <w:pPr>
              <w:spacing w:line="400" w:lineRule="exact"/>
              <w:jc w:val="center"/>
              <w:rPr>
                <w:highlight w:val="none"/>
              </w:rPr>
            </w:pPr>
          </w:p>
        </w:tc>
        <w:tc>
          <w:tcPr>
            <w:tcW w:w="896" w:type="dxa"/>
            <w:vAlign w:val="center"/>
          </w:tcPr>
          <w:p>
            <w:pPr>
              <w:spacing w:line="400" w:lineRule="exact"/>
              <w:jc w:val="center"/>
              <w:rPr>
                <w:highlight w:val="none"/>
              </w:rPr>
            </w:pPr>
          </w:p>
        </w:tc>
        <w:tc>
          <w:tcPr>
            <w:tcW w:w="1078" w:type="dxa"/>
            <w:vAlign w:val="center"/>
          </w:tcPr>
          <w:p>
            <w:pPr>
              <w:spacing w:line="400" w:lineRule="exact"/>
              <w:jc w:val="center"/>
              <w:rPr>
                <w:highlight w:val="none"/>
              </w:rPr>
            </w:pPr>
          </w:p>
        </w:tc>
        <w:tc>
          <w:tcPr>
            <w:tcW w:w="1126" w:type="dxa"/>
            <w:vAlign w:val="center"/>
          </w:tcPr>
          <w:p>
            <w:pPr>
              <w:spacing w:line="400" w:lineRule="exact"/>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1107" w:type="dxa"/>
            <w:vAlign w:val="center"/>
          </w:tcPr>
          <w:p>
            <w:pPr>
              <w:widowControl/>
              <w:spacing w:line="400" w:lineRule="exact"/>
              <w:ind w:right="-55"/>
              <w:jc w:val="center"/>
              <w:rPr>
                <w:sz w:val="18"/>
                <w:szCs w:val="21"/>
                <w:highlight w:val="none"/>
              </w:rPr>
            </w:pPr>
            <w:r>
              <w:rPr>
                <w:rFonts w:hint="eastAsia" w:ascii="宋体" w:hAnsi="宋体" w:cs="宋体"/>
                <w:spacing w:val="-2"/>
                <w:kern w:val="0"/>
                <w:sz w:val="18"/>
                <w:szCs w:val="18"/>
                <w:highlight w:val="none"/>
              </w:rPr>
              <w:t>（项目成员1）</w:t>
            </w:r>
          </w:p>
        </w:tc>
        <w:tc>
          <w:tcPr>
            <w:tcW w:w="946" w:type="dxa"/>
            <w:vAlign w:val="center"/>
          </w:tcPr>
          <w:p>
            <w:pPr>
              <w:spacing w:line="400" w:lineRule="exact"/>
              <w:jc w:val="center"/>
              <w:rPr>
                <w:highlight w:val="none"/>
              </w:rPr>
            </w:pPr>
          </w:p>
        </w:tc>
        <w:tc>
          <w:tcPr>
            <w:tcW w:w="756" w:type="dxa"/>
            <w:vAlign w:val="center"/>
          </w:tcPr>
          <w:p>
            <w:pPr>
              <w:spacing w:line="400" w:lineRule="exact"/>
              <w:jc w:val="center"/>
              <w:rPr>
                <w:highlight w:val="none"/>
              </w:rPr>
            </w:pPr>
          </w:p>
        </w:tc>
        <w:tc>
          <w:tcPr>
            <w:tcW w:w="753" w:type="dxa"/>
            <w:vAlign w:val="center"/>
          </w:tcPr>
          <w:p>
            <w:pPr>
              <w:spacing w:line="400" w:lineRule="exact"/>
              <w:jc w:val="center"/>
              <w:rPr>
                <w:highlight w:val="none"/>
              </w:rPr>
            </w:pPr>
          </w:p>
        </w:tc>
        <w:tc>
          <w:tcPr>
            <w:tcW w:w="754" w:type="dxa"/>
            <w:vAlign w:val="center"/>
          </w:tcPr>
          <w:p>
            <w:pPr>
              <w:spacing w:line="400" w:lineRule="exact"/>
              <w:jc w:val="center"/>
              <w:rPr>
                <w:highlight w:val="none"/>
              </w:rPr>
            </w:pPr>
          </w:p>
        </w:tc>
        <w:tc>
          <w:tcPr>
            <w:tcW w:w="963" w:type="dxa"/>
            <w:vAlign w:val="center"/>
          </w:tcPr>
          <w:p>
            <w:pPr>
              <w:spacing w:line="400" w:lineRule="exact"/>
              <w:jc w:val="center"/>
              <w:rPr>
                <w:highlight w:val="none"/>
              </w:rPr>
            </w:pPr>
          </w:p>
        </w:tc>
        <w:tc>
          <w:tcPr>
            <w:tcW w:w="1021" w:type="dxa"/>
            <w:vAlign w:val="center"/>
          </w:tcPr>
          <w:p>
            <w:pPr>
              <w:spacing w:line="400" w:lineRule="exact"/>
              <w:jc w:val="center"/>
              <w:rPr>
                <w:highlight w:val="none"/>
              </w:rPr>
            </w:pPr>
          </w:p>
        </w:tc>
        <w:tc>
          <w:tcPr>
            <w:tcW w:w="896" w:type="dxa"/>
            <w:vAlign w:val="center"/>
          </w:tcPr>
          <w:p>
            <w:pPr>
              <w:spacing w:line="400" w:lineRule="exact"/>
              <w:jc w:val="center"/>
              <w:rPr>
                <w:highlight w:val="none"/>
              </w:rPr>
            </w:pPr>
          </w:p>
        </w:tc>
        <w:tc>
          <w:tcPr>
            <w:tcW w:w="1078" w:type="dxa"/>
            <w:vAlign w:val="center"/>
          </w:tcPr>
          <w:p>
            <w:pPr>
              <w:spacing w:line="400" w:lineRule="exact"/>
              <w:jc w:val="center"/>
              <w:rPr>
                <w:highlight w:val="none"/>
              </w:rPr>
            </w:pPr>
          </w:p>
        </w:tc>
        <w:tc>
          <w:tcPr>
            <w:tcW w:w="1126" w:type="dxa"/>
            <w:vAlign w:val="center"/>
          </w:tcPr>
          <w:p>
            <w:pPr>
              <w:spacing w:line="400" w:lineRule="exact"/>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1107" w:type="dxa"/>
            <w:vAlign w:val="center"/>
          </w:tcPr>
          <w:p>
            <w:pPr>
              <w:widowControl/>
              <w:spacing w:line="400" w:lineRule="exact"/>
              <w:ind w:right="-55"/>
              <w:jc w:val="center"/>
              <w:rPr>
                <w:sz w:val="18"/>
                <w:szCs w:val="21"/>
                <w:highlight w:val="none"/>
              </w:rPr>
            </w:pPr>
            <w:r>
              <w:rPr>
                <w:rFonts w:hint="eastAsia" w:ascii="宋体" w:hAnsi="宋体" w:cs="宋体"/>
                <w:spacing w:val="-2"/>
                <w:kern w:val="0"/>
                <w:sz w:val="18"/>
                <w:szCs w:val="18"/>
                <w:highlight w:val="none"/>
              </w:rPr>
              <w:t>（项目成员2）</w:t>
            </w:r>
          </w:p>
        </w:tc>
        <w:tc>
          <w:tcPr>
            <w:tcW w:w="946" w:type="dxa"/>
            <w:vAlign w:val="center"/>
          </w:tcPr>
          <w:p>
            <w:pPr>
              <w:spacing w:line="400" w:lineRule="exact"/>
              <w:jc w:val="center"/>
              <w:rPr>
                <w:highlight w:val="none"/>
              </w:rPr>
            </w:pPr>
          </w:p>
        </w:tc>
        <w:tc>
          <w:tcPr>
            <w:tcW w:w="756" w:type="dxa"/>
            <w:vAlign w:val="center"/>
          </w:tcPr>
          <w:p>
            <w:pPr>
              <w:spacing w:line="400" w:lineRule="exact"/>
              <w:jc w:val="center"/>
              <w:rPr>
                <w:highlight w:val="none"/>
              </w:rPr>
            </w:pPr>
          </w:p>
        </w:tc>
        <w:tc>
          <w:tcPr>
            <w:tcW w:w="753" w:type="dxa"/>
            <w:vAlign w:val="center"/>
          </w:tcPr>
          <w:p>
            <w:pPr>
              <w:spacing w:line="400" w:lineRule="exact"/>
              <w:jc w:val="center"/>
              <w:rPr>
                <w:highlight w:val="none"/>
              </w:rPr>
            </w:pPr>
          </w:p>
        </w:tc>
        <w:tc>
          <w:tcPr>
            <w:tcW w:w="754" w:type="dxa"/>
            <w:vAlign w:val="center"/>
          </w:tcPr>
          <w:p>
            <w:pPr>
              <w:spacing w:line="400" w:lineRule="exact"/>
              <w:jc w:val="center"/>
              <w:rPr>
                <w:highlight w:val="none"/>
              </w:rPr>
            </w:pPr>
          </w:p>
        </w:tc>
        <w:tc>
          <w:tcPr>
            <w:tcW w:w="963" w:type="dxa"/>
            <w:vAlign w:val="center"/>
          </w:tcPr>
          <w:p>
            <w:pPr>
              <w:spacing w:line="400" w:lineRule="exact"/>
              <w:jc w:val="center"/>
              <w:rPr>
                <w:highlight w:val="none"/>
              </w:rPr>
            </w:pPr>
          </w:p>
        </w:tc>
        <w:tc>
          <w:tcPr>
            <w:tcW w:w="1021" w:type="dxa"/>
            <w:vAlign w:val="center"/>
          </w:tcPr>
          <w:p>
            <w:pPr>
              <w:spacing w:line="400" w:lineRule="exact"/>
              <w:jc w:val="center"/>
              <w:rPr>
                <w:highlight w:val="none"/>
              </w:rPr>
            </w:pPr>
          </w:p>
        </w:tc>
        <w:tc>
          <w:tcPr>
            <w:tcW w:w="896" w:type="dxa"/>
            <w:vAlign w:val="center"/>
          </w:tcPr>
          <w:p>
            <w:pPr>
              <w:spacing w:line="400" w:lineRule="exact"/>
              <w:jc w:val="center"/>
              <w:rPr>
                <w:highlight w:val="none"/>
              </w:rPr>
            </w:pPr>
          </w:p>
        </w:tc>
        <w:tc>
          <w:tcPr>
            <w:tcW w:w="1078" w:type="dxa"/>
            <w:vAlign w:val="center"/>
          </w:tcPr>
          <w:p>
            <w:pPr>
              <w:spacing w:line="400" w:lineRule="exact"/>
              <w:jc w:val="center"/>
              <w:rPr>
                <w:highlight w:val="none"/>
              </w:rPr>
            </w:pPr>
          </w:p>
        </w:tc>
        <w:tc>
          <w:tcPr>
            <w:tcW w:w="1126" w:type="dxa"/>
            <w:vAlign w:val="center"/>
          </w:tcPr>
          <w:p>
            <w:pPr>
              <w:spacing w:line="400" w:lineRule="exact"/>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1107" w:type="dxa"/>
            <w:vAlign w:val="center"/>
          </w:tcPr>
          <w:p>
            <w:pPr>
              <w:widowControl/>
              <w:spacing w:line="400" w:lineRule="exact"/>
              <w:ind w:right="-55"/>
              <w:jc w:val="center"/>
              <w:rPr>
                <w:sz w:val="18"/>
                <w:szCs w:val="21"/>
                <w:highlight w:val="none"/>
              </w:rPr>
            </w:pPr>
            <w:r>
              <w:rPr>
                <w:rFonts w:hint="eastAsia" w:ascii="宋体" w:hAnsi="宋体" w:cs="宋体"/>
                <w:spacing w:val="-2"/>
                <w:kern w:val="0"/>
                <w:sz w:val="18"/>
                <w:szCs w:val="18"/>
                <w:highlight w:val="none"/>
              </w:rPr>
              <w:t>（项目成员3）</w:t>
            </w:r>
          </w:p>
        </w:tc>
        <w:tc>
          <w:tcPr>
            <w:tcW w:w="946" w:type="dxa"/>
            <w:vAlign w:val="center"/>
          </w:tcPr>
          <w:p>
            <w:pPr>
              <w:spacing w:line="400" w:lineRule="exact"/>
              <w:jc w:val="center"/>
              <w:rPr>
                <w:highlight w:val="none"/>
              </w:rPr>
            </w:pPr>
          </w:p>
        </w:tc>
        <w:tc>
          <w:tcPr>
            <w:tcW w:w="756" w:type="dxa"/>
            <w:vAlign w:val="center"/>
          </w:tcPr>
          <w:p>
            <w:pPr>
              <w:spacing w:line="400" w:lineRule="exact"/>
              <w:jc w:val="center"/>
              <w:rPr>
                <w:highlight w:val="none"/>
              </w:rPr>
            </w:pPr>
          </w:p>
        </w:tc>
        <w:tc>
          <w:tcPr>
            <w:tcW w:w="753" w:type="dxa"/>
            <w:vAlign w:val="center"/>
          </w:tcPr>
          <w:p>
            <w:pPr>
              <w:spacing w:line="400" w:lineRule="exact"/>
              <w:jc w:val="center"/>
              <w:rPr>
                <w:highlight w:val="none"/>
              </w:rPr>
            </w:pPr>
          </w:p>
        </w:tc>
        <w:tc>
          <w:tcPr>
            <w:tcW w:w="754" w:type="dxa"/>
            <w:vAlign w:val="center"/>
          </w:tcPr>
          <w:p>
            <w:pPr>
              <w:spacing w:line="400" w:lineRule="exact"/>
              <w:jc w:val="center"/>
              <w:rPr>
                <w:highlight w:val="none"/>
              </w:rPr>
            </w:pPr>
          </w:p>
        </w:tc>
        <w:tc>
          <w:tcPr>
            <w:tcW w:w="963" w:type="dxa"/>
            <w:vAlign w:val="center"/>
          </w:tcPr>
          <w:p>
            <w:pPr>
              <w:spacing w:line="400" w:lineRule="exact"/>
              <w:jc w:val="center"/>
              <w:rPr>
                <w:highlight w:val="none"/>
              </w:rPr>
            </w:pPr>
          </w:p>
        </w:tc>
        <w:tc>
          <w:tcPr>
            <w:tcW w:w="1021" w:type="dxa"/>
            <w:vAlign w:val="center"/>
          </w:tcPr>
          <w:p>
            <w:pPr>
              <w:spacing w:line="400" w:lineRule="exact"/>
              <w:jc w:val="center"/>
              <w:rPr>
                <w:highlight w:val="none"/>
              </w:rPr>
            </w:pPr>
          </w:p>
        </w:tc>
        <w:tc>
          <w:tcPr>
            <w:tcW w:w="896" w:type="dxa"/>
            <w:vAlign w:val="center"/>
          </w:tcPr>
          <w:p>
            <w:pPr>
              <w:spacing w:line="400" w:lineRule="exact"/>
              <w:jc w:val="center"/>
              <w:rPr>
                <w:highlight w:val="none"/>
              </w:rPr>
            </w:pPr>
          </w:p>
        </w:tc>
        <w:tc>
          <w:tcPr>
            <w:tcW w:w="1078" w:type="dxa"/>
            <w:vAlign w:val="center"/>
          </w:tcPr>
          <w:p>
            <w:pPr>
              <w:spacing w:line="400" w:lineRule="exact"/>
              <w:jc w:val="center"/>
              <w:rPr>
                <w:highlight w:val="none"/>
              </w:rPr>
            </w:pPr>
          </w:p>
        </w:tc>
        <w:tc>
          <w:tcPr>
            <w:tcW w:w="1126" w:type="dxa"/>
            <w:vAlign w:val="center"/>
          </w:tcPr>
          <w:p>
            <w:pPr>
              <w:spacing w:line="400" w:lineRule="exact"/>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1107" w:type="dxa"/>
            <w:vAlign w:val="center"/>
          </w:tcPr>
          <w:p>
            <w:pPr>
              <w:spacing w:line="400" w:lineRule="exact"/>
              <w:jc w:val="center"/>
              <w:rPr>
                <w:highlight w:val="none"/>
              </w:rPr>
            </w:pPr>
            <w:r>
              <w:rPr>
                <w:rFonts w:hint="eastAsia"/>
                <w:highlight w:val="none"/>
              </w:rPr>
              <w:t>...</w:t>
            </w:r>
          </w:p>
        </w:tc>
        <w:tc>
          <w:tcPr>
            <w:tcW w:w="946" w:type="dxa"/>
            <w:vAlign w:val="center"/>
          </w:tcPr>
          <w:p>
            <w:pPr>
              <w:spacing w:line="400" w:lineRule="exact"/>
              <w:jc w:val="center"/>
              <w:rPr>
                <w:highlight w:val="none"/>
              </w:rPr>
            </w:pPr>
          </w:p>
        </w:tc>
        <w:tc>
          <w:tcPr>
            <w:tcW w:w="756" w:type="dxa"/>
            <w:vAlign w:val="center"/>
          </w:tcPr>
          <w:p>
            <w:pPr>
              <w:spacing w:line="400" w:lineRule="exact"/>
              <w:jc w:val="center"/>
              <w:rPr>
                <w:highlight w:val="none"/>
              </w:rPr>
            </w:pPr>
          </w:p>
        </w:tc>
        <w:tc>
          <w:tcPr>
            <w:tcW w:w="753" w:type="dxa"/>
            <w:vAlign w:val="center"/>
          </w:tcPr>
          <w:p>
            <w:pPr>
              <w:spacing w:line="400" w:lineRule="exact"/>
              <w:jc w:val="center"/>
              <w:rPr>
                <w:highlight w:val="none"/>
              </w:rPr>
            </w:pPr>
          </w:p>
        </w:tc>
        <w:tc>
          <w:tcPr>
            <w:tcW w:w="754" w:type="dxa"/>
            <w:vAlign w:val="center"/>
          </w:tcPr>
          <w:p>
            <w:pPr>
              <w:spacing w:line="400" w:lineRule="exact"/>
              <w:jc w:val="center"/>
              <w:rPr>
                <w:highlight w:val="none"/>
              </w:rPr>
            </w:pPr>
          </w:p>
        </w:tc>
        <w:tc>
          <w:tcPr>
            <w:tcW w:w="963" w:type="dxa"/>
            <w:vAlign w:val="center"/>
          </w:tcPr>
          <w:p>
            <w:pPr>
              <w:spacing w:line="400" w:lineRule="exact"/>
              <w:jc w:val="center"/>
              <w:rPr>
                <w:highlight w:val="none"/>
              </w:rPr>
            </w:pPr>
          </w:p>
        </w:tc>
        <w:tc>
          <w:tcPr>
            <w:tcW w:w="1021" w:type="dxa"/>
            <w:vAlign w:val="center"/>
          </w:tcPr>
          <w:p>
            <w:pPr>
              <w:spacing w:line="400" w:lineRule="exact"/>
              <w:jc w:val="center"/>
              <w:rPr>
                <w:highlight w:val="none"/>
              </w:rPr>
            </w:pPr>
          </w:p>
        </w:tc>
        <w:tc>
          <w:tcPr>
            <w:tcW w:w="896" w:type="dxa"/>
            <w:vAlign w:val="center"/>
          </w:tcPr>
          <w:p>
            <w:pPr>
              <w:spacing w:line="400" w:lineRule="exact"/>
              <w:jc w:val="center"/>
              <w:rPr>
                <w:highlight w:val="none"/>
              </w:rPr>
            </w:pPr>
          </w:p>
        </w:tc>
        <w:tc>
          <w:tcPr>
            <w:tcW w:w="1078" w:type="dxa"/>
            <w:vAlign w:val="center"/>
          </w:tcPr>
          <w:p>
            <w:pPr>
              <w:spacing w:line="400" w:lineRule="exact"/>
              <w:jc w:val="center"/>
              <w:rPr>
                <w:highlight w:val="none"/>
              </w:rPr>
            </w:pPr>
          </w:p>
        </w:tc>
        <w:tc>
          <w:tcPr>
            <w:tcW w:w="1126" w:type="dxa"/>
            <w:vAlign w:val="center"/>
          </w:tcPr>
          <w:p>
            <w:pPr>
              <w:spacing w:line="400" w:lineRule="exact"/>
              <w:jc w:val="center"/>
              <w:rPr>
                <w:highlight w:val="none"/>
              </w:rPr>
            </w:pPr>
          </w:p>
        </w:tc>
      </w:tr>
    </w:tbl>
    <w:p>
      <w:pPr>
        <w:spacing w:before="156" w:beforeLines="50" w:after="156" w:afterLines="50" w:line="360" w:lineRule="auto"/>
        <w:ind w:firstLine="3570" w:firstLineChars="1700"/>
        <w:rPr>
          <w:rFonts w:hint="eastAsia" w:ascii="宋体" w:hAnsi="宋体" w:cs="Arial"/>
          <w:szCs w:val="21"/>
          <w:highlight w:val="none"/>
        </w:rPr>
      </w:pPr>
    </w:p>
    <w:p>
      <w:pPr>
        <w:spacing w:before="156" w:beforeLines="50" w:after="156" w:afterLines="50" w:line="360" w:lineRule="auto"/>
        <w:ind w:firstLine="3570" w:firstLineChars="1700"/>
        <w:rPr>
          <w:rFonts w:hint="eastAsia" w:ascii="宋体" w:hAnsi="宋体" w:cs="Arial"/>
          <w:szCs w:val="21"/>
          <w:highlight w:val="none"/>
        </w:rPr>
      </w:pPr>
    </w:p>
    <w:p>
      <w:pPr>
        <w:spacing w:before="156" w:beforeLines="50" w:after="156" w:afterLines="50" w:line="360" w:lineRule="auto"/>
        <w:ind w:firstLine="3570" w:firstLineChars="1700"/>
        <w:rPr>
          <w:rFonts w:hint="eastAsia" w:ascii="宋体" w:hAnsi="宋体" w:cs="Arial"/>
          <w:szCs w:val="21"/>
          <w:highlight w:val="none"/>
        </w:rPr>
      </w:pPr>
    </w:p>
    <w:p>
      <w:pPr>
        <w:spacing w:before="156" w:beforeLines="50" w:after="156" w:afterLines="50" w:line="360" w:lineRule="auto"/>
        <w:ind w:firstLine="3570" w:firstLineChars="1700"/>
        <w:rPr>
          <w:rFonts w:hint="eastAsia" w:ascii="宋体" w:hAnsi="宋体" w:cs="Arial"/>
          <w:szCs w:val="21"/>
          <w:highlight w:val="none"/>
        </w:rPr>
      </w:pPr>
    </w:p>
    <w:p>
      <w:pPr>
        <w:spacing w:before="156" w:beforeLines="50" w:after="156" w:afterLines="50" w:line="360" w:lineRule="auto"/>
        <w:ind w:firstLine="3570" w:firstLineChars="1700"/>
        <w:rPr>
          <w:rFonts w:hint="eastAsia" w:ascii="宋体" w:hAnsi="宋体" w:cs="Arial"/>
          <w:szCs w:val="21"/>
          <w:highlight w:val="none"/>
        </w:rPr>
      </w:pPr>
    </w:p>
    <w:p>
      <w:pPr>
        <w:spacing w:before="156" w:beforeLines="50" w:after="156" w:afterLines="50" w:line="360" w:lineRule="auto"/>
        <w:ind w:firstLine="3570" w:firstLineChars="1700"/>
        <w:rPr>
          <w:rFonts w:hint="eastAsia" w:ascii="宋体" w:hAnsi="宋体" w:cs="Arial"/>
          <w:szCs w:val="21"/>
          <w:highlight w:val="none"/>
        </w:rPr>
      </w:pPr>
    </w:p>
    <w:p>
      <w:pPr>
        <w:spacing w:before="156" w:beforeLines="50" w:after="156" w:afterLines="50" w:line="360" w:lineRule="auto"/>
        <w:ind w:firstLine="3570" w:firstLineChars="1700"/>
        <w:rPr>
          <w:rFonts w:hint="eastAsia" w:ascii="宋体" w:hAnsi="宋体" w:cs="Arial"/>
          <w:szCs w:val="21"/>
          <w:highlight w:val="none"/>
        </w:rPr>
      </w:pPr>
    </w:p>
    <w:p>
      <w:pPr>
        <w:spacing w:before="156" w:beforeLines="50" w:after="156" w:afterLines="50" w:line="360" w:lineRule="auto"/>
        <w:ind w:firstLine="3570" w:firstLineChars="1700"/>
        <w:rPr>
          <w:rFonts w:hint="eastAsia" w:ascii="宋体" w:hAnsi="宋体" w:cs="Arial"/>
          <w:szCs w:val="21"/>
          <w:highlight w:val="none"/>
        </w:rPr>
      </w:pPr>
    </w:p>
    <w:p>
      <w:pPr>
        <w:spacing w:before="156" w:beforeLines="50" w:after="156" w:afterLines="50" w:line="360" w:lineRule="auto"/>
        <w:ind w:firstLine="3570" w:firstLineChars="1700"/>
        <w:rPr>
          <w:rFonts w:hint="eastAsia" w:ascii="宋体" w:hAnsi="宋体" w:cs="Arial"/>
          <w:szCs w:val="21"/>
          <w:highlight w:val="none"/>
        </w:rPr>
      </w:pPr>
    </w:p>
    <w:p>
      <w:pPr>
        <w:pStyle w:val="4"/>
        <w:pageBreakBefore/>
        <w:spacing w:before="156" w:beforeLines="50" w:after="156" w:afterLines="50" w:line="360" w:lineRule="auto"/>
        <w:ind w:left="0"/>
        <w:jc w:val="center"/>
        <w:rPr>
          <w:b/>
          <w:highlight w:val="none"/>
        </w:rPr>
      </w:pPr>
      <w:bookmarkStart w:id="413" w:name="_Toc17467"/>
      <w:bookmarkStart w:id="414" w:name="_Toc18614"/>
      <w:bookmarkStart w:id="415" w:name="_Toc915"/>
      <w:bookmarkStart w:id="416" w:name="_Toc5343"/>
      <w:bookmarkStart w:id="417" w:name="_Toc4779"/>
      <w:bookmarkStart w:id="418" w:name="_Toc27008"/>
      <w:bookmarkStart w:id="419" w:name="_Toc1847"/>
      <w:bookmarkStart w:id="420" w:name="_Toc11394"/>
      <w:bookmarkStart w:id="421" w:name="_Toc22689"/>
      <w:bookmarkStart w:id="422" w:name="_Toc23207"/>
      <w:bookmarkStart w:id="423" w:name="_Toc10946"/>
      <w:bookmarkStart w:id="424" w:name="_Toc504657642"/>
      <w:r>
        <w:rPr>
          <w:rFonts w:hint="eastAsia"/>
          <w:b/>
          <w:highlight w:val="none"/>
        </w:rPr>
        <w:t>格式十一、用户需求响应表</w:t>
      </w:r>
      <w:bookmarkEnd w:id="413"/>
      <w:bookmarkEnd w:id="414"/>
      <w:bookmarkEnd w:id="415"/>
      <w:bookmarkEnd w:id="416"/>
      <w:bookmarkEnd w:id="417"/>
      <w:bookmarkEnd w:id="418"/>
      <w:bookmarkEnd w:id="419"/>
      <w:bookmarkEnd w:id="420"/>
      <w:bookmarkEnd w:id="421"/>
      <w:bookmarkEnd w:id="422"/>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0" w:type="dxa"/>
          <w:bottom w:w="0" w:type="dxa"/>
          <w:right w:w="30" w:type="dxa"/>
        </w:tblCellMar>
      </w:tblPr>
      <w:tblGrid>
        <w:gridCol w:w="701"/>
        <w:gridCol w:w="633"/>
        <w:gridCol w:w="2248"/>
        <w:gridCol w:w="665"/>
        <w:gridCol w:w="2596"/>
        <w:gridCol w:w="1124"/>
        <w:gridCol w:w="10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cantSplit/>
          <w:trHeight w:val="584" w:hRule="atLeast"/>
        </w:trPr>
        <w:tc>
          <w:tcPr>
            <w:tcW w:w="701" w:type="dxa"/>
            <w:vMerge w:val="restart"/>
            <w:vAlign w:val="center"/>
          </w:tcPr>
          <w:p>
            <w:pPr>
              <w:autoSpaceDE w:val="0"/>
              <w:autoSpaceDN w:val="0"/>
              <w:adjustRightInd w:val="0"/>
              <w:spacing w:line="480" w:lineRule="exact"/>
              <w:jc w:val="center"/>
              <w:rPr>
                <w:rFonts w:ascii="宋体"/>
                <w:b/>
                <w:bCs/>
                <w:highlight w:val="none"/>
              </w:rPr>
            </w:pPr>
            <w:r>
              <w:rPr>
                <w:rFonts w:hint="eastAsia" w:ascii="宋体"/>
                <w:b/>
                <w:bCs/>
                <w:highlight w:val="none"/>
              </w:rPr>
              <w:t>序号</w:t>
            </w:r>
          </w:p>
        </w:tc>
        <w:tc>
          <w:tcPr>
            <w:tcW w:w="2881" w:type="dxa"/>
            <w:gridSpan w:val="2"/>
            <w:vAlign w:val="center"/>
          </w:tcPr>
          <w:p>
            <w:pPr>
              <w:autoSpaceDE w:val="0"/>
              <w:autoSpaceDN w:val="0"/>
              <w:adjustRightInd w:val="0"/>
              <w:spacing w:line="480" w:lineRule="exact"/>
              <w:jc w:val="center"/>
              <w:rPr>
                <w:rFonts w:ascii="宋体"/>
                <w:b/>
                <w:bCs/>
                <w:highlight w:val="none"/>
              </w:rPr>
            </w:pPr>
            <w:r>
              <w:rPr>
                <w:rFonts w:hint="eastAsia" w:ascii="宋体" w:hAnsi="宋体" w:cs="Arial"/>
                <w:b/>
                <w:szCs w:val="21"/>
                <w:highlight w:val="none"/>
              </w:rPr>
              <w:t>谈判文件</w:t>
            </w:r>
            <w:r>
              <w:rPr>
                <w:rFonts w:hint="eastAsia" w:ascii="宋体"/>
                <w:b/>
                <w:bCs/>
                <w:highlight w:val="none"/>
              </w:rPr>
              <w:t>要求</w:t>
            </w:r>
          </w:p>
        </w:tc>
        <w:tc>
          <w:tcPr>
            <w:tcW w:w="3261" w:type="dxa"/>
            <w:gridSpan w:val="2"/>
            <w:vAlign w:val="center"/>
          </w:tcPr>
          <w:p>
            <w:pPr>
              <w:autoSpaceDE w:val="0"/>
              <w:autoSpaceDN w:val="0"/>
              <w:adjustRightInd w:val="0"/>
              <w:spacing w:line="480" w:lineRule="exact"/>
              <w:jc w:val="center"/>
              <w:rPr>
                <w:rFonts w:ascii="宋体"/>
                <w:b/>
                <w:bCs/>
                <w:highlight w:val="none"/>
              </w:rPr>
            </w:pPr>
            <w:r>
              <w:rPr>
                <w:rFonts w:hint="eastAsia" w:ascii="宋体"/>
                <w:b/>
                <w:bCs/>
                <w:highlight w:val="none"/>
              </w:rPr>
              <w:t>响应文件内容</w:t>
            </w:r>
          </w:p>
        </w:tc>
        <w:tc>
          <w:tcPr>
            <w:tcW w:w="1124" w:type="dxa"/>
            <w:vAlign w:val="center"/>
          </w:tcPr>
          <w:p>
            <w:pPr>
              <w:autoSpaceDE w:val="0"/>
              <w:autoSpaceDN w:val="0"/>
              <w:adjustRightInd w:val="0"/>
              <w:spacing w:line="480" w:lineRule="exact"/>
              <w:jc w:val="center"/>
              <w:rPr>
                <w:rFonts w:ascii="宋体"/>
                <w:b/>
                <w:bCs/>
                <w:highlight w:val="none"/>
              </w:rPr>
            </w:pPr>
            <w:r>
              <w:rPr>
                <w:rFonts w:hint="eastAsia" w:ascii="宋体"/>
                <w:b/>
                <w:bCs/>
                <w:highlight w:val="none"/>
              </w:rPr>
              <w:t>所在页码</w:t>
            </w:r>
          </w:p>
        </w:tc>
        <w:tc>
          <w:tcPr>
            <w:tcW w:w="1019" w:type="dxa"/>
            <w:vAlign w:val="center"/>
          </w:tcPr>
          <w:p>
            <w:pPr>
              <w:autoSpaceDE w:val="0"/>
              <w:autoSpaceDN w:val="0"/>
              <w:adjustRightInd w:val="0"/>
              <w:spacing w:line="480" w:lineRule="exact"/>
              <w:jc w:val="center"/>
              <w:rPr>
                <w:rFonts w:ascii="宋体"/>
                <w:b/>
                <w:bCs/>
                <w:highlight w:val="none"/>
              </w:rPr>
            </w:pPr>
            <w:r>
              <w:rPr>
                <w:rFonts w:hint="eastAsia" w:ascii="宋体"/>
                <w:b/>
                <w:bCs/>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cantSplit/>
          <w:trHeight w:val="607" w:hRule="atLeast"/>
        </w:trPr>
        <w:tc>
          <w:tcPr>
            <w:tcW w:w="701" w:type="dxa"/>
            <w:vMerge w:val="continue"/>
          </w:tcPr>
          <w:p>
            <w:pPr>
              <w:autoSpaceDE w:val="0"/>
              <w:autoSpaceDN w:val="0"/>
              <w:adjustRightInd w:val="0"/>
              <w:spacing w:line="480" w:lineRule="exact"/>
              <w:jc w:val="center"/>
              <w:rPr>
                <w:rFonts w:ascii="宋体"/>
                <w:b/>
                <w:bCs/>
                <w:highlight w:val="none"/>
              </w:rPr>
            </w:pPr>
          </w:p>
        </w:tc>
        <w:tc>
          <w:tcPr>
            <w:tcW w:w="633" w:type="dxa"/>
            <w:vAlign w:val="center"/>
          </w:tcPr>
          <w:p>
            <w:pPr>
              <w:autoSpaceDE w:val="0"/>
              <w:autoSpaceDN w:val="0"/>
              <w:adjustRightInd w:val="0"/>
              <w:spacing w:line="480" w:lineRule="exact"/>
              <w:jc w:val="center"/>
              <w:rPr>
                <w:rFonts w:ascii="宋体"/>
                <w:b/>
                <w:bCs/>
                <w:highlight w:val="none"/>
              </w:rPr>
            </w:pPr>
            <w:r>
              <w:rPr>
                <w:rFonts w:hint="eastAsia" w:ascii="宋体"/>
                <w:b/>
                <w:bCs/>
                <w:highlight w:val="none"/>
              </w:rPr>
              <w:t>条目</w:t>
            </w:r>
          </w:p>
        </w:tc>
        <w:tc>
          <w:tcPr>
            <w:tcW w:w="2248" w:type="dxa"/>
            <w:vAlign w:val="center"/>
          </w:tcPr>
          <w:p>
            <w:pPr>
              <w:autoSpaceDE w:val="0"/>
              <w:autoSpaceDN w:val="0"/>
              <w:adjustRightInd w:val="0"/>
              <w:spacing w:line="480" w:lineRule="exact"/>
              <w:jc w:val="center"/>
              <w:rPr>
                <w:rFonts w:ascii="宋体"/>
                <w:b/>
                <w:bCs/>
                <w:highlight w:val="none"/>
              </w:rPr>
            </w:pPr>
            <w:r>
              <w:rPr>
                <w:rFonts w:hint="eastAsia" w:ascii="宋体"/>
                <w:b/>
                <w:bCs/>
                <w:highlight w:val="none"/>
              </w:rPr>
              <w:t>简要内容</w:t>
            </w:r>
          </w:p>
        </w:tc>
        <w:tc>
          <w:tcPr>
            <w:tcW w:w="665" w:type="dxa"/>
            <w:vAlign w:val="center"/>
          </w:tcPr>
          <w:p>
            <w:pPr>
              <w:autoSpaceDE w:val="0"/>
              <w:autoSpaceDN w:val="0"/>
              <w:adjustRightInd w:val="0"/>
              <w:spacing w:line="480" w:lineRule="exact"/>
              <w:jc w:val="center"/>
              <w:rPr>
                <w:rFonts w:ascii="宋体"/>
                <w:b/>
                <w:bCs/>
                <w:highlight w:val="none"/>
              </w:rPr>
            </w:pPr>
            <w:r>
              <w:rPr>
                <w:rFonts w:hint="eastAsia" w:ascii="宋体"/>
                <w:b/>
                <w:bCs/>
                <w:highlight w:val="none"/>
              </w:rPr>
              <w:t>条目</w:t>
            </w:r>
          </w:p>
        </w:tc>
        <w:tc>
          <w:tcPr>
            <w:tcW w:w="2596" w:type="dxa"/>
            <w:vAlign w:val="center"/>
          </w:tcPr>
          <w:p>
            <w:pPr>
              <w:autoSpaceDE w:val="0"/>
              <w:autoSpaceDN w:val="0"/>
              <w:adjustRightInd w:val="0"/>
              <w:spacing w:line="480" w:lineRule="exact"/>
              <w:jc w:val="center"/>
              <w:rPr>
                <w:rFonts w:ascii="宋体"/>
                <w:b/>
                <w:bCs/>
                <w:highlight w:val="none"/>
              </w:rPr>
            </w:pPr>
            <w:r>
              <w:rPr>
                <w:rFonts w:hint="eastAsia" w:ascii="宋体"/>
                <w:b/>
                <w:bCs/>
                <w:highlight w:val="none"/>
              </w:rPr>
              <w:t>实际响应的具体内容</w:t>
            </w:r>
          </w:p>
        </w:tc>
        <w:tc>
          <w:tcPr>
            <w:tcW w:w="1124" w:type="dxa"/>
            <w:vAlign w:val="center"/>
          </w:tcPr>
          <w:p>
            <w:pPr>
              <w:autoSpaceDE w:val="0"/>
              <w:autoSpaceDN w:val="0"/>
              <w:adjustRightInd w:val="0"/>
              <w:spacing w:line="480" w:lineRule="exact"/>
              <w:jc w:val="center"/>
              <w:rPr>
                <w:rFonts w:ascii="宋体"/>
                <w:b/>
                <w:bCs/>
                <w:highlight w:val="none"/>
              </w:rPr>
            </w:pPr>
          </w:p>
        </w:tc>
        <w:tc>
          <w:tcPr>
            <w:tcW w:w="1018" w:type="dxa"/>
            <w:vAlign w:val="center"/>
          </w:tcPr>
          <w:p>
            <w:pPr>
              <w:autoSpaceDE w:val="0"/>
              <w:autoSpaceDN w:val="0"/>
              <w:adjustRightInd w:val="0"/>
              <w:spacing w:line="480" w:lineRule="exact"/>
              <w:jc w:val="center"/>
              <w:rPr>
                <w:rFonts w:ascii="宋体"/>
                <w:b/>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cantSplit/>
          <w:trHeight w:val="440" w:hRule="exact"/>
        </w:trPr>
        <w:tc>
          <w:tcPr>
            <w:tcW w:w="701" w:type="dxa"/>
            <w:vAlign w:val="center"/>
          </w:tcPr>
          <w:p>
            <w:pPr>
              <w:autoSpaceDE w:val="0"/>
              <w:autoSpaceDN w:val="0"/>
              <w:adjustRightInd w:val="0"/>
              <w:spacing w:line="360" w:lineRule="auto"/>
              <w:ind w:right="84" w:rightChars="40"/>
              <w:jc w:val="center"/>
              <w:rPr>
                <w:rFonts w:ascii="宋体"/>
                <w:highlight w:val="none"/>
              </w:rPr>
            </w:pPr>
            <w:r>
              <w:rPr>
                <w:rFonts w:hint="eastAsia" w:ascii="宋体" w:hAnsi="宋体" w:cs="Arial"/>
                <w:b/>
                <w:szCs w:val="21"/>
                <w:highlight w:val="none"/>
              </w:rPr>
              <w:t>1</w:t>
            </w:r>
          </w:p>
        </w:tc>
        <w:tc>
          <w:tcPr>
            <w:tcW w:w="633" w:type="dxa"/>
          </w:tcPr>
          <w:p>
            <w:pPr>
              <w:autoSpaceDE w:val="0"/>
              <w:autoSpaceDN w:val="0"/>
              <w:adjustRightInd w:val="0"/>
              <w:spacing w:line="480" w:lineRule="exact"/>
              <w:jc w:val="right"/>
              <w:rPr>
                <w:rFonts w:ascii="宋体"/>
                <w:highlight w:val="none"/>
              </w:rPr>
            </w:pPr>
          </w:p>
        </w:tc>
        <w:tc>
          <w:tcPr>
            <w:tcW w:w="2248" w:type="dxa"/>
          </w:tcPr>
          <w:p>
            <w:pPr>
              <w:autoSpaceDE w:val="0"/>
              <w:autoSpaceDN w:val="0"/>
              <w:adjustRightInd w:val="0"/>
              <w:spacing w:line="480" w:lineRule="exact"/>
              <w:jc w:val="right"/>
              <w:rPr>
                <w:rFonts w:ascii="宋体"/>
                <w:highlight w:val="none"/>
              </w:rPr>
            </w:pPr>
          </w:p>
        </w:tc>
        <w:tc>
          <w:tcPr>
            <w:tcW w:w="665" w:type="dxa"/>
          </w:tcPr>
          <w:p>
            <w:pPr>
              <w:autoSpaceDE w:val="0"/>
              <w:autoSpaceDN w:val="0"/>
              <w:adjustRightInd w:val="0"/>
              <w:spacing w:line="480" w:lineRule="exact"/>
              <w:jc w:val="right"/>
              <w:rPr>
                <w:rFonts w:ascii="宋体"/>
                <w:highlight w:val="none"/>
              </w:rPr>
            </w:pPr>
          </w:p>
        </w:tc>
        <w:tc>
          <w:tcPr>
            <w:tcW w:w="2596" w:type="dxa"/>
          </w:tcPr>
          <w:p>
            <w:pPr>
              <w:autoSpaceDE w:val="0"/>
              <w:autoSpaceDN w:val="0"/>
              <w:adjustRightInd w:val="0"/>
              <w:spacing w:line="480" w:lineRule="exact"/>
              <w:jc w:val="right"/>
              <w:rPr>
                <w:rFonts w:ascii="宋体"/>
                <w:highlight w:val="none"/>
              </w:rPr>
            </w:pPr>
          </w:p>
        </w:tc>
        <w:tc>
          <w:tcPr>
            <w:tcW w:w="1124" w:type="dxa"/>
          </w:tcPr>
          <w:p>
            <w:pPr>
              <w:autoSpaceDE w:val="0"/>
              <w:autoSpaceDN w:val="0"/>
              <w:adjustRightInd w:val="0"/>
              <w:spacing w:line="480" w:lineRule="exact"/>
              <w:jc w:val="right"/>
              <w:rPr>
                <w:rFonts w:ascii="宋体"/>
                <w:highlight w:val="none"/>
              </w:rPr>
            </w:pPr>
          </w:p>
        </w:tc>
        <w:tc>
          <w:tcPr>
            <w:tcW w:w="1018" w:type="dxa"/>
          </w:tcPr>
          <w:p>
            <w:pPr>
              <w:autoSpaceDE w:val="0"/>
              <w:autoSpaceDN w:val="0"/>
              <w:adjustRightInd w:val="0"/>
              <w:spacing w:line="480" w:lineRule="exact"/>
              <w:jc w:val="right"/>
              <w:rPr>
                <w:rFonts w:asci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cantSplit/>
          <w:trHeight w:val="521" w:hRule="exact"/>
        </w:trPr>
        <w:tc>
          <w:tcPr>
            <w:tcW w:w="701" w:type="dxa"/>
            <w:vAlign w:val="center"/>
          </w:tcPr>
          <w:p>
            <w:pPr>
              <w:autoSpaceDE w:val="0"/>
              <w:autoSpaceDN w:val="0"/>
              <w:adjustRightInd w:val="0"/>
              <w:spacing w:line="360" w:lineRule="auto"/>
              <w:ind w:right="84" w:rightChars="40"/>
              <w:jc w:val="center"/>
              <w:rPr>
                <w:rFonts w:ascii="宋体"/>
                <w:highlight w:val="none"/>
              </w:rPr>
            </w:pPr>
            <w:r>
              <w:rPr>
                <w:rFonts w:hint="eastAsia" w:ascii="宋体" w:hAnsi="宋体" w:cs="Arial"/>
                <w:b/>
                <w:szCs w:val="21"/>
                <w:highlight w:val="none"/>
              </w:rPr>
              <w:t>2</w:t>
            </w:r>
          </w:p>
        </w:tc>
        <w:tc>
          <w:tcPr>
            <w:tcW w:w="633" w:type="dxa"/>
          </w:tcPr>
          <w:p>
            <w:pPr>
              <w:autoSpaceDE w:val="0"/>
              <w:autoSpaceDN w:val="0"/>
              <w:adjustRightInd w:val="0"/>
              <w:spacing w:line="480" w:lineRule="exact"/>
              <w:jc w:val="right"/>
              <w:rPr>
                <w:rFonts w:ascii="宋体"/>
                <w:highlight w:val="none"/>
              </w:rPr>
            </w:pPr>
          </w:p>
        </w:tc>
        <w:tc>
          <w:tcPr>
            <w:tcW w:w="2248" w:type="dxa"/>
          </w:tcPr>
          <w:p>
            <w:pPr>
              <w:autoSpaceDE w:val="0"/>
              <w:autoSpaceDN w:val="0"/>
              <w:adjustRightInd w:val="0"/>
              <w:spacing w:line="480" w:lineRule="exact"/>
              <w:jc w:val="right"/>
              <w:rPr>
                <w:rFonts w:ascii="宋体"/>
                <w:highlight w:val="none"/>
              </w:rPr>
            </w:pPr>
          </w:p>
        </w:tc>
        <w:tc>
          <w:tcPr>
            <w:tcW w:w="665" w:type="dxa"/>
          </w:tcPr>
          <w:p>
            <w:pPr>
              <w:autoSpaceDE w:val="0"/>
              <w:autoSpaceDN w:val="0"/>
              <w:adjustRightInd w:val="0"/>
              <w:spacing w:line="480" w:lineRule="exact"/>
              <w:jc w:val="right"/>
              <w:rPr>
                <w:rFonts w:ascii="宋体"/>
                <w:highlight w:val="none"/>
              </w:rPr>
            </w:pPr>
          </w:p>
        </w:tc>
        <w:tc>
          <w:tcPr>
            <w:tcW w:w="2596" w:type="dxa"/>
          </w:tcPr>
          <w:p>
            <w:pPr>
              <w:autoSpaceDE w:val="0"/>
              <w:autoSpaceDN w:val="0"/>
              <w:adjustRightInd w:val="0"/>
              <w:spacing w:line="480" w:lineRule="exact"/>
              <w:jc w:val="right"/>
              <w:rPr>
                <w:rFonts w:ascii="宋体"/>
                <w:highlight w:val="none"/>
              </w:rPr>
            </w:pPr>
          </w:p>
        </w:tc>
        <w:tc>
          <w:tcPr>
            <w:tcW w:w="1124" w:type="dxa"/>
          </w:tcPr>
          <w:p>
            <w:pPr>
              <w:autoSpaceDE w:val="0"/>
              <w:autoSpaceDN w:val="0"/>
              <w:adjustRightInd w:val="0"/>
              <w:spacing w:line="480" w:lineRule="exact"/>
              <w:jc w:val="right"/>
              <w:rPr>
                <w:rFonts w:ascii="宋体"/>
                <w:highlight w:val="none"/>
              </w:rPr>
            </w:pPr>
          </w:p>
        </w:tc>
        <w:tc>
          <w:tcPr>
            <w:tcW w:w="1018" w:type="dxa"/>
          </w:tcPr>
          <w:p>
            <w:pPr>
              <w:autoSpaceDE w:val="0"/>
              <w:autoSpaceDN w:val="0"/>
              <w:adjustRightInd w:val="0"/>
              <w:spacing w:line="480" w:lineRule="exact"/>
              <w:jc w:val="right"/>
              <w:rPr>
                <w:rFonts w:asci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cantSplit/>
          <w:trHeight w:val="440" w:hRule="exact"/>
        </w:trPr>
        <w:tc>
          <w:tcPr>
            <w:tcW w:w="701" w:type="dxa"/>
            <w:vAlign w:val="center"/>
          </w:tcPr>
          <w:p>
            <w:pPr>
              <w:autoSpaceDE w:val="0"/>
              <w:autoSpaceDN w:val="0"/>
              <w:adjustRightInd w:val="0"/>
              <w:spacing w:line="360" w:lineRule="auto"/>
              <w:ind w:right="84" w:rightChars="40"/>
              <w:jc w:val="center"/>
              <w:rPr>
                <w:rFonts w:ascii="宋体"/>
                <w:highlight w:val="none"/>
              </w:rPr>
            </w:pPr>
            <w:r>
              <w:rPr>
                <w:rFonts w:hint="eastAsia" w:ascii="宋体" w:hAnsi="宋体" w:cs="Arial"/>
                <w:b/>
                <w:szCs w:val="21"/>
                <w:highlight w:val="none"/>
              </w:rPr>
              <w:t>3</w:t>
            </w:r>
          </w:p>
        </w:tc>
        <w:tc>
          <w:tcPr>
            <w:tcW w:w="633" w:type="dxa"/>
          </w:tcPr>
          <w:p>
            <w:pPr>
              <w:autoSpaceDE w:val="0"/>
              <w:autoSpaceDN w:val="0"/>
              <w:adjustRightInd w:val="0"/>
              <w:spacing w:line="480" w:lineRule="exact"/>
              <w:jc w:val="right"/>
              <w:rPr>
                <w:rFonts w:ascii="宋体"/>
                <w:highlight w:val="none"/>
              </w:rPr>
            </w:pPr>
          </w:p>
        </w:tc>
        <w:tc>
          <w:tcPr>
            <w:tcW w:w="2248" w:type="dxa"/>
          </w:tcPr>
          <w:p>
            <w:pPr>
              <w:autoSpaceDE w:val="0"/>
              <w:autoSpaceDN w:val="0"/>
              <w:adjustRightInd w:val="0"/>
              <w:spacing w:line="480" w:lineRule="exact"/>
              <w:jc w:val="right"/>
              <w:rPr>
                <w:rFonts w:ascii="宋体"/>
                <w:highlight w:val="none"/>
              </w:rPr>
            </w:pPr>
          </w:p>
        </w:tc>
        <w:tc>
          <w:tcPr>
            <w:tcW w:w="665" w:type="dxa"/>
          </w:tcPr>
          <w:p>
            <w:pPr>
              <w:autoSpaceDE w:val="0"/>
              <w:autoSpaceDN w:val="0"/>
              <w:adjustRightInd w:val="0"/>
              <w:spacing w:line="480" w:lineRule="exact"/>
              <w:jc w:val="right"/>
              <w:rPr>
                <w:rFonts w:ascii="宋体"/>
                <w:highlight w:val="none"/>
              </w:rPr>
            </w:pPr>
          </w:p>
        </w:tc>
        <w:tc>
          <w:tcPr>
            <w:tcW w:w="2596" w:type="dxa"/>
          </w:tcPr>
          <w:p>
            <w:pPr>
              <w:autoSpaceDE w:val="0"/>
              <w:autoSpaceDN w:val="0"/>
              <w:adjustRightInd w:val="0"/>
              <w:spacing w:line="480" w:lineRule="exact"/>
              <w:jc w:val="right"/>
              <w:rPr>
                <w:rFonts w:ascii="宋体"/>
                <w:highlight w:val="none"/>
              </w:rPr>
            </w:pPr>
          </w:p>
        </w:tc>
        <w:tc>
          <w:tcPr>
            <w:tcW w:w="1124" w:type="dxa"/>
          </w:tcPr>
          <w:p>
            <w:pPr>
              <w:autoSpaceDE w:val="0"/>
              <w:autoSpaceDN w:val="0"/>
              <w:adjustRightInd w:val="0"/>
              <w:spacing w:line="480" w:lineRule="exact"/>
              <w:jc w:val="right"/>
              <w:rPr>
                <w:rFonts w:ascii="宋体"/>
                <w:highlight w:val="none"/>
              </w:rPr>
            </w:pPr>
          </w:p>
        </w:tc>
        <w:tc>
          <w:tcPr>
            <w:tcW w:w="1018" w:type="dxa"/>
          </w:tcPr>
          <w:p>
            <w:pPr>
              <w:autoSpaceDE w:val="0"/>
              <w:autoSpaceDN w:val="0"/>
              <w:adjustRightInd w:val="0"/>
              <w:spacing w:line="480" w:lineRule="exact"/>
              <w:jc w:val="right"/>
              <w:rPr>
                <w:rFonts w:asci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cantSplit/>
          <w:trHeight w:val="440" w:hRule="exact"/>
        </w:trPr>
        <w:tc>
          <w:tcPr>
            <w:tcW w:w="701" w:type="dxa"/>
            <w:vAlign w:val="center"/>
          </w:tcPr>
          <w:p>
            <w:pPr>
              <w:autoSpaceDE w:val="0"/>
              <w:autoSpaceDN w:val="0"/>
              <w:adjustRightInd w:val="0"/>
              <w:spacing w:line="360" w:lineRule="auto"/>
              <w:ind w:right="84" w:rightChars="40"/>
              <w:jc w:val="center"/>
              <w:rPr>
                <w:rFonts w:ascii="宋体"/>
                <w:highlight w:val="none"/>
              </w:rPr>
            </w:pPr>
            <w:r>
              <w:rPr>
                <w:rFonts w:hint="eastAsia" w:ascii="宋体" w:hAnsi="宋体" w:cs="Arial"/>
                <w:b/>
                <w:szCs w:val="21"/>
                <w:highlight w:val="none"/>
              </w:rPr>
              <w:t>4</w:t>
            </w:r>
          </w:p>
        </w:tc>
        <w:tc>
          <w:tcPr>
            <w:tcW w:w="633" w:type="dxa"/>
          </w:tcPr>
          <w:p>
            <w:pPr>
              <w:autoSpaceDE w:val="0"/>
              <w:autoSpaceDN w:val="0"/>
              <w:adjustRightInd w:val="0"/>
              <w:spacing w:line="480" w:lineRule="exact"/>
              <w:jc w:val="right"/>
              <w:rPr>
                <w:rFonts w:ascii="宋体"/>
                <w:highlight w:val="none"/>
              </w:rPr>
            </w:pPr>
          </w:p>
        </w:tc>
        <w:tc>
          <w:tcPr>
            <w:tcW w:w="2248" w:type="dxa"/>
          </w:tcPr>
          <w:p>
            <w:pPr>
              <w:autoSpaceDE w:val="0"/>
              <w:autoSpaceDN w:val="0"/>
              <w:adjustRightInd w:val="0"/>
              <w:spacing w:line="480" w:lineRule="exact"/>
              <w:jc w:val="right"/>
              <w:rPr>
                <w:rFonts w:ascii="宋体"/>
                <w:highlight w:val="none"/>
              </w:rPr>
            </w:pPr>
          </w:p>
        </w:tc>
        <w:tc>
          <w:tcPr>
            <w:tcW w:w="665" w:type="dxa"/>
          </w:tcPr>
          <w:p>
            <w:pPr>
              <w:autoSpaceDE w:val="0"/>
              <w:autoSpaceDN w:val="0"/>
              <w:adjustRightInd w:val="0"/>
              <w:spacing w:line="480" w:lineRule="exact"/>
              <w:jc w:val="right"/>
              <w:rPr>
                <w:rFonts w:ascii="宋体"/>
                <w:highlight w:val="none"/>
              </w:rPr>
            </w:pPr>
          </w:p>
        </w:tc>
        <w:tc>
          <w:tcPr>
            <w:tcW w:w="2596" w:type="dxa"/>
          </w:tcPr>
          <w:p>
            <w:pPr>
              <w:autoSpaceDE w:val="0"/>
              <w:autoSpaceDN w:val="0"/>
              <w:adjustRightInd w:val="0"/>
              <w:spacing w:line="480" w:lineRule="exact"/>
              <w:jc w:val="right"/>
              <w:rPr>
                <w:rFonts w:ascii="宋体"/>
                <w:highlight w:val="none"/>
              </w:rPr>
            </w:pPr>
          </w:p>
        </w:tc>
        <w:tc>
          <w:tcPr>
            <w:tcW w:w="1124" w:type="dxa"/>
          </w:tcPr>
          <w:p>
            <w:pPr>
              <w:autoSpaceDE w:val="0"/>
              <w:autoSpaceDN w:val="0"/>
              <w:adjustRightInd w:val="0"/>
              <w:spacing w:line="480" w:lineRule="exact"/>
              <w:jc w:val="right"/>
              <w:rPr>
                <w:rFonts w:ascii="宋体"/>
                <w:highlight w:val="none"/>
              </w:rPr>
            </w:pPr>
          </w:p>
        </w:tc>
        <w:tc>
          <w:tcPr>
            <w:tcW w:w="1018" w:type="dxa"/>
          </w:tcPr>
          <w:p>
            <w:pPr>
              <w:autoSpaceDE w:val="0"/>
              <w:autoSpaceDN w:val="0"/>
              <w:adjustRightInd w:val="0"/>
              <w:spacing w:line="480" w:lineRule="exact"/>
              <w:jc w:val="right"/>
              <w:rPr>
                <w:rFonts w:asci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cantSplit/>
          <w:trHeight w:val="440" w:hRule="exact"/>
        </w:trPr>
        <w:tc>
          <w:tcPr>
            <w:tcW w:w="701" w:type="dxa"/>
            <w:vAlign w:val="center"/>
          </w:tcPr>
          <w:p>
            <w:pPr>
              <w:autoSpaceDE w:val="0"/>
              <w:autoSpaceDN w:val="0"/>
              <w:adjustRightInd w:val="0"/>
              <w:spacing w:line="360" w:lineRule="auto"/>
              <w:ind w:right="84" w:rightChars="40"/>
              <w:jc w:val="center"/>
              <w:rPr>
                <w:rFonts w:ascii="宋体"/>
                <w:highlight w:val="none"/>
              </w:rPr>
            </w:pPr>
            <w:r>
              <w:rPr>
                <w:rFonts w:hint="eastAsia" w:ascii="宋体" w:hAnsi="宋体" w:cs="Arial"/>
                <w:b/>
                <w:szCs w:val="21"/>
                <w:highlight w:val="none"/>
              </w:rPr>
              <w:t>5</w:t>
            </w:r>
          </w:p>
        </w:tc>
        <w:tc>
          <w:tcPr>
            <w:tcW w:w="633" w:type="dxa"/>
          </w:tcPr>
          <w:p>
            <w:pPr>
              <w:autoSpaceDE w:val="0"/>
              <w:autoSpaceDN w:val="0"/>
              <w:adjustRightInd w:val="0"/>
              <w:spacing w:line="480" w:lineRule="exact"/>
              <w:jc w:val="right"/>
              <w:rPr>
                <w:rFonts w:ascii="宋体"/>
                <w:highlight w:val="none"/>
              </w:rPr>
            </w:pPr>
          </w:p>
        </w:tc>
        <w:tc>
          <w:tcPr>
            <w:tcW w:w="2248" w:type="dxa"/>
          </w:tcPr>
          <w:p>
            <w:pPr>
              <w:autoSpaceDE w:val="0"/>
              <w:autoSpaceDN w:val="0"/>
              <w:adjustRightInd w:val="0"/>
              <w:spacing w:line="480" w:lineRule="exact"/>
              <w:jc w:val="right"/>
              <w:rPr>
                <w:rFonts w:ascii="宋体"/>
                <w:highlight w:val="none"/>
              </w:rPr>
            </w:pPr>
          </w:p>
        </w:tc>
        <w:tc>
          <w:tcPr>
            <w:tcW w:w="665" w:type="dxa"/>
          </w:tcPr>
          <w:p>
            <w:pPr>
              <w:autoSpaceDE w:val="0"/>
              <w:autoSpaceDN w:val="0"/>
              <w:adjustRightInd w:val="0"/>
              <w:spacing w:line="480" w:lineRule="exact"/>
              <w:jc w:val="right"/>
              <w:rPr>
                <w:rFonts w:ascii="宋体"/>
                <w:highlight w:val="none"/>
              </w:rPr>
            </w:pPr>
          </w:p>
        </w:tc>
        <w:tc>
          <w:tcPr>
            <w:tcW w:w="2596" w:type="dxa"/>
          </w:tcPr>
          <w:p>
            <w:pPr>
              <w:autoSpaceDE w:val="0"/>
              <w:autoSpaceDN w:val="0"/>
              <w:adjustRightInd w:val="0"/>
              <w:spacing w:line="480" w:lineRule="exact"/>
              <w:jc w:val="right"/>
              <w:rPr>
                <w:rFonts w:ascii="宋体"/>
                <w:highlight w:val="none"/>
              </w:rPr>
            </w:pPr>
          </w:p>
        </w:tc>
        <w:tc>
          <w:tcPr>
            <w:tcW w:w="1124" w:type="dxa"/>
          </w:tcPr>
          <w:p>
            <w:pPr>
              <w:autoSpaceDE w:val="0"/>
              <w:autoSpaceDN w:val="0"/>
              <w:adjustRightInd w:val="0"/>
              <w:spacing w:line="480" w:lineRule="exact"/>
              <w:jc w:val="right"/>
              <w:rPr>
                <w:rFonts w:ascii="宋体"/>
                <w:highlight w:val="none"/>
              </w:rPr>
            </w:pPr>
          </w:p>
        </w:tc>
        <w:tc>
          <w:tcPr>
            <w:tcW w:w="1018" w:type="dxa"/>
          </w:tcPr>
          <w:p>
            <w:pPr>
              <w:autoSpaceDE w:val="0"/>
              <w:autoSpaceDN w:val="0"/>
              <w:adjustRightInd w:val="0"/>
              <w:spacing w:line="480" w:lineRule="exact"/>
              <w:jc w:val="right"/>
              <w:rPr>
                <w:rFonts w:asci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cantSplit/>
          <w:trHeight w:val="440" w:hRule="exact"/>
        </w:trPr>
        <w:tc>
          <w:tcPr>
            <w:tcW w:w="701" w:type="dxa"/>
            <w:vAlign w:val="center"/>
          </w:tcPr>
          <w:p>
            <w:pPr>
              <w:autoSpaceDE w:val="0"/>
              <w:autoSpaceDN w:val="0"/>
              <w:adjustRightInd w:val="0"/>
              <w:spacing w:line="360" w:lineRule="auto"/>
              <w:ind w:right="84" w:rightChars="40"/>
              <w:jc w:val="center"/>
              <w:rPr>
                <w:rFonts w:ascii="宋体"/>
                <w:highlight w:val="none"/>
              </w:rPr>
            </w:pPr>
            <w:r>
              <w:rPr>
                <w:rFonts w:hint="eastAsia" w:ascii="宋体" w:hAnsi="宋体" w:cs="Arial"/>
                <w:b/>
                <w:szCs w:val="21"/>
                <w:highlight w:val="none"/>
              </w:rPr>
              <w:t>...</w:t>
            </w:r>
          </w:p>
        </w:tc>
        <w:tc>
          <w:tcPr>
            <w:tcW w:w="633" w:type="dxa"/>
          </w:tcPr>
          <w:p>
            <w:pPr>
              <w:autoSpaceDE w:val="0"/>
              <w:autoSpaceDN w:val="0"/>
              <w:adjustRightInd w:val="0"/>
              <w:spacing w:line="480" w:lineRule="exact"/>
              <w:jc w:val="right"/>
              <w:rPr>
                <w:rFonts w:ascii="宋体"/>
                <w:highlight w:val="none"/>
              </w:rPr>
            </w:pPr>
          </w:p>
        </w:tc>
        <w:tc>
          <w:tcPr>
            <w:tcW w:w="2248" w:type="dxa"/>
          </w:tcPr>
          <w:p>
            <w:pPr>
              <w:autoSpaceDE w:val="0"/>
              <w:autoSpaceDN w:val="0"/>
              <w:adjustRightInd w:val="0"/>
              <w:spacing w:line="480" w:lineRule="exact"/>
              <w:jc w:val="right"/>
              <w:rPr>
                <w:rFonts w:ascii="宋体"/>
                <w:highlight w:val="none"/>
              </w:rPr>
            </w:pPr>
          </w:p>
        </w:tc>
        <w:tc>
          <w:tcPr>
            <w:tcW w:w="665" w:type="dxa"/>
          </w:tcPr>
          <w:p>
            <w:pPr>
              <w:autoSpaceDE w:val="0"/>
              <w:autoSpaceDN w:val="0"/>
              <w:adjustRightInd w:val="0"/>
              <w:spacing w:line="480" w:lineRule="exact"/>
              <w:jc w:val="right"/>
              <w:rPr>
                <w:rFonts w:ascii="宋体"/>
                <w:highlight w:val="none"/>
              </w:rPr>
            </w:pPr>
          </w:p>
        </w:tc>
        <w:tc>
          <w:tcPr>
            <w:tcW w:w="2596" w:type="dxa"/>
          </w:tcPr>
          <w:p>
            <w:pPr>
              <w:autoSpaceDE w:val="0"/>
              <w:autoSpaceDN w:val="0"/>
              <w:adjustRightInd w:val="0"/>
              <w:spacing w:line="480" w:lineRule="exact"/>
              <w:jc w:val="right"/>
              <w:rPr>
                <w:rFonts w:ascii="宋体"/>
                <w:highlight w:val="none"/>
              </w:rPr>
            </w:pPr>
          </w:p>
        </w:tc>
        <w:tc>
          <w:tcPr>
            <w:tcW w:w="1124" w:type="dxa"/>
          </w:tcPr>
          <w:p>
            <w:pPr>
              <w:autoSpaceDE w:val="0"/>
              <w:autoSpaceDN w:val="0"/>
              <w:adjustRightInd w:val="0"/>
              <w:spacing w:line="480" w:lineRule="exact"/>
              <w:jc w:val="right"/>
              <w:rPr>
                <w:rFonts w:ascii="宋体"/>
                <w:highlight w:val="none"/>
              </w:rPr>
            </w:pPr>
          </w:p>
        </w:tc>
        <w:tc>
          <w:tcPr>
            <w:tcW w:w="1018" w:type="dxa"/>
          </w:tcPr>
          <w:p>
            <w:pPr>
              <w:autoSpaceDE w:val="0"/>
              <w:autoSpaceDN w:val="0"/>
              <w:adjustRightInd w:val="0"/>
              <w:spacing w:line="480" w:lineRule="exact"/>
              <w:jc w:val="right"/>
              <w:rPr>
                <w:rFonts w:ascii="宋体"/>
                <w:highlight w:val="none"/>
              </w:rPr>
            </w:pPr>
          </w:p>
        </w:tc>
      </w:tr>
    </w:tbl>
    <w:p>
      <w:pPr>
        <w:pStyle w:val="13"/>
        <w:spacing w:line="360" w:lineRule="auto"/>
        <w:rPr>
          <w:rFonts w:hint="eastAsia" w:hAnsi="宋体"/>
          <w:b/>
          <w:bCs/>
          <w:szCs w:val="21"/>
          <w:highlight w:val="none"/>
        </w:rPr>
      </w:pPr>
      <w:r>
        <w:rPr>
          <w:rFonts w:hint="eastAsia" w:hAnsi="宋体"/>
          <w:b/>
          <w:bCs/>
          <w:szCs w:val="21"/>
          <w:highlight w:val="none"/>
        </w:rPr>
        <w:t>注：请供应商根据</w:t>
      </w:r>
      <w:r>
        <w:rPr>
          <w:rFonts w:hint="eastAsia" w:hAnsi="宋体" w:cs="Arial"/>
          <w:b/>
          <w:szCs w:val="21"/>
          <w:highlight w:val="none"/>
        </w:rPr>
        <w:t>谈判文件</w:t>
      </w:r>
      <w:r>
        <w:rPr>
          <w:rFonts w:hint="eastAsia" w:hAnsi="宋体"/>
          <w:b/>
          <w:bCs/>
          <w:szCs w:val="21"/>
          <w:highlight w:val="none"/>
        </w:rPr>
        <w:t>用户需求的内容逐项响应</w:t>
      </w:r>
      <w:r>
        <w:rPr>
          <w:rFonts w:hint="eastAsia" w:hAnsi="宋体" w:cs="Arial"/>
          <w:b/>
          <w:szCs w:val="21"/>
          <w:highlight w:val="none"/>
        </w:rPr>
        <w:t>，内容须包括对所有承诺性事项及星标条款（如有）的描述，</w:t>
      </w:r>
      <w:r>
        <w:rPr>
          <w:rFonts w:hint="eastAsia" w:hAnsi="宋体"/>
          <w:b/>
          <w:bCs/>
          <w:szCs w:val="21"/>
          <w:highlight w:val="none"/>
        </w:rPr>
        <w:t>表格不够填写的资料可以另页。证明材料可以附后。</w:t>
      </w:r>
      <w:r>
        <w:rPr>
          <w:rFonts w:hint="eastAsia" w:hAnsi="宋体" w:cs="宋体"/>
          <w:highlight w:val="none"/>
        </w:rPr>
        <w:t>“备注”栏可写明“完全响应”、“正偏离”或“负偏离”，并附上证明材料。</w:t>
      </w:r>
    </w:p>
    <w:p>
      <w:pPr>
        <w:pStyle w:val="13"/>
        <w:spacing w:line="360" w:lineRule="auto"/>
        <w:rPr>
          <w:rFonts w:hint="eastAsia" w:hAnsi="宋体"/>
          <w:b/>
          <w:bCs/>
          <w:szCs w:val="21"/>
          <w:highlight w:val="none"/>
        </w:rPr>
      </w:pPr>
    </w:p>
    <w:p>
      <w:pPr>
        <w:spacing w:line="360" w:lineRule="auto"/>
        <w:ind w:firstLine="2940" w:firstLineChars="1400"/>
        <w:jc w:val="left"/>
        <w:rPr>
          <w:rFonts w:hint="eastAsia" w:ascii="宋体" w:hAnsi="宋体"/>
          <w:szCs w:val="21"/>
          <w:highlight w:val="none"/>
          <w:u w:val="single"/>
        </w:rPr>
      </w:pPr>
      <w:r>
        <w:rPr>
          <w:rFonts w:hint="eastAsia" w:ascii="宋体" w:hAnsi="宋体"/>
          <w:szCs w:val="21"/>
          <w:highlight w:val="none"/>
        </w:rPr>
        <w:t>供应商（单位公章）：</w:t>
      </w:r>
      <w:r>
        <w:rPr>
          <w:rFonts w:hint="eastAsia" w:ascii="宋体" w:hAnsi="宋体"/>
          <w:szCs w:val="21"/>
          <w:highlight w:val="none"/>
          <w:u w:val="single"/>
        </w:rPr>
        <w:t xml:space="preserve">                              </w:t>
      </w:r>
    </w:p>
    <w:p>
      <w:pPr>
        <w:spacing w:before="156" w:beforeLines="50" w:after="156" w:afterLines="50" w:line="360" w:lineRule="auto"/>
        <w:ind w:firstLine="3570" w:firstLineChars="1700"/>
        <w:rPr>
          <w:rFonts w:hint="eastAsia" w:ascii="宋体" w:hAnsi="宋体" w:cs="Arial"/>
          <w:szCs w:val="21"/>
          <w:highlight w:val="none"/>
        </w:rPr>
      </w:pPr>
      <w:r>
        <w:rPr>
          <w:rFonts w:hint="eastAsia" w:ascii="宋体" w:hAnsi="宋体" w:cs="Arial"/>
          <w:szCs w:val="21"/>
          <w:highlight w:val="none"/>
          <w:u w:val="single"/>
        </w:rPr>
        <w:t xml:space="preserve">    </w:t>
      </w:r>
      <w:r>
        <w:rPr>
          <w:rFonts w:hint="eastAsia" w:ascii="宋体" w:hAnsi="宋体" w:cs="Arial"/>
          <w:szCs w:val="21"/>
          <w:highlight w:val="none"/>
        </w:rPr>
        <w:t>年</w:t>
      </w:r>
      <w:r>
        <w:rPr>
          <w:rFonts w:hint="eastAsia" w:ascii="宋体" w:hAnsi="宋体" w:cs="Arial"/>
          <w:szCs w:val="21"/>
          <w:highlight w:val="none"/>
          <w:u w:val="single"/>
        </w:rPr>
        <w:t xml:space="preserve">    </w:t>
      </w:r>
      <w:r>
        <w:rPr>
          <w:rFonts w:hint="eastAsia" w:ascii="宋体" w:hAnsi="宋体" w:cs="Arial"/>
          <w:szCs w:val="21"/>
          <w:highlight w:val="none"/>
        </w:rPr>
        <w:t>月</w:t>
      </w:r>
      <w:r>
        <w:rPr>
          <w:rFonts w:hint="eastAsia" w:ascii="宋体" w:hAnsi="宋体" w:cs="Arial"/>
          <w:szCs w:val="21"/>
          <w:highlight w:val="none"/>
          <w:u w:val="single"/>
        </w:rPr>
        <w:t xml:space="preserve">   </w:t>
      </w:r>
      <w:r>
        <w:rPr>
          <w:rFonts w:hint="eastAsia" w:ascii="宋体" w:hAnsi="宋体" w:cs="Arial"/>
          <w:szCs w:val="21"/>
          <w:highlight w:val="none"/>
        </w:rPr>
        <w:t>日</w:t>
      </w:r>
    </w:p>
    <w:p>
      <w:pPr>
        <w:spacing w:before="156" w:beforeLines="50" w:after="156" w:afterLines="50" w:line="360" w:lineRule="auto"/>
        <w:ind w:firstLine="3570" w:firstLineChars="1700"/>
        <w:rPr>
          <w:rFonts w:hint="eastAsia" w:ascii="宋体" w:hAnsi="宋体" w:cs="Arial"/>
          <w:szCs w:val="21"/>
          <w:highlight w:val="none"/>
        </w:rPr>
      </w:pPr>
    </w:p>
    <w:p>
      <w:pPr>
        <w:spacing w:before="156" w:beforeLines="50" w:after="156" w:afterLines="50" w:line="360" w:lineRule="auto"/>
        <w:ind w:firstLine="3570" w:firstLineChars="1700"/>
        <w:rPr>
          <w:rFonts w:hint="eastAsia" w:ascii="宋体" w:hAnsi="宋体" w:cs="Arial"/>
          <w:szCs w:val="21"/>
          <w:highlight w:val="none"/>
        </w:rPr>
      </w:pPr>
    </w:p>
    <w:p>
      <w:pPr>
        <w:spacing w:before="156" w:beforeLines="50" w:after="156" w:afterLines="50" w:line="360" w:lineRule="auto"/>
        <w:ind w:firstLine="3570" w:firstLineChars="1700"/>
        <w:rPr>
          <w:rFonts w:hint="eastAsia" w:ascii="宋体" w:hAnsi="宋体" w:cs="Arial"/>
          <w:szCs w:val="21"/>
          <w:highlight w:val="none"/>
        </w:rPr>
      </w:pPr>
    </w:p>
    <w:p>
      <w:pPr>
        <w:spacing w:before="156" w:beforeLines="50" w:after="156" w:afterLines="50" w:line="360" w:lineRule="auto"/>
        <w:ind w:firstLine="3570" w:firstLineChars="1700"/>
        <w:rPr>
          <w:rFonts w:hint="eastAsia" w:ascii="宋体" w:hAnsi="宋体" w:cs="Arial"/>
          <w:szCs w:val="21"/>
          <w:highlight w:val="none"/>
        </w:rPr>
      </w:pPr>
    </w:p>
    <w:p>
      <w:pPr>
        <w:spacing w:before="156" w:beforeLines="50" w:after="156" w:afterLines="50" w:line="360" w:lineRule="auto"/>
        <w:ind w:firstLine="3570" w:firstLineChars="1700"/>
        <w:rPr>
          <w:rFonts w:hint="eastAsia" w:ascii="宋体" w:hAnsi="宋体" w:cs="Arial"/>
          <w:szCs w:val="21"/>
          <w:highlight w:val="none"/>
        </w:rPr>
      </w:pPr>
    </w:p>
    <w:p>
      <w:pPr>
        <w:spacing w:before="156" w:beforeLines="50" w:after="156" w:afterLines="50" w:line="360" w:lineRule="auto"/>
        <w:ind w:firstLine="3570" w:firstLineChars="1700"/>
        <w:rPr>
          <w:rFonts w:hint="eastAsia" w:ascii="宋体" w:hAnsi="宋体" w:cs="Arial"/>
          <w:szCs w:val="21"/>
          <w:highlight w:val="none"/>
        </w:rPr>
      </w:pPr>
    </w:p>
    <w:p>
      <w:pPr>
        <w:spacing w:before="156" w:beforeLines="50" w:after="156" w:afterLines="50" w:line="360" w:lineRule="auto"/>
        <w:ind w:firstLine="3570" w:firstLineChars="1700"/>
        <w:rPr>
          <w:rFonts w:hint="eastAsia" w:ascii="宋体" w:hAnsi="宋体" w:cs="Arial"/>
          <w:szCs w:val="21"/>
          <w:highlight w:val="none"/>
        </w:rPr>
      </w:pPr>
    </w:p>
    <w:p>
      <w:pPr>
        <w:spacing w:before="156" w:beforeLines="50" w:after="156" w:afterLines="50" w:line="360" w:lineRule="auto"/>
        <w:ind w:firstLine="3570" w:firstLineChars="1700"/>
        <w:rPr>
          <w:rFonts w:hint="eastAsia" w:ascii="宋体" w:hAnsi="宋体" w:cs="Arial"/>
          <w:szCs w:val="21"/>
          <w:highlight w:val="none"/>
        </w:rPr>
      </w:pPr>
    </w:p>
    <w:p>
      <w:pPr>
        <w:pStyle w:val="4"/>
        <w:pageBreakBefore/>
        <w:spacing w:before="156" w:beforeLines="50" w:after="156" w:afterLines="50" w:line="360" w:lineRule="auto"/>
        <w:ind w:left="0"/>
        <w:jc w:val="center"/>
        <w:rPr>
          <w:b/>
          <w:highlight w:val="none"/>
        </w:rPr>
      </w:pPr>
      <w:bookmarkStart w:id="425" w:name="_Toc29661"/>
      <w:bookmarkStart w:id="426" w:name="_Toc29543"/>
      <w:bookmarkStart w:id="427" w:name="_Toc26091"/>
      <w:bookmarkStart w:id="428" w:name="_Toc13232"/>
      <w:bookmarkStart w:id="429" w:name="_Toc10102"/>
      <w:bookmarkStart w:id="430" w:name="_Toc29341"/>
      <w:bookmarkStart w:id="431" w:name="_Toc21088"/>
      <w:bookmarkStart w:id="432" w:name="_Toc16148"/>
      <w:bookmarkStart w:id="433" w:name="_Toc30290"/>
      <w:bookmarkStart w:id="434" w:name="_Toc27760"/>
      <w:r>
        <w:rPr>
          <w:rFonts w:hint="eastAsia"/>
          <w:b/>
          <w:highlight w:val="none"/>
        </w:rPr>
        <w:t>格式十二、合同响应表</w:t>
      </w:r>
      <w:bookmarkEnd w:id="425"/>
      <w:bookmarkEnd w:id="426"/>
      <w:bookmarkEnd w:id="427"/>
      <w:bookmarkEnd w:id="428"/>
      <w:bookmarkEnd w:id="429"/>
    </w:p>
    <w:p>
      <w:pPr>
        <w:pStyle w:val="5"/>
        <w:rPr>
          <w:highlight w:val="none"/>
        </w:rPr>
      </w:pP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0" w:type="dxa"/>
          <w:bottom w:w="0" w:type="dxa"/>
          <w:right w:w="30" w:type="dxa"/>
        </w:tblCellMar>
      </w:tblPr>
      <w:tblGrid>
        <w:gridCol w:w="701"/>
        <w:gridCol w:w="633"/>
        <w:gridCol w:w="2248"/>
        <w:gridCol w:w="665"/>
        <w:gridCol w:w="2596"/>
        <w:gridCol w:w="1124"/>
        <w:gridCol w:w="10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cantSplit/>
          <w:trHeight w:val="584" w:hRule="atLeast"/>
        </w:trPr>
        <w:tc>
          <w:tcPr>
            <w:tcW w:w="701" w:type="dxa"/>
            <w:vMerge w:val="restart"/>
            <w:vAlign w:val="center"/>
          </w:tcPr>
          <w:p>
            <w:pPr>
              <w:autoSpaceDE w:val="0"/>
              <w:autoSpaceDN w:val="0"/>
              <w:adjustRightInd w:val="0"/>
              <w:spacing w:line="480" w:lineRule="exact"/>
              <w:jc w:val="center"/>
              <w:rPr>
                <w:rFonts w:ascii="宋体"/>
                <w:b/>
                <w:bCs/>
                <w:highlight w:val="none"/>
              </w:rPr>
            </w:pPr>
            <w:r>
              <w:rPr>
                <w:rFonts w:hint="eastAsia" w:ascii="宋体"/>
                <w:b/>
                <w:bCs/>
                <w:highlight w:val="none"/>
              </w:rPr>
              <w:t>序号</w:t>
            </w:r>
          </w:p>
        </w:tc>
        <w:tc>
          <w:tcPr>
            <w:tcW w:w="2881" w:type="dxa"/>
            <w:gridSpan w:val="2"/>
            <w:vAlign w:val="center"/>
          </w:tcPr>
          <w:p>
            <w:pPr>
              <w:autoSpaceDE w:val="0"/>
              <w:autoSpaceDN w:val="0"/>
              <w:adjustRightInd w:val="0"/>
              <w:spacing w:line="480" w:lineRule="exact"/>
              <w:jc w:val="center"/>
              <w:rPr>
                <w:rFonts w:ascii="宋体"/>
                <w:b/>
                <w:bCs/>
                <w:highlight w:val="none"/>
              </w:rPr>
            </w:pPr>
            <w:r>
              <w:rPr>
                <w:rFonts w:hint="eastAsia" w:ascii="宋体" w:hAnsi="宋体" w:cs="Arial"/>
                <w:b/>
                <w:szCs w:val="21"/>
                <w:highlight w:val="none"/>
              </w:rPr>
              <w:t>谈判文件</w:t>
            </w:r>
            <w:r>
              <w:rPr>
                <w:rFonts w:hint="eastAsia" w:ascii="宋体"/>
                <w:b/>
                <w:bCs/>
                <w:highlight w:val="none"/>
              </w:rPr>
              <w:t>合同条款</w:t>
            </w:r>
          </w:p>
        </w:tc>
        <w:tc>
          <w:tcPr>
            <w:tcW w:w="3261" w:type="dxa"/>
            <w:gridSpan w:val="2"/>
            <w:vAlign w:val="center"/>
          </w:tcPr>
          <w:p>
            <w:pPr>
              <w:autoSpaceDE w:val="0"/>
              <w:autoSpaceDN w:val="0"/>
              <w:adjustRightInd w:val="0"/>
              <w:spacing w:line="480" w:lineRule="exact"/>
              <w:jc w:val="center"/>
              <w:rPr>
                <w:rFonts w:ascii="宋体"/>
                <w:b/>
                <w:bCs/>
                <w:highlight w:val="none"/>
              </w:rPr>
            </w:pPr>
            <w:r>
              <w:rPr>
                <w:rFonts w:hint="eastAsia" w:ascii="宋体"/>
                <w:b/>
                <w:bCs/>
                <w:highlight w:val="none"/>
              </w:rPr>
              <w:t>供应商响应内容</w:t>
            </w:r>
          </w:p>
        </w:tc>
        <w:tc>
          <w:tcPr>
            <w:tcW w:w="1124" w:type="dxa"/>
            <w:vAlign w:val="center"/>
          </w:tcPr>
          <w:p>
            <w:pPr>
              <w:autoSpaceDE w:val="0"/>
              <w:autoSpaceDN w:val="0"/>
              <w:adjustRightInd w:val="0"/>
              <w:spacing w:line="480" w:lineRule="exact"/>
              <w:jc w:val="center"/>
              <w:rPr>
                <w:rFonts w:ascii="宋体"/>
                <w:b/>
                <w:bCs/>
                <w:highlight w:val="none"/>
              </w:rPr>
            </w:pPr>
            <w:r>
              <w:rPr>
                <w:rFonts w:hint="eastAsia" w:ascii="宋体"/>
                <w:b/>
                <w:bCs/>
                <w:highlight w:val="none"/>
              </w:rPr>
              <w:t>所在页码</w:t>
            </w:r>
          </w:p>
        </w:tc>
        <w:tc>
          <w:tcPr>
            <w:tcW w:w="1019" w:type="dxa"/>
            <w:vAlign w:val="center"/>
          </w:tcPr>
          <w:p>
            <w:pPr>
              <w:autoSpaceDE w:val="0"/>
              <w:autoSpaceDN w:val="0"/>
              <w:adjustRightInd w:val="0"/>
              <w:spacing w:line="480" w:lineRule="exact"/>
              <w:jc w:val="center"/>
              <w:rPr>
                <w:rFonts w:ascii="宋体"/>
                <w:b/>
                <w:bCs/>
                <w:highlight w:val="none"/>
              </w:rPr>
            </w:pPr>
            <w:r>
              <w:rPr>
                <w:rFonts w:hint="eastAsia" w:ascii="宋体"/>
                <w:b/>
                <w:bCs/>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cantSplit/>
          <w:trHeight w:val="607" w:hRule="atLeast"/>
        </w:trPr>
        <w:tc>
          <w:tcPr>
            <w:tcW w:w="701" w:type="dxa"/>
            <w:vMerge w:val="continue"/>
          </w:tcPr>
          <w:p>
            <w:pPr>
              <w:autoSpaceDE w:val="0"/>
              <w:autoSpaceDN w:val="0"/>
              <w:adjustRightInd w:val="0"/>
              <w:spacing w:line="480" w:lineRule="exact"/>
              <w:jc w:val="center"/>
              <w:rPr>
                <w:rFonts w:ascii="宋体"/>
                <w:b/>
                <w:bCs/>
                <w:highlight w:val="none"/>
              </w:rPr>
            </w:pPr>
          </w:p>
        </w:tc>
        <w:tc>
          <w:tcPr>
            <w:tcW w:w="633" w:type="dxa"/>
            <w:vAlign w:val="center"/>
          </w:tcPr>
          <w:p>
            <w:pPr>
              <w:autoSpaceDE w:val="0"/>
              <w:autoSpaceDN w:val="0"/>
              <w:adjustRightInd w:val="0"/>
              <w:spacing w:line="480" w:lineRule="exact"/>
              <w:jc w:val="center"/>
              <w:rPr>
                <w:rFonts w:ascii="宋体"/>
                <w:b/>
                <w:bCs/>
                <w:highlight w:val="none"/>
              </w:rPr>
            </w:pPr>
            <w:r>
              <w:rPr>
                <w:rFonts w:hint="eastAsia" w:ascii="宋体"/>
                <w:b/>
                <w:bCs/>
                <w:highlight w:val="none"/>
              </w:rPr>
              <w:t>条目</w:t>
            </w:r>
          </w:p>
        </w:tc>
        <w:tc>
          <w:tcPr>
            <w:tcW w:w="2248" w:type="dxa"/>
            <w:vAlign w:val="center"/>
          </w:tcPr>
          <w:p>
            <w:pPr>
              <w:autoSpaceDE w:val="0"/>
              <w:autoSpaceDN w:val="0"/>
              <w:adjustRightInd w:val="0"/>
              <w:spacing w:line="480" w:lineRule="exact"/>
              <w:jc w:val="center"/>
              <w:rPr>
                <w:rFonts w:ascii="宋体"/>
                <w:b/>
                <w:bCs/>
                <w:highlight w:val="none"/>
              </w:rPr>
            </w:pPr>
            <w:r>
              <w:rPr>
                <w:rFonts w:hint="eastAsia" w:ascii="宋体"/>
                <w:b/>
                <w:bCs/>
                <w:highlight w:val="none"/>
              </w:rPr>
              <w:t>简要内容</w:t>
            </w:r>
          </w:p>
        </w:tc>
        <w:tc>
          <w:tcPr>
            <w:tcW w:w="665" w:type="dxa"/>
            <w:vAlign w:val="center"/>
          </w:tcPr>
          <w:p>
            <w:pPr>
              <w:autoSpaceDE w:val="0"/>
              <w:autoSpaceDN w:val="0"/>
              <w:adjustRightInd w:val="0"/>
              <w:spacing w:line="480" w:lineRule="exact"/>
              <w:jc w:val="center"/>
              <w:rPr>
                <w:rFonts w:ascii="宋体"/>
                <w:b/>
                <w:bCs/>
                <w:highlight w:val="none"/>
              </w:rPr>
            </w:pPr>
            <w:r>
              <w:rPr>
                <w:rFonts w:hint="eastAsia" w:ascii="宋体"/>
                <w:b/>
                <w:bCs/>
                <w:highlight w:val="none"/>
              </w:rPr>
              <w:t>条目</w:t>
            </w:r>
          </w:p>
        </w:tc>
        <w:tc>
          <w:tcPr>
            <w:tcW w:w="2596" w:type="dxa"/>
            <w:vAlign w:val="center"/>
          </w:tcPr>
          <w:p>
            <w:pPr>
              <w:autoSpaceDE w:val="0"/>
              <w:autoSpaceDN w:val="0"/>
              <w:adjustRightInd w:val="0"/>
              <w:spacing w:line="480" w:lineRule="exact"/>
              <w:jc w:val="center"/>
              <w:rPr>
                <w:rFonts w:ascii="宋体"/>
                <w:b/>
                <w:bCs/>
                <w:highlight w:val="none"/>
              </w:rPr>
            </w:pPr>
            <w:r>
              <w:rPr>
                <w:rFonts w:hint="eastAsia" w:ascii="宋体"/>
                <w:b/>
                <w:bCs/>
                <w:highlight w:val="none"/>
              </w:rPr>
              <w:t>实际响应的具体内容</w:t>
            </w:r>
          </w:p>
        </w:tc>
        <w:tc>
          <w:tcPr>
            <w:tcW w:w="1124" w:type="dxa"/>
            <w:vAlign w:val="center"/>
          </w:tcPr>
          <w:p>
            <w:pPr>
              <w:autoSpaceDE w:val="0"/>
              <w:autoSpaceDN w:val="0"/>
              <w:adjustRightInd w:val="0"/>
              <w:spacing w:line="480" w:lineRule="exact"/>
              <w:jc w:val="center"/>
              <w:rPr>
                <w:rFonts w:ascii="宋体"/>
                <w:b/>
                <w:bCs/>
                <w:highlight w:val="none"/>
              </w:rPr>
            </w:pPr>
          </w:p>
        </w:tc>
        <w:tc>
          <w:tcPr>
            <w:tcW w:w="1018" w:type="dxa"/>
            <w:vAlign w:val="center"/>
          </w:tcPr>
          <w:p>
            <w:pPr>
              <w:autoSpaceDE w:val="0"/>
              <w:autoSpaceDN w:val="0"/>
              <w:adjustRightInd w:val="0"/>
              <w:spacing w:line="480" w:lineRule="exact"/>
              <w:jc w:val="center"/>
              <w:rPr>
                <w:rFonts w:ascii="宋体"/>
                <w:b/>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cantSplit/>
          <w:trHeight w:val="440" w:hRule="exact"/>
        </w:trPr>
        <w:tc>
          <w:tcPr>
            <w:tcW w:w="701" w:type="dxa"/>
            <w:vAlign w:val="center"/>
          </w:tcPr>
          <w:p>
            <w:pPr>
              <w:autoSpaceDE w:val="0"/>
              <w:autoSpaceDN w:val="0"/>
              <w:adjustRightInd w:val="0"/>
              <w:spacing w:line="360" w:lineRule="auto"/>
              <w:ind w:right="84" w:rightChars="40"/>
              <w:jc w:val="center"/>
              <w:rPr>
                <w:rFonts w:ascii="宋体"/>
                <w:highlight w:val="none"/>
              </w:rPr>
            </w:pPr>
            <w:r>
              <w:rPr>
                <w:rFonts w:hint="eastAsia" w:ascii="宋体" w:hAnsi="宋体" w:cs="Arial"/>
                <w:b/>
                <w:szCs w:val="21"/>
                <w:highlight w:val="none"/>
              </w:rPr>
              <w:t>1</w:t>
            </w:r>
          </w:p>
        </w:tc>
        <w:tc>
          <w:tcPr>
            <w:tcW w:w="633" w:type="dxa"/>
          </w:tcPr>
          <w:p>
            <w:pPr>
              <w:autoSpaceDE w:val="0"/>
              <w:autoSpaceDN w:val="0"/>
              <w:adjustRightInd w:val="0"/>
              <w:spacing w:line="480" w:lineRule="exact"/>
              <w:jc w:val="right"/>
              <w:rPr>
                <w:rFonts w:ascii="宋体"/>
                <w:highlight w:val="none"/>
              </w:rPr>
            </w:pPr>
          </w:p>
        </w:tc>
        <w:tc>
          <w:tcPr>
            <w:tcW w:w="2248" w:type="dxa"/>
          </w:tcPr>
          <w:p>
            <w:pPr>
              <w:autoSpaceDE w:val="0"/>
              <w:autoSpaceDN w:val="0"/>
              <w:adjustRightInd w:val="0"/>
              <w:spacing w:line="480" w:lineRule="exact"/>
              <w:jc w:val="right"/>
              <w:rPr>
                <w:rFonts w:ascii="宋体"/>
                <w:highlight w:val="none"/>
              </w:rPr>
            </w:pPr>
          </w:p>
        </w:tc>
        <w:tc>
          <w:tcPr>
            <w:tcW w:w="665" w:type="dxa"/>
          </w:tcPr>
          <w:p>
            <w:pPr>
              <w:autoSpaceDE w:val="0"/>
              <w:autoSpaceDN w:val="0"/>
              <w:adjustRightInd w:val="0"/>
              <w:spacing w:line="480" w:lineRule="exact"/>
              <w:jc w:val="right"/>
              <w:rPr>
                <w:rFonts w:ascii="宋体"/>
                <w:highlight w:val="none"/>
              </w:rPr>
            </w:pPr>
          </w:p>
        </w:tc>
        <w:tc>
          <w:tcPr>
            <w:tcW w:w="2596" w:type="dxa"/>
          </w:tcPr>
          <w:p>
            <w:pPr>
              <w:autoSpaceDE w:val="0"/>
              <w:autoSpaceDN w:val="0"/>
              <w:adjustRightInd w:val="0"/>
              <w:spacing w:line="480" w:lineRule="exact"/>
              <w:jc w:val="right"/>
              <w:rPr>
                <w:rFonts w:ascii="宋体"/>
                <w:highlight w:val="none"/>
              </w:rPr>
            </w:pPr>
          </w:p>
        </w:tc>
        <w:tc>
          <w:tcPr>
            <w:tcW w:w="1124" w:type="dxa"/>
          </w:tcPr>
          <w:p>
            <w:pPr>
              <w:autoSpaceDE w:val="0"/>
              <w:autoSpaceDN w:val="0"/>
              <w:adjustRightInd w:val="0"/>
              <w:spacing w:line="480" w:lineRule="exact"/>
              <w:jc w:val="right"/>
              <w:rPr>
                <w:rFonts w:ascii="宋体"/>
                <w:highlight w:val="none"/>
              </w:rPr>
            </w:pPr>
          </w:p>
        </w:tc>
        <w:tc>
          <w:tcPr>
            <w:tcW w:w="1018" w:type="dxa"/>
          </w:tcPr>
          <w:p>
            <w:pPr>
              <w:autoSpaceDE w:val="0"/>
              <w:autoSpaceDN w:val="0"/>
              <w:adjustRightInd w:val="0"/>
              <w:spacing w:line="480" w:lineRule="exact"/>
              <w:jc w:val="right"/>
              <w:rPr>
                <w:rFonts w:asci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cantSplit/>
          <w:trHeight w:val="521" w:hRule="exact"/>
        </w:trPr>
        <w:tc>
          <w:tcPr>
            <w:tcW w:w="701" w:type="dxa"/>
            <w:vAlign w:val="center"/>
          </w:tcPr>
          <w:p>
            <w:pPr>
              <w:autoSpaceDE w:val="0"/>
              <w:autoSpaceDN w:val="0"/>
              <w:adjustRightInd w:val="0"/>
              <w:spacing w:line="360" w:lineRule="auto"/>
              <w:ind w:right="84" w:rightChars="40"/>
              <w:jc w:val="center"/>
              <w:rPr>
                <w:rFonts w:ascii="宋体"/>
                <w:highlight w:val="none"/>
              </w:rPr>
            </w:pPr>
            <w:r>
              <w:rPr>
                <w:rFonts w:hint="eastAsia" w:ascii="宋体" w:hAnsi="宋体" w:cs="Arial"/>
                <w:b/>
                <w:szCs w:val="21"/>
                <w:highlight w:val="none"/>
              </w:rPr>
              <w:t>2</w:t>
            </w:r>
          </w:p>
        </w:tc>
        <w:tc>
          <w:tcPr>
            <w:tcW w:w="633" w:type="dxa"/>
          </w:tcPr>
          <w:p>
            <w:pPr>
              <w:autoSpaceDE w:val="0"/>
              <w:autoSpaceDN w:val="0"/>
              <w:adjustRightInd w:val="0"/>
              <w:spacing w:line="480" w:lineRule="exact"/>
              <w:jc w:val="right"/>
              <w:rPr>
                <w:rFonts w:ascii="宋体"/>
                <w:highlight w:val="none"/>
              </w:rPr>
            </w:pPr>
          </w:p>
        </w:tc>
        <w:tc>
          <w:tcPr>
            <w:tcW w:w="2248" w:type="dxa"/>
          </w:tcPr>
          <w:p>
            <w:pPr>
              <w:autoSpaceDE w:val="0"/>
              <w:autoSpaceDN w:val="0"/>
              <w:adjustRightInd w:val="0"/>
              <w:spacing w:line="480" w:lineRule="exact"/>
              <w:jc w:val="right"/>
              <w:rPr>
                <w:rFonts w:ascii="宋体"/>
                <w:highlight w:val="none"/>
              </w:rPr>
            </w:pPr>
          </w:p>
        </w:tc>
        <w:tc>
          <w:tcPr>
            <w:tcW w:w="665" w:type="dxa"/>
          </w:tcPr>
          <w:p>
            <w:pPr>
              <w:autoSpaceDE w:val="0"/>
              <w:autoSpaceDN w:val="0"/>
              <w:adjustRightInd w:val="0"/>
              <w:spacing w:line="480" w:lineRule="exact"/>
              <w:jc w:val="right"/>
              <w:rPr>
                <w:rFonts w:ascii="宋体"/>
                <w:highlight w:val="none"/>
              </w:rPr>
            </w:pPr>
          </w:p>
        </w:tc>
        <w:tc>
          <w:tcPr>
            <w:tcW w:w="2596" w:type="dxa"/>
          </w:tcPr>
          <w:p>
            <w:pPr>
              <w:autoSpaceDE w:val="0"/>
              <w:autoSpaceDN w:val="0"/>
              <w:adjustRightInd w:val="0"/>
              <w:spacing w:line="480" w:lineRule="exact"/>
              <w:jc w:val="right"/>
              <w:rPr>
                <w:rFonts w:ascii="宋体"/>
                <w:highlight w:val="none"/>
              </w:rPr>
            </w:pPr>
          </w:p>
        </w:tc>
        <w:tc>
          <w:tcPr>
            <w:tcW w:w="1124" w:type="dxa"/>
          </w:tcPr>
          <w:p>
            <w:pPr>
              <w:autoSpaceDE w:val="0"/>
              <w:autoSpaceDN w:val="0"/>
              <w:adjustRightInd w:val="0"/>
              <w:spacing w:line="480" w:lineRule="exact"/>
              <w:jc w:val="right"/>
              <w:rPr>
                <w:rFonts w:ascii="宋体"/>
                <w:highlight w:val="none"/>
              </w:rPr>
            </w:pPr>
          </w:p>
        </w:tc>
        <w:tc>
          <w:tcPr>
            <w:tcW w:w="1018" w:type="dxa"/>
          </w:tcPr>
          <w:p>
            <w:pPr>
              <w:autoSpaceDE w:val="0"/>
              <w:autoSpaceDN w:val="0"/>
              <w:adjustRightInd w:val="0"/>
              <w:spacing w:line="480" w:lineRule="exact"/>
              <w:jc w:val="right"/>
              <w:rPr>
                <w:rFonts w:asci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cantSplit/>
          <w:trHeight w:val="440" w:hRule="exact"/>
        </w:trPr>
        <w:tc>
          <w:tcPr>
            <w:tcW w:w="701" w:type="dxa"/>
            <w:vAlign w:val="center"/>
          </w:tcPr>
          <w:p>
            <w:pPr>
              <w:autoSpaceDE w:val="0"/>
              <w:autoSpaceDN w:val="0"/>
              <w:adjustRightInd w:val="0"/>
              <w:spacing w:line="360" w:lineRule="auto"/>
              <w:ind w:right="84" w:rightChars="40"/>
              <w:jc w:val="center"/>
              <w:rPr>
                <w:rFonts w:ascii="宋体"/>
                <w:highlight w:val="none"/>
              </w:rPr>
            </w:pPr>
            <w:r>
              <w:rPr>
                <w:rFonts w:hint="eastAsia" w:ascii="宋体" w:hAnsi="宋体" w:cs="Arial"/>
                <w:b/>
                <w:szCs w:val="21"/>
                <w:highlight w:val="none"/>
              </w:rPr>
              <w:t>3</w:t>
            </w:r>
          </w:p>
        </w:tc>
        <w:tc>
          <w:tcPr>
            <w:tcW w:w="633" w:type="dxa"/>
          </w:tcPr>
          <w:p>
            <w:pPr>
              <w:autoSpaceDE w:val="0"/>
              <w:autoSpaceDN w:val="0"/>
              <w:adjustRightInd w:val="0"/>
              <w:spacing w:line="480" w:lineRule="exact"/>
              <w:jc w:val="right"/>
              <w:rPr>
                <w:rFonts w:ascii="宋体"/>
                <w:highlight w:val="none"/>
              </w:rPr>
            </w:pPr>
          </w:p>
        </w:tc>
        <w:tc>
          <w:tcPr>
            <w:tcW w:w="2248" w:type="dxa"/>
          </w:tcPr>
          <w:p>
            <w:pPr>
              <w:autoSpaceDE w:val="0"/>
              <w:autoSpaceDN w:val="0"/>
              <w:adjustRightInd w:val="0"/>
              <w:spacing w:line="480" w:lineRule="exact"/>
              <w:jc w:val="right"/>
              <w:rPr>
                <w:rFonts w:ascii="宋体"/>
                <w:highlight w:val="none"/>
              </w:rPr>
            </w:pPr>
          </w:p>
        </w:tc>
        <w:tc>
          <w:tcPr>
            <w:tcW w:w="665" w:type="dxa"/>
          </w:tcPr>
          <w:p>
            <w:pPr>
              <w:autoSpaceDE w:val="0"/>
              <w:autoSpaceDN w:val="0"/>
              <w:adjustRightInd w:val="0"/>
              <w:spacing w:line="480" w:lineRule="exact"/>
              <w:jc w:val="right"/>
              <w:rPr>
                <w:rFonts w:ascii="宋体"/>
                <w:highlight w:val="none"/>
              </w:rPr>
            </w:pPr>
          </w:p>
        </w:tc>
        <w:tc>
          <w:tcPr>
            <w:tcW w:w="2596" w:type="dxa"/>
          </w:tcPr>
          <w:p>
            <w:pPr>
              <w:autoSpaceDE w:val="0"/>
              <w:autoSpaceDN w:val="0"/>
              <w:adjustRightInd w:val="0"/>
              <w:spacing w:line="480" w:lineRule="exact"/>
              <w:jc w:val="right"/>
              <w:rPr>
                <w:rFonts w:ascii="宋体"/>
                <w:highlight w:val="none"/>
              </w:rPr>
            </w:pPr>
          </w:p>
        </w:tc>
        <w:tc>
          <w:tcPr>
            <w:tcW w:w="1124" w:type="dxa"/>
          </w:tcPr>
          <w:p>
            <w:pPr>
              <w:autoSpaceDE w:val="0"/>
              <w:autoSpaceDN w:val="0"/>
              <w:adjustRightInd w:val="0"/>
              <w:spacing w:line="480" w:lineRule="exact"/>
              <w:jc w:val="right"/>
              <w:rPr>
                <w:rFonts w:ascii="宋体"/>
                <w:highlight w:val="none"/>
              </w:rPr>
            </w:pPr>
          </w:p>
        </w:tc>
        <w:tc>
          <w:tcPr>
            <w:tcW w:w="1018" w:type="dxa"/>
          </w:tcPr>
          <w:p>
            <w:pPr>
              <w:autoSpaceDE w:val="0"/>
              <w:autoSpaceDN w:val="0"/>
              <w:adjustRightInd w:val="0"/>
              <w:spacing w:line="480" w:lineRule="exact"/>
              <w:jc w:val="right"/>
              <w:rPr>
                <w:rFonts w:asci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cantSplit/>
          <w:trHeight w:val="440" w:hRule="exact"/>
        </w:trPr>
        <w:tc>
          <w:tcPr>
            <w:tcW w:w="701" w:type="dxa"/>
            <w:vAlign w:val="center"/>
          </w:tcPr>
          <w:p>
            <w:pPr>
              <w:autoSpaceDE w:val="0"/>
              <w:autoSpaceDN w:val="0"/>
              <w:adjustRightInd w:val="0"/>
              <w:spacing w:line="360" w:lineRule="auto"/>
              <w:ind w:right="84" w:rightChars="40"/>
              <w:jc w:val="center"/>
              <w:rPr>
                <w:rFonts w:ascii="宋体"/>
                <w:highlight w:val="none"/>
              </w:rPr>
            </w:pPr>
            <w:r>
              <w:rPr>
                <w:rFonts w:hint="eastAsia" w:ascii="宋体" w:hAnsi="宋体" w:cs="Arial"/>
                <w:b/>
                <w:szCs w:val="21"/>
                <w:highlight w:val="none"/>
              </w:rPr>
              <w:t>4</w:t>
            </w:r>
          </w:p>
        </w:tc>
        <w:tc>
          <w:tcPr>
            <w:tcW w:w="633" w:type="dxa"/>
          </w:tcPr>
          <w:p>
            <w:pPr>
              <w:autoSpaceDE w:val="0"/>
              <w:autoSpaceDN w:val="0"/>
              <w:adjustRightInd w:val="0"/>
              <w:spacing w:line="480" w:lineRule="exact"/>
              <w:jc w:val="right"/>
              <w:rPr>
                <w:rFonts w:ascii="宋体"/>
                <w:highlight w:val="none"/>
              </w:rPr>
            </w:pPr>
          </w:p>
        </w:tc>
        <w:tc>
          <w:tcPr>
            <w:tcW w:w="2248" w:type="dxa"/>
          </w:tcPr>
          <w:p>
            <w:pPr>
              <w:autoSpaceDE w:val="0"/>
              <w:autoSpaceDN w:val="0"/>
              <w:adjustRightInd w:val="0"/>
              <w:spacing w:line="480" w:lineRule="exact"/>
              <w:jc w:val="right"/>
              <w:rPr>
                <w:rFonts w:ascii="宋体"/>
                <w:highlight w:val="none"/>
              </w:rPr>
            </w:pPr>
          </w:p>
        </w:tc>
        <w:tc>
          <w:tcPr>
            <w:tcW w:w="665" w:type="dxa"/>
          </w:tcPr>
          <w:p>
            <w:pPr>
              <w:autoSpaceDE w:val="0"/>
              <w:autoSpaceDN w:val="0"/>
              <w:adjustRightInd w:val="0"/>
              <w:spacing w:line="480" w:lineRule="exact"/>
              <w:jc w:val="right"/>
              <w:rPr>
                <w:rFonts w:ascii="宋体"/>
                <w:highlight w:val="none"/>
              </w:rPr>
            </w:pPr>
          </w:p>
        </w:tc>
        <w:tc>
          <w:tcPr>
            <w:tcW w:w="2596" w:type="dxa"/>
          </w:tcPr>
          <w:p>
            <w:pPr>
              <w:autoSpaceDE w:val="0"/>
              <w:autoSpaceDN w:val="0"/>
              <w:adjustRightInd w:val="0"/>
              <w:spacing w:line="480" w:lineRule="exact"/>
              <w:jc w:val="right"/>
              <w:rPr>
                <w:rFonts w:ascii="宋体"/>
                <w:highlight w:val="none"/>
              </w:rPr>
            </w:pPr>
          </w:p>
        </w:tc>
        <w:tc>
          <w:tcPr>
            <w:tcW w:w="1124" w:type="dxa"/>
          </w:tcPr>
          <w:p>
            <w:pPr>
              <w:autoSpaceDE w:val="0"/>
              <w:autoSpaceDN w:val="0"/>
              <w:adjustRightInd w:val="0"/>
              <w:spacing w:line="480" w:lineRule="exact"/>
              <w:jc w:val="right"/>
              <w:rPr>
                <w:rFonts w:ascii="宋体"/>
                <w:highlight w:val="none"/>
              </w:rPr>
            </w:pPr>
          </w:p>
        </w:tc>
        <w:tc>
          <w:tcPr>
            <w:tcW w:w="1018" w:type="dxa"/>
          </w:tcPr>
          <w:p>
            <w:pPr>
              <w:autoSpaceDE w:val="0"/>
              <w:autoSpaceDN w:val="0"/>
              <w:adjustRightInd w:val="0"/>
              <w:spacing w:line="480" w:lineRule="exact"/>
              <w:jc w:val="right"/>
              <w:rPr>
                <w:rFonts w:asci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cantSplit/>
          <w:trHeight w:val="440" w:hRule="exact"/>
        </w:trPr>
        <w:tc>
          <w:tcPr>
            <w:tcW w:w="701" w:type="dxa"/>
            <w:vAlign w:val="center"/>
          </w:tcPr>
          <w:p>
            <w:pPr>
              <w:autoSpaceDE w:val="0"/>
              <w:autoSpaceDN w:val="0"/>
              <w:adjustRightInd w:val="0"/>
              <w:spacing w:line="360" w:lineRule="auto"/>
              <w:ind w:right="84" w:rightChars="40"/>
              <w:jc w:val="center"/>
              <w:rPr>
                <w:rFonts w:ascii="宋体"/>
                <w:highlight w:val="none"/>
              </w:rPr>
            </w:pPr>
            <w:r>
              <w:rPr>
                <w:rFonts w:hint="eastAsia" w:ascii="宋体" w:hAnsi="宋体" w:cs="Arial"/>
                <w:b/>
                <w:szCs w:val="21"/>
                <w:highlight w:val="none"/>
              </w:rPr>
              <w:t>5</w:t>
            </w:r>
          </w:p>
        </w:tc>
        <w:tc>
          <w:tcPr>
            <w:tcW w:w="633" w:type="dxa"/>
          </w:tcPr>
          <w:p>
            <w:pPr>
              <w:autoSpaceDE w:val="0"/>
              <w:autoSpaceDN w:val="0"/>
              <w:adjustRightInd w:val="0"/>
              <w:spacing w:line="480" w:lineRule="exact"/>
              <w:jc w:val="right"/>
              <w:rPr>
                <w:rFonts w:ascii="宋体"/>
                <w:highlight w:val="none"/>
              </w:rPr>
            </w:pPr>
          </w:p>
        </w:tc>
        <w:tc>
          <w:tcPr>
            <w:tcW w:w="2248" w:type="dxa"/>
          </w:tcPr>
          <w:p>
            <w:pPr>
              <w:autoSpaceDE w:val="0"/>
              <w:autoSpaceDN w:val="0"/>
              <w:adjustRightInd w:val="0"/>
              <w:spacing w:line="480" w:lineRule="exact"/>
              <w:jc w:val="right"/>
              <w:rPr>
                <w:rFonts w:ascii="宋体"/>
                <w:highlight w:val="none"/>
              </w:rPr>
            </w:pPr>
          </w:p>
        </w:tc>
        <w:tc>
          <w:tcPr>
            <w:tcW w:w="665" w:type="dxa"/>
          </w:tcPr>
          <w:p>
            <w:pPr>
              <w:autoSpaceDE w:val="0"/>
              <w:autoSpaceDN w:val="0"/>
              <w:adjustRightInd w:val="0"/>
              <w:spacing w:line="480" w:lineRule="exact"/>
              <w:jc w:val="right"/>
              <w:rPr>
                <w:rFonts w:ascii="宋体"/>
                <w:highlight w:val="none"/>
              </w:rPr>
            </w:pPr>
          </w:p>
        </w:tc>
        <w:tc>
          <w:tcPr>
            <w:tcW w:w="2596" w:type="dxa"/>
          </w:tcPr>
          <w:p>
            <w:pPr>
              <w:autoSpaceDE w:val="0"/>
              <w:autoSpaceDN w:val="0"/>
              <w:adjustRightInd w:val="0"/>
              <w:spacing w:line="480" w:lineRule="exact"/>
              <w:jc w:val="right"/>
              <w:rPr>
                <w:rFonts w:ascii="宋体"/>
                <w:highlight w:val="none"/>
              </w:rPr>
            </w:pPr>
          </w:p>
        </w:tc>
        <w:tc>
          <w:tcPr>
            <w:tcW w:w="1124" w:type="dxa"/>
          </w:tcPr>
          <w:p>
            <w:pPr>
              <w:autoSpaceDE w:val="0"/>
              <w:autoSpaceDN w:val="0"/>
              <w:adjustRightInd w:val="0"/>
              <w:spacing w:line="480" w:lineRule="exact"/>
              <w:jc w:val="right"/>
              <w:rPr>
                <w:rFonts w:ascii="宋体"/>
                <w:highlight w:val="none"/>
              </w:rPr>
            </w:pPr>
          </w:p>
        </w:tc>
        <w:tc>
          <w:tcPr>
            <w:tcW w:w="1018" w:type="dxa"/>
          </w:tcPr>
          <w:p>
            <w:pPr>
              <w:autoSpaceDE w:val="0"/>
              <w:autoSpaceDN w:val="0"/>
              <w:adjustRightInd w:val="0"/>
              <w:spacing w:line="480" w:lineRule="exact"/>
              <w:jc w:val="right"/>
              <w:rPr>
                <w:rFonts w:asci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cantSplit/>
          <w:trHeight w:val="440" w:hRule="exact"/>
        </w:trPr>
        <w:tc>
          <w:tcPr>
            <w:tcW w:w="701" w:type="dxa"/>
            <w:vAlign w:val="center"/>
          </w:tcPr>
          <w:p>
            <w:pPr>
              <w:autoSpaceDE w:val="0"/>
              <w:autoSpaceDN w:val="0"/>
              <w:adjustRightInd w:val="0"/>
              <w:spacing w:line="360" w:lineRule="auto"/>
              <w:ind w:right="84" w:rightChars="40"/>
              <w:jc w:val="center"/>
              <w:rPr>
                <w:rFonts w:ascii="宋体"/>
                <w:highlight w:val="none"/>
              </w:rPr>
            </w:pPr>
            <w:r>
              <w:rPr>
                <w:rFonts w:hint="eastAsia" w:ascii="宋体" w:hAnsi="宋体" w:cs="Arial"/>
                <w:b/>
                <w:szCs w:val="21"/>
                <w:highlight w:val="none"/>
              </w:rPr>
              <w:t>...</w:t>
            </w:r>
          </w:p>
        </w:tc>
        <w:tc>
          <w:tcPr>
            <w:tcW w:w="633" w:type="dxa"/>
          </w:tcPr>
          <w:p>
            <w:pPr>
              <w:autoSpaceDE w:val="0"/>
              <w:autoSpaceDN w:val="0"/>
              <w:adjustRightInd w:val="0"/>
              <w:spacing w:line="480" w:lineRule="exact"/>
              <w:jc w:val="right"/>
              <w:rPr>
                <w:rFonts w:ascii="宋体"/>
                <w:highlight w:val="none"/>
              </w:rPr>
            </w:pPr>
          </w:p>
        </w:tc>
        <w:tc>
          <w:tcPr>
            <w:tcW w:w="2248" w:type="dxa"/>
          </w:tcPr>
          <w:p>
            <w:pPr>
              <w:autoSpaceDE w:val="0"/>
              <w:autoSpaceDN w:val="0"/>
              <w:adjustRightInd w:val="0"/>
              <w:spacing w:line="480" w:lineRule="exact"/>
              <w:jc w:val="right"/>
              <w:rPr>
                <w:rFonts w:ascii="宋体"/>
                <w:highlight w:val="none"/>
              </w:rPr>
            </w:pPr>
          </w:p>
        </w:tc>
        <w:tc>
          <w:tcPr>
            <w:tcW w:w="665" w:type="dxa"/>
          </w:tcPr>
          <w:p>
            <w:pPr>
              <w:autoSpaceDE w:val="0"/>
              <w:autoSpaceDN w:val="0"/>
              <w:adjustRightInd w:val="0"/>
              <w:spacing w:line="480" w:lineRule="exact"/>
              <w:jc w:val="right"/>
              <w:rPr>
                <w:rFonts w:ascii="宋体"/>
                <w:highlight w:val="none"/>
              </w:rPr>
            </w:pPr>
          </w:p>
        </w:tc>
        <w:tc>
          <w:tcPr>
            <w:tcW w:w="2596" w:type="dxa"/>
          </w:tcPr>
          <w:p>
            <w:pPr>
              <w:autoSpaceDE w:val="0"/>
              <w:autoSpaceDN w:val="0"/>
              <w:adjustRightInd w:val="0"/>
              <w:spacing w:line="480" w:lineRule="exact"/>
              <w:jc w:val="right"/>
              <w:rPr>
                <w:rFonts w:ascii="宋体"/>
                <w:highlight w:val="none"/>
              </w:rPr>
            </w:pPr>
          </w:p>
        </w:tc>
        <w:tc>
          <w:tcPr>
            <w:tcW w:w="1124" w:type="dxa"/>
          </w:tcPr>
          <w:p>
            <w:pPr>
              <w:autoSpaceDE w:val="0"/>
              <w:autoSpaceDN w:val="0"/>
              <w:adjustRightInd w:val="0"/>
              <w:spacing w:line="480" w:lineRule="exact"/>
              <w:jc w:val="right"/>
              <w:rPr>
                <w:rFonts w:ascii="宋体"/>
                <w:highlight w:val="none"/>
              </w:rPr>
            </w:pPr>
          </w:p>
        </w:tc>
        <w:tc>
          <w:tcPr>
            <w:tcW w:w="1018" w:type="dxa"/>
          </w:tcPr>
          <w:p>
            <w:pPr>
              <w:autoSpaceDE w:val="0"/>
              <w:autoSpaceDN w:val="0"/>
              <w:adjustRightInd w:val="0"/>
              <w:spacing w:line="480" w:lineRule="exact"/>
              <w:jc w:val="right"/>
              <w:rPr>
                <w:rFonts w:ascii="宋体"/>
                <w:highlight w:val="none"/>
              </w:rPr>
            </w:pPr>
          </w:p>
        </w:tc>
      </w:tr>
    </w:tbl>
    <w:p>
      <w:pPr>
        <w:pStyle w:val="13"/>
        <w:spacing w:line="360" w:lineRule="auto"/>
        <w:rPr>
          <w:rFonts w:hint="eastAsia" w:hAnsi="宋体" w:cs="宋体"/>
          <w:highlight w:val="none"/>
        </w:rPr>
      </w:pPr>
      <w:r>
        <w:rPr>
          <w:rFonts w:hint="eastAsia" w:hAnsi="宋体" w:cs="宋体"/>
          <w:highlight w:val="none"/>
        </w:rPr>
        <w:t>注：1、</w:t>
      </w:r>
      <w:r>
        <w:rPr>
          <w:rFonts w:hint="eastAsia"/>
          <w:highlight w:val="none"/>
        </w:rPr>
        <w:t>供应商对谈判文件合同条款章节内容进行逐条响应。</w:t>
      </w:r>
    </w:p>
    <w:p>
      <w:pPr>
        <w:pStyle w:val="13"/>
        <w:spacing w:line="360" w:lineRule="auto"/>
        <w:rPr>
          <w:rFonts w:hint="eastAsia" w:hAnsi="宋体" w:cs="宋体"/>
          <w:highlight w:val="none"/>
        </w:rPr>
      </w:pPr>
      <w:r>
        <w:rPr>
          <w:rFonts w:hint="eastAsia" w:hAnsi="宋体" w:cs="宋体"/>
          <w:highlight w:val="none"/>
        </w:rPr>
        <w:t>2、供应商对谈判文件条款如有偏离，应如实填写此表。“备注”栏可写明“完全响应”、“正偏离”或“负偏离”，并附上证明材料。</w:t>
      </w:r>
    </w:p>
    <w:p>
      <w:pPr>
        <w:pStyle w:val="13"/>
        <w:spacing w:line="360" w:lineRule="auto"/>
        <w:rPr>
          <w:rFonts w:hint="eastAsia" w:hAnsi="宋体" w:cs="宋体"/>
          <w:highlight w:val="none"/>
        </w:rPr>
      </w:pPr>
      <w:r>
        <w:rPr>
          <w:rFonts w:hint="eastAsia" w:hAnsi="宋体" w:cs="宋体"/>
          <w:highlight w:val="none"/>
        </w:rPr>
        <w:t>3、供应商未填写此表但实际上偏离谈判文件合同条款的，评审委员会有权取消其成交资格。</w:t>
      </w:r>
    </w:p>
    <w:bookmarkEnd w:id="423"/>
    <w:bookmarkEnd w:id="424"/>
    <w:bookmarkEnd w:id="430"/>
    <w:bookmarkEnd w:id="431"/>
    <w:bookmarkEnd w:id="432"/>
    <w:bookmarkEnd w:id="433"/>
    <w:bookmarkEnd w:id="434"/>
    <w:p>
      <w:pPr>
        <w:pStyle w:val="13"/>
        <w:rPr>
          <w:highlight w:val="none"/>
        </w:rPr>
      </w:pPr>
    </w:p>
    <w:p>
      <w:pPr>
        <w:spacing w:line="360" w:lineRule="auto"/>
        <w:ind w:firstLine="2940" w:firstLineChars="1400"/>
        <w:jc w:val="left"/>
        <w:rPr>
          <w:rFonts w:hint="eastAsia" w:ascii="宋体" w:hAnsi="宋体"/>
          <w:szCs w:val="21"/>
          <w:highlight w:val="none"/>
        </w:rPr>
      </w:pPr>
    </w:p>
    <w:p>
      <w:pPr>
        <w:spacing w:line="360" w:lineRule="auto"/>
        <w:ind w:firstLine="2940" w:firstLineChars="1400"/>
        <w:jc w:val="left"/>
        <w:rPr>
          <w:rFonts w:hint="eastAsia" w:ascii="宋体" w:hAnsi="宋体"/>
          <w:szCs w:val="21"/>
          <w:highlight w:val="none"/>
        </w:rPr>
      </w:pPr>
    </w:p>
    <w:p>
      <w:pPr>
        <w:spacing w:line="360" w:lineRule="auto"/>
        <w:ind w:firstLine="2940" w:firstLineChars="1400"/>
        <w:jc w:val="left"/>
        <w:rPr>
          <w:rFonts w:hint="eastAsia" w:ascii="宋体" w:hAnsi="宋体"/>
          <w:szCs w:val="21"/>
          <w:highlight w:val="none"/>
          <w:u w:val="single"/>
        </w:rPr>
      </w:pPr>
      <w:r>
        <w:rPr>
          <w:rFonts w:hint="eastAsia" w:ascii="宋体" w:hAnsi="宋体"/>
          <w:szCs w:val="21"/>
          <w:highlight w:val="none"/>
        </w:rPr>
        <w:t>供应商（单位公章）：</w:t>
      </w:r>
      <w:r>
        <w:rPr>
          <w:rFonts w:hint="eastAsia" w:ascii="宋体" w:hAnsi="宋体"/>
          <w:szCs w:val="21"/>
          <w:highlight w:val="none"/>
          <w:u w:val="single"/>
        </w:rPr>
        <w:t xml:space="preserve">                              </w:t>
      </w:r>
    </w:p>
    <w:p>
      <w:pPr>
        <w:spacing w:line="360" w:lineRule="auto"/>
        <w:ind w:firstLine="2940" w:firstLineChars="1400"/>
        <w:rPr>
          <w:rFonts w:hint="eastAsia" w:ascii="宋体" w:hAnsi="宋体"/>
          <w:b/>
          <w:bCs/>
          <w:szCs w:val="21"/>
          <w:highlight w:val="none"/>
        </w:rPr>
      </w:pPr>
      <w:r>
        <w:rPr>
          <w:rFonts w:hint="eastAsia" w:ascii="宋体" w:hAnsi="宋体" w:cs="Arial"/>
          <w:szCs w:val="21"/>
          <w:highlight w:val="none"/>
          <w:u w:val="single"/>
        </w:rPr>
        <w:t xml:space="preserve">    </w:t>
      </w:r>
      <w:r>
        <w:rPr>
          <w:rFonts w:hint="eastAsia" w:ascii="宋体" w:hAnsi="宋体" w:cs="Arial"/>
          <w:szCs w:val="21"/>
          <w:highlight w:val="none"/>
        </w:rPr>
        <w:t>年</w:t>
      </w:r>
      <w:r>
        <w:rPr>
          <w:rFonts w:hint="eastAsia" w:ascii="宋体" w:hAnsi="宋体" w:cs="Arial"/>
          <w:szCs w:val="21"/>
          <w:highlight w:val="none"/>
          <w:u w:val="single"/>
        </w:rPr>
        <w:t xml:space="preserve">    </w:t>
      </w:r>
      <w:r>
        <w:rPr>
          <w:rFonts w:hint="eastAsia" w:ascii="宋体" w:hAnsi="宋体" w:cs="Arial"/>
          <w:szCs w:val="21"/>
          <w:highlight w:val="none"/>
        </w:rPr>
        <w:t>月</w:t>
      </w:r>
      <w:r>
        <w:rPr>
          <w:rFonts w:hint="eastAsia" w:ascii="宋体" w:hAnsi="宋体" w:cs="Arial"/>
          <w:szCs w:val="21"/>
          <w:highlight w:val="none"/>
          <w:u w:val="single"/>
        </w:rPr>
        <w:t xml:space="preserve">   </w:t>
      </w:r>
      <w:r>
        <w:rPr>
          <w:rFonts w:hint="eastAsia" w:ascii="宋体" w:hAnsi="宋体" w:cs="Arial"/>
          <w:szCs w:val="21"/>
          <w:highlight w:val="none"/>
        </w:rPr>
        <w:t>日</w:t>
      </w:r>
    </w:p>
    <w:p>
      <w:pPr>
        <w:spacing w:line="360" w:lineRule="auto"/>
        <w:ind w:firstLine="422" w:firstLineChars="200"/>
        <w:rPr>
          <w:rFonts w:hint="eastAsia" w:ascii="宋体" w:hAnsi="宋体"/>
          <w:b/>
          <w:bCs/>
          <w:szCs w:val="21"/>
          <w:highlight w:val="none"/>
        </w:rPr>
      </w:pPr>
    </w:p>
    <w:p>
      <w:pPr>
        <w:spacing w:line="360" w:lineRule="auto"/>
        <w:ind w:firstLine="420" w:firstLineChars="200"/>
        <w:rPr>
          <w:rFonts w:hint="eastAsia" w:ascii="宋体" w:hAnsi="宋体"/>
          <w:szCs w:val="21"/>
          <w:highlight w:val="none"/>
        </w:rPr>
      </w:pPr>
    </w:p>
    <w:p>
      <w:pPr>
        <w:spacing w:line="360" w:lineRule="auto"/>
        <w:ind w:firstLine="420" w:firstLineChars="200"/>
        <w:rPr>
          <w:rFonts w:hint="eastAsia" w:ascii="宋体" w:hAnsi="宋体"/>
          <w:szCs w:val="21"/>
          <w:highlight w:val="none"/>
        </w:rPr>
      </w:pPr>
    </w:p>
    <w:p>
      <w:pPr>
        <w:spacing w:line="360" w:lineRule="auto"/>
        <w:ind w:firstLine="420" w:firstLineChars="200"/>
        <w:rPr>
          <w:rFonts w:hint="eastAsia" w:ascii="宋体" w:hAnsi="宋体"/>
          <w:szCs w:val="21"/>
          <w:highlight w:val="none"/>
        </w:rPr>
      </w:pPr>
    </w:p>
    <w:p>
      <w:pPr>
        <w:spacing w:line="360" w:lineRule="auto"/>
        <w:ind w:firstLine="420" w:firstLineChars="200"/>
        <w:rPr>
          <w:rFonts w:hint="eastAsia" w:ascii="宋体" w:hAnsi="宋体"/>
          <w:szCs w:val="21"/>
          <w:highlight w:val="none"/>
        </w:rPr>
      </w:pPr>
    </w:p>
    <w:p>
      <w:pPr>
        <w:spacing w:line="360" w:lineRule="auto"/>
        <w:ind w:firstLine="420" w:firstLineChars="200"/>
        <w:rPr>
          <w:rFonts w:hint="eastAsia" w:ascii="宋体" w:hAnsi="宋体"/>
          <w:szCs w:val="21"/>
          <w:highlight w:val="none"/>
        </w:rPr>
      </w:pPr>
    </w:p>
    <w:p>
      <w:pPr>
        <w:spacing w:line="360" w:lineRule="auto"/>
        <w:ind w:firstLine="420" w:firstLineChars="200"/>
        <w:rPr>
          <w:rFonts w:hint="eastAsia" w:ascii="宋体" w:hAnsi="宋体"/>
          <w:szCs w:val="21"/>
          <w:highlight w:val="none"/>
        </w:rPr>
      </w:pPr>
    </w:p>
    <w:p>
      <w:pPr>
        <w:pStyle w:val="4"/>
        <w:pageBreakBefore/>
        <w:spacing w:before="156" w:beforeLines="50" w:after="156" w:afterLines="50" w:line="360" w:lineRule="auto"/>
        <w:ind w:left="0"/>
        <w:jc w:val="center"/>
        <w:rPr>
          <w:b/>
          <w:highlight w:val="none"/>
        </w:rPr>
      </w:pPr>
      <w:bookmarkStart w:id="435" w:name="_Toc19321"/>
      <w:bookmarkStart w:id="436" w:name="_Toc13565"/>
      <w:bookmarkStart w:id="437" w:name="_Toc622"/>
      <w:bookmarkStart w:id="438" w:name="_Toc23232"/>
      <w:bookmarkStart w:id="439" w:name="_Toc1598"/>
      <w:bookmarkStart w:id="440" w:name="_Toc17596"/>
      <w:bookmarkStart w:id="441" w:name="_Toc1312"/>
      <w:bookmarkStart w:id="442" w:name="_Toc3521"/>
      <w:bookmarkStart w:id="443" w:name="_Toc16131"/>
      <w:r>
        <w:rPr>
          <w:rFonts w:hint="eastAsia"/>
          <w:b/>
          <w:highlight w:val="none"/>
        </w:rPr>
        <w:t>格式十三、最终谈判承诺及二次/最终报价一览表</w:t>
      </w:r>
      <w:bookmarkEnd w:id="435"/>
      <w:bookmarkEnd w:id="436"/>
      <w:bookmarkEnd w:id="437"/>
      <w:bookmarkEnd w:id="438"/>
      <w:bookmarkEnd w:id="439"/>
      <w:bookmarkEnd w:id="440"/>
      <w:bookmarkEnd w:id="441"/>
      <w:bookmarkEnd w:id="442"/>
      <w:bookmarkEnd w:id="443"/>
    </w:p>
    <w:p>
      <w:pPr>
        <w:pStyle w:val="5"/>
        <w:ind w:firstLine="2310" w:firstLineChars="1100"/>
        <w:rPr>
          <w:highlight w:val="none"/>
        </w:rPr>
      </w:pPr>
    </w:p>
    <w:p>
      <w:pPr>
        <w:spacing w:line="360" w:lineRule="auto"/>
        <w:rPr>
          <w:rFonts w:hint="eastAsia" w:ascii="宋体" w:hAnsi="宋体"/>
          <w:szCs w:val="21"/>
          <w:highlight w:val="none"/>
          <w:u w:val="single"/>
        </w:rPr>
      </w:pPr>
      <w:r>
        <w:rPr>
          <w:rFonts w:hint="eastAsia" w:ascii="宋体" w:hAnsi="宋体"/>
          <w:szCs w:val="21"/>
          <w:highlight w:val="none"/>
        </w:rPr>
        <w:t>项目名称：</w:t>
      </w:r>
      <w:r>
        <w:rPr>
          <w:rFonts w:hint="eastAsia" w:ascii="宋体" w:hAnsi="宋体"/>
          <w:szCs w:val="21"/>
          <w:highlight w:val="none"/>
          <w:u w:val="single"/>
        </w:rPr>
        <w:t xml:space="preserve">                       </w:t>
      </w:r>
    </w:p>
    <w:p>
      <w:pPr>
        <w:spacing w:line="360" w:lineRule="auto"/>
        <w:rPr>
          <w:rFonts w:hint="eastAsia" w:ascii="宋体" w:hAnsi="宋体"/>
          <w:szCs w:val="21"/>
          <w:highlight w:val="none"/>
        </w:rPr>
      </w:pPr>
      <w:r>
        <w:rPr>
          <w:rFonts w:hint="eastAsia" w:ascii="宋体" w:hAnsi="宋体"/>
          <w:szCs w:val="21"/>
          <w:highlight w:val="none"/>
        </w:rPr>
        <w:t>项目编号：</w:t>
      </w:r>
      <w:r>
        <w:rPr>
          <w:rFonts w:hint="eastAsia" w:ascii="宋体" w:hAnsi="宋体"/>
          <w:szCs w:val="21"/>
          <w:highlight w:val="none"/>
          <w:u w:val="single"/>
        </w:rPr>
        <w:t xml:space="preserve">                            </w:t>
      </w:r>
    </w:p>
    <w:p>
      <w:pPr>
        <w:spacing w:line="360" w:lineRule="auto"/>
        <w:rPr>
          <w:rFonts w:hint="eastAsia" w:ascii="宋体" w:hAnsi="宋体"/>
          <w:szCs w:val="21"/>
          <w:highlight w:val="none"/>
          <w:u w:val="single"/>
        </w:rPr>
      </w:pPr>
      <w:r>
        <w:rPr>
          <w:rFonts w:hint="eastAsia" w:ascii="宋体" w:hAnsi="宋体"/>
          <w:szCs w:val="21"/>
          <w:highlight w:val="none"/>
        </w:rPr>
        <w:t>供应商名称：</w:t>
      </w:r>
      <w:r>
        <w:rPr>
          <w:rFonts w:hint="eastAsia" w:ascii="宋体" w:hAnsi="宋体"/>
          <w:szCs w:val="21"/>
          <w:highlight w:val="none"/>
          <w:u w:val="single"/>
        </w:rPr>
        <w:t xml:space="preserve">                          </w:t>
      </w:r>
    </w:p>
    <w:p>
      <w:pPr>
        <w:spacing w:line="360" w:lineRule="auto"/>
        <w:rPr>
          <w:rFonts w:hint="eastAsia" w:ascii="宋体" w:hAnsi="宋体"/>
          <w:szCs w:val="21"/>
          <w:highlight w:val="none"/>
          <w:u w:val="single"/>
        </w:rPr>
      </w:pP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76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540" w:type="dxa"/>
            <w:vAlign w:val="center"/>
          </w:tcPr>
          <w:p>
            <w:pPr>
              <w:spacing w:line="360" w:lineRule="auto"/>
              <w:jc w:val="center"/>
              <w:rPr>
                <w:rFonts w:hint="eastAsia" w:ascii="宋体" w:hAnsi="宋体"/>
                <w:szCs w:val="21"/>
                <w:highlight w:val="none"/>
              </w:rPr>
            </w:pPr>
            <w:r>
              <w:rPr>
                <w:rFonts w:hint="eastAsia" w:ascii="宋体" w:hAnsi="宋体"/>
                <w:szCs w:val="21"/>
                <w:highlight w:val="none"/>
              </w:rPr>
              <w:t>序号</w:t>
            </w:r>
          </w:p>
        </w:tc>
        <w:tc>
          <w:tcPr>
            <w:tcW w:w="7622" w:type="dxa"/>
            <w:vAlign w:val="center"/>
          </w:tcPr>
          <w:p>
            <w:pPr>
              <w:spacing w:line="360" w:lineRule="auto"/>
              <w:jc w:val="center"/>
              <w:rPr>
                <w:rFonts w:hint="eastAsia" w:ascii="宋体" w:hAnsi="宋体"/>
                <w:szCs w:val="21"/>
                <w:highlight w:val="none"/>
              </w:rPr>
            </w:pPr>
            <w:r>
              <w:rPr>
                <w:rFonts w:hint="eastAsia" w:ascii="宋体" w:hAnsi="宋体"/>
                <w:szCs w:val="21"/>
                <w:highlight w:val="none"/>
              </w:rPr>
              <w:t>报价（单位：【】，人民币）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540" w:type="dxa"/>
            <w:vAlign w:val="center"/>
          </w:tcPr>
          <w:p>
            <w:pPr>
              <w:spacing w:line="360" w:lineRule="auto"/>
              <w:jc w:val="center"/>
              <w:rPr>
                <w:rFonts w:hint="eastAsia" w:ascii="宋体" w:hAnsi="宋体"/>
                <w:szCs w:val="21"/>
                <w:highlight w:val="none"/>
              </w:rPr>
            </w:pPr>
            <w:r>
              <w:rPr>
                <w:rFonts w:hint="eastAsia" w:ascii="宋体" w:hAnsi="宋体"/>
                <w:szCs w:val="21"/>
                <w:highlight w:val="none"/>
              </w:rPr>
              <w:t>1</w:t>
            </w:r>
          </w:p>
        </w:tc>
        <w:tc>
          <w:tcPr>
            <w:tcW w:w="7622" w:type="dxa"/>
            <w:vAlign w:val="center"/>
          </w:tcPr>
          <w:p>
            <w:pPr>
              <w:spacing w:line="360" w:lineRule="auto"/>
              <w:rPr>
                <w:rFonts w:hint="eastAsia" w:ascii="宋体" w:hAnsi="宋体"/>
                <w:szCs w:val="21"/>
                <w:highlight w:val="none"/>
                <w:u w:val="single"/>
              </w:rPr>
            </w:pPr>
            <w:r>
              <w:rPr>
                <w:rFonts w:hint="eastAsia" w:ascii="宋体" w:hAnsi="宋体"/>
                <w:szCs w:val="21"/>
                <w:highlight w:val="none"/>
              </w:rPr>
              <w:t>小写：</w:t>
            </w:r>
            <w:r>
              <w:rPr>
                <w:rFonts w:hint="eastAsia" w:ascii="宋体" w:hAnsi="宋体"/>
                <w:szCs w:val="21"/>
                <w:highlight w:val="none"/>
                <w:u w:val="single"/>
              </w:rPr>
              <w:t xml:space="preserve">                  </w:t>
            </w:r>
          </w:p>
          <w:p>
            <w:pPr>
              <w:spacing w:line="360" w:lineRule="auto"/>
              <w:rPr>
                <w:rFonts w:hint="eastAsia" w:ascii="宋体" w:hAnsi="宋体"/>
                <w:szCs w:val="21"/>
                <w:highlight w:val="none"/>
              </w:rPr>
            </w:pPr>
            <w:r>
              <w:rPr>
                <w:rFonts w:hint="eastAsia" w:ascii="宋体" w:hAnsi="宋体"/>
                <w:szCs w:val="21"/>
                <w:highlight w:val="none"/>
              </w:rPr>
              <w:t>大写：</w:t>
            </w:r>
            <w:r>
              <w:rPr>
                <w:rFonts w:hint="eastAsia" w:ascii="宋体" w:hAnsi="宋体"/>
                <w:szCs w:val="21"/>
                <w:highlight w:val="none"/>
                <w:u w:val="single"/>
              </w:rPr>
              <w:t xml:space="preserve">                  </w:t>
            </w:r>
            <w:r>
              <w:rPr>
                <w:rFonts w:hint="eastAsia" w:ascii="宋体" w:hAnsi="宋体"/>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162" w:type="dxa"/>
            <w:gridSpan w:val="2"/>
            <w:vAlign w:val="center"/>
          </w:tcPr>
          <w:p>
            <w:pPr>
              <w:spacing w:line="360" w:lineRule="auto"/>
              <w:rPr>
                <w:rFonts w:hint="eastAsia" w:ascii="宋体" w:hAnsi="宋体"/>
                <w:szCs w:val="21"/>
                <w:highlight w:val="none"/>
              </w:rPr>
            </w:pPr>
            <w:r>
              <w:rPr>
                <w:rFonts w:hint="eastAsia" w:ascii="宋体" w:hAnsi="宋体"/>
                <w:szCs w:val="21"/>
                <w:highlight w:val="none"/>
              </w:rPr>
              <w:t>最终谈判承诺：</w:t>
            </w:r>
          </w:p>
          <w:p>
            <w:pPr>
              <w:spacing w:line="360" w:lineRule="auto"/>
              <w:rPr>
                <w:rFonts w:hint="eastAsia" w:ascii="宋体" w:hAnsi="宋体"/>
                <w:szCs w:val="21"/>
                <w:highlight w:val="none"/>
              </w:rPr>
            </w:pPr>
          </w:p>
          <w:p>
            <w:pPr>
              <w:spacing w:line="360" w:lineRule="auto"/>
              <w:rPr>
                <w:rFonts w:hint="eastAsia" w:ascii="宋体" w:hAnsi="宋体"/>
                <w:szCs w:val="21"/>
                <w:highlight w:val="none"/>
              </w:rPr>
            </w:pPr>
          </w:p>
          <w:p>
            <w:pPr>
              <w:spacing w:line="360" w:lineRule="auto"/>
              <w:rPr>
                <w:rFonts w:hint="eastAsia" w:ascii="宋体" w:hAnsi="宋体"/>
                <w:szCs w:val="21"/>
                <w:highlight w:val="none"/>
              </w:rPr>
            </w:pPr>
          </w:p>
        </w:tc>
      </w:tr>
    </w:tbl>
    <w:p>
      <w:pPr>
        <w:spacing w:line="360" w:lineRule="auto"/>
        <w:ind w:firstLine="420" w:firstLineChars="200"/>
        <w:rPr>
          <w:rFonts w:hint="eastAsia" w:ascii="宋体" w:hAnsi="宋体"/>
          <w:szCs w:val="21"/>
          <w:highlight w:val="none"/>
        </w:rPr>
      </w:pPr>
      <w:r>
        <w:rPr>
          <w:rFonts w:hint="eastAsia" w:ascii="宋体" w:hAnsi="宋体"/>
          <w:szCs w:val="21"/>
          <w:highlight w:val="none"/>
        </w:rPr>
        <w:t>注：</w:t>
      </w:r>
    </w:p>
    <w:p>
      <w:pPr>
        <w:spacing w:line="360" w:lineRule="auto"/>
        <w:ind w:firstLine="420" w:firstLineChars="200"/>
        <w:rPr>
          <w:rFonts w:hint="eastAsia" w:ascii="宋体" w:hAnsi="宋体"/>
          <w:szCs w:val="21"/>
          <w:highlight w:val="none"/>
        </w:rPr>
      </w:pPr>
      <w:r>
        <w:rPr>
          <w:rFonts w:hint="eastAsia" w:ascii="宋体" w:hAnsi="宋体"/>
          <w:szCs w:val="21"/>
          <w:highlight w:val="none"/>
        </w:rPr>
        <w:t>1、此表总报价是所有需采购人支付的金额总数（含税），包括《用户需求》要求的全部内容和最终谈判承诺的全部内容。</w:t>
      </w:r>
    </w:p>
    <w:p>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2、</w:t>
      </w:r>
      <w:r>
        <w:rPr>
          <w:rFonts w:ascii="宋体" w:hAnsi="宋体"/>
          <w:szCs w:val="21"/>
          <w:highlight w:val="none"/>
        </w:rPr>
        <w:t>此表须</w:t>
      </w:r>
      <w:r>
        <w:rPr>
          <w:rFonts w:hint="eastAsia" w:ascii="宋体" w:hAnsi="宋体"/>
          <w:szCs w:val="21"/>
          <w:highlight w:val="none"/>
        </w:rPr>
        <w:t>在采购人规定时间内递交。</w:t>
      </w:r>
    </w:p>
    <w:p>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3、此表内报价为最终价（含税）。</w:t>
      </w:r>
    </w:p>
    <w:p>
      <w:pPr>
        <w:spacing w:before="156" w:beforeLines="50" w:after="156" w:afterLines="50" w:line="360" w:lineRule="auto"/>
        <w:jc w:val="center"/>
        <w:rPr>
          <w:rFonts w:hint="eastAsia" w:ascii="宋体" w:hAnsi="宋体"/>
          <w:szCs w:val="21"/>
          <w:highlight w:val="none"/>
        </w:rPr>
      </w:pPr>
    </w:p>
    <w:p>
      <w:pPr>
        <w:spacing w:before="156" w:beforeLines="50" w:after="156" w:afterLines="50" w:line="360" w:lineRule="auto"/>
        <w:jc w:val="center"/>
        <w:rPr>
          <w:rFonts w:hint="eastAsia" w:ascii="宋体" w:hAnsi="宋体"/>
          <w:szCs w:val="21"/>
          <w:highlight w:val="none"/>
        </w:rPr>
      </w:pPr>
    </w:p>
    <w:p>
      <w:pPr>
        <w:spacing w:line="360" w:lineRule="auto"/>
        <w:ind w:firstLine="2940" w:firstLineChars="1400"/>
        <w:jc w:val="left"/>
        <w:rPr>
          <w:rFonts w:hint="eastAsia" w:ascii="宋体" w:hAnsi="宋体"/>
          <w:szCs w:val="21"/>
          <w:highlight w:val="none"/>
          <w:u w:val="single"/>
        </w:rPr>
      </w:pPr>
      <w:r>
        <w:rPr>
          <w:rFonts w:hint="eastAsia" w:ascii="宋体" w:hAnsi="宋体"/>
          <w:szCs w:val="21"/>
          <w:highlight w:val="none"/>
        </w:rPr>
        <w:t>供应商名称：</w:t>
      </w:r>
      <w:r>
        <w:rPr>
          <w:rFonts w:hint="eastAsia" w:ascii="宋体" w:hAnsi="宋体"/>
          <w:szCs w:val="21"/>
          <w:highlight w:val="none"/>
          <w:u w:val="single"/>
        </w:rPr>
        <w:t xml:space="preserve">               </w:t>
      </w:r>
    </w:p>
    <w:p>
      <w:pPr>
        <w:spacing w:before="156" w:beforeLines="50" w:after="156" w:afterLines="50" w:line="360" w:lineRule="auto"/>
        <w:ind w:firstLine="3570" w:firstLineChars="1700"/>
        <w:rPr>
          <w:rFonts w:hint="eastAsia" w:ascii="宋体" w:hAnsi="宋体" w:cs="Arial"/>
          <w:szCs w:val="21"/>
          <w:highlight w:val="none"/>
        </w:rPr>
      </w:pPr>
      <w:r>
        <w:rPr>
          <w:rFonts w:hint="eastAsia" w:ascii="宋体" w:hAnsi="宋体" w:cs="Arial"/>
          <w:szCs w:val="21"/>
          <w:highlight w:val="none"/>
          <w:u w:val="single"/>
        </w:rPr>
        <w:t xml:space="preserve">    </w:t>
      </w:r>
      <w:r>
        <w:rPr>
          <w:rFonts w:hint="eastAsia" w:ascii="宋体" w:hAnsi="宋体" w:cs="Arial"/>
          <w:szCs w:val="21"/>
          <w:highlight w:val="none"/>
        </w:rPr>
        <w:t>年</w:t>
      </w:r>
      <w:r>
        <w:rPr>
          <w:rFonts w:hint="eastAsia" w:ascii="宋体" w:hAnsi="宋体" w:cs="Arial"/>
          <w:szCs w:val="21"/>
          <w:highlight w:val="none"/>
          <w:u w:val="single"/>
        </w:rPr>
        <w:t xml:space="preserve">    </w:t>
      </w:r>
      <w:r>
        <w:rPr>
          <w:rFonts w:hint="eastAsia" w:ascii="宋体" w:hAnsi="宋体" w:cs="Arial"/>
          <w:szCs w:val="21"/>
          <w:highlight w:val="none"/>
        </w:rPr>
        <w:t>月</w:t>
      </w:r>
      <w:r>
        <w:rPr>
          <w:rFonts w:hint="eastAsia" w:ascii="宋体" w:hAnsi="宋体" w:cs="Arial"/>
          <w:szCs w:val="21"/>
          <w:highlight w:val="none"/>
          <w:u w:val="single"/>
        </w:rPr>
        <w:t xml:space="preserve">   </w:t>
      </w:r>
      <w:r>
        <w:rPr>
          <w:rFonts w:hint="eastAsia" w:ascii="宋体" w:hAnsi="宋体" w:cs="Arial"/>
          <w:szCs w:val="21"/>
          <w:highlight w:val="none"/>
        </w:rPr>
        <w:t>日</w:t>
      </w:r>
    </w:p>
    <w:p>
      <w:pPr>
        <w:spacing w:line="360" w:lineRule="auto"/>
        <w:ind w:firstLine="420" w:firstLineChars="200"/>
        <w:rPr>
          <w:rFonts w:hint="eastAsia" w:ascii="宋体" w:hAnsi="宋体"/>
          <w:szCs w:val="21"/>
          <w:highlight w:val="none"/>
        </w:rPr>
      </w:pPr>
    </w:p>
    <w:p>
      <w:pPr>
        <w:spacing w:line="360" w:lineRule="auto"/>
        <w:ind w:firstLine="420" w:firstLineChars="200"/>
        <w:rPr>
          <w:rFonts w:hint="eastAsia" w:ascii="宋体" w:hAnsi="宋体"/>
          <w:szCs w:val="21"/>
          <w:highlight w:val="none"/>
        </w:rPr>
      </w:pPr>
    </w:p>
    <w:p>
      <w:pPr>
        <w:spacing w:line="360" w:lineRule="auto"/>
        <w:ind w:firstLine="420" w:firstLineChars="200"/>
        <w:rPr>
          <w:rFonts w:hint="eastAsia" w:ascii="宋体" w:hAnsi="宋体"/>
          <w:szCs w:val="21"/>
          <w:highlight w:val="none"/>
        </w:rPr>
      </w:pPr>
    </w:p>
    <w:p>
      <w:pPr>
        <w:pStyle w:val="4"/>
        <w:pageBreakBefore/>
        <w:spacing w:before="156" w:beforeLines="50" w:after="156" w:afterLines="50" w:line="360" w:lineRule="auto"/>
        <w:ind w:left="0"/>
        <w:jc w:val="center"/>
        <w:rPr>
          <w:rFonts w:hint="eastAsia" w:ascii="宋体" w:hAnsi="宋体" w:cs="宋体"/>
          <w:b/>
          <w:highlight w:val="none"/>
        </w:rPr>
      </w:pPr>
      <w:bookmarkStart w:id="444" w:name="_Toc22147"/>
      <w:bookmarkStart w:id="445" w:name="_Toc31256"/>
      <w:bookmarkStart w:id="446" w:name="_Toc1252"/>
      <w:bookmarkStart w:id="447" w:name="_Toc25024"/>
      <w:bookmarkStart w:id="448" w:name="_Toc30237"/>
      <w:bookmarkStart w:id="449" w:name="_Toc74"/>
      <w:bookmarkStart w:id="450" w:name="_Toc6795"/>
      <w:bookmarkStart w:id="451" w:name="_Toc14116"/>
      <w:bookmarkStart w:id="452" w:name="_Toc17794"/>
      <w:bookmarkStart w:id="453" w:name="_Toc2025"/>
      <w:bookmarkStart w:id="454" w:name="_Toc32404"/>
      <w:bookmarkStart w:id="455" w:name="_Toc1500"/>
      <w:bookmarkStart w:id="456" w:name="_Toc504657644"/>
      <w:bookmarkStart w:id="457" w:name="_Toc29409"/>
      <w:bookmarkStart w:id="458" w:name="_Toc8256"/>
      <w:bookmarkStart w:id="459" w:name="_Toc504657645"/>
      <w:bookmarkStart w:id="460" w:name="_Toc504657632"/>
      <w:bookmarkStart w:id="461" w:name="_Toc7591"/>
      <w:bookmarkStart w:id="462" w:name="_Toc25832"/>
      <w:r>
        <w:rPr>
          <w:rFonts w:hint="eastAsia"/>
          <w:b/>
          <w:highlight w:val="none"/>
        </w:rPr>
        <w:t>格式十四、</w:t>
      </w:r>
      <w:r>
        <w:rPr>
          <w:rFonts w:hint="eastAsia" w:ascii="宋体" w:hAnsi="宋体" w:cs="宋体"/>
          <w:b/>
          <w:highlight w:val="none"/>
        </w:rPr>
        <w:t>澄清/异议/投诉承诺及程序指引</w:t>
      </w:r>
      <w:bookmarkEnd w:id="444"/>
      <w:bookmarkEnd w:id="445"/>
      <w:bookmarkEnd w:id="446"/>
      <w:bookmarkEnd w:id="447"/>
      <w:bookmarkEnd w:id="448"/>
    </w:p>
    <w:p>
      <w:pPr>
        <w:spacing w:line="360" w:lineRule="auto"/>
        <w:ind w:firstLine="420" w:firstLineChars="200"/>
        <w:rPr>
          <w:rFonts w:hint="eastAsia" w:ascii="宋体" w:hAnsi="宋体" w:cs="宋体"/>
          <w:b/>
          <w:bCs/>
          <w:szCs w:val="21"/>
          <w:highlight w:val="none"/>
        </w:rPr>
      </w:pPr>
      <w:r>
        <w:rPr>
          <w:rFonts w:hint="eastAsia" w:ascii="宋体" w:hAnsi="宋体" w:cs="宋体"/>
          <w:szCs w:val="21"/>
          <w:highlight w:val="none"/>
        </w:rPr>
        <w:t>本指引所称“澄清”是指参与本采购项目的供应商对采购文件有疑问或者意见建议，需要采购人进行解释说明、澄清修改而提出的澄清要求。</w:t>
      </w:r>
      <w:r>
        <w:rPr>
          <w:rFonts w:hint="eastAsia" w:ascii="宋体" w:hAnsi="宋体" w:cs="宋体"/>
          <w:b/>
          <w:bCs/>
          <w:szCs w:val="21"/>
          <w:highlight w:val="none"/>
        </w:rPr>
        <w:t>在招投标系统“澄清模块”提交的问题均属于澄清。</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“异议”是指参与本采购项目的供应商有证据或材料证明采购人在采购过程中有失公平或公正，而向采购人提出的质疑或请求。</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“投诉”是指提出异议的供应商对异议答复不满意而向本指引中的投诉受理部门提起的申诉。</w:t>
      </w:r>
    </w:p>
    <w:p>
      <w:pPr>
        <w:spacing w:line="360" w:lineRule="auto"/>
        <w:ind w:firstLine="422" w:firstLineChars="200"/>
        <w:rPr>
          <w:rFonts w:hint="eastAsia" w:ascii="宋体" w:hAnsi="宋体" w:cs="宋体"/>
          <w:szCs w:val="21"/>
          <w:highlight w:val="none"/>
        </w:rPr>
      </w:pPr>
      <w:r>
        <w:rPr>
          <w:rFonts w:hint="eastAsia" w:ascii="宋体" w:hAnsi="宋体" w:cs="宋体"/>
          <w:b/>
          <w:bCs/>
          <w:szCs w:val="21"/>
          <w:highlight w:val="none"/>
        </w:rPr>
        <w:t>一、提出主体</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1.1 提出澄清/异议/投诉的主体（下称“提出人”）必须为参与本采购项目的供应商。</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1.2 提出澄清/异议/投诉须实名制，否则视为无效，不予受理。</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1.3 投诉按照先异议、后投诉的顺序，未经异议</w:t>
      </w:r>
      <w:r>
        <w:rPr>
          <w:rFonts w:hint="eastAsia"/>
          <w:highlight w:val="none"/>
        </w:rPr>
        <w:t>或异议未办结</w:t>
      </w:r>
      <w:r>
        <w:rPr>
          <w:rFonts w:hint="eastAsia" w:ascii="宋体" w:hAnsi="宋体" w:cs="宋体"/>
          <w:szCs w:val="21"/>
          <w:highlight w:val="none"/>
        </w:rPr>
        <w:t>的事项不受理投诉。异议/投诉实行“谁主张、谁举证”原则，提出人应当明确提出异议/投诉的事项及请求，并提供必要的证明材料和法律、法规、事实根据，不得进行虚假、恶意的异议/投诉，否则所提异议/投诉无效。</w:t>
      </w:r>
    </w:p>
    <w:p>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二、提出期限</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2.1 提出人对采购文件提出澄清要求的，应在采购文件第二章2.2.1项规定的期限内提出。</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2.2 提出人</w:t>
      </w:r>
      <w:r>
        <w:rPr>
          <w:rFonts w:hint="eastAsia" w:ascii="宋体" w:hAnsi="宋体" w:cs="宋体"/>
          <w:highlight w:val="none"/>
        </w:rPr>
        <w:t>认为</w:t>
      </w:r>
      <w:r>
        <w:rPr>
          <w:rFonts w:hint="eastAsia" w:ascii="宋体" w:hAnsi="宋体" w:cs="宋体"/>
          <w:szCs w:val="21"/>
          <w:highlight w:val="none"/>
        </w:rPr>
        <w:t>采购</w:t>
      </w:r>
      <w:r>
        <w:rPr>
          <w:rFonts w:hint="eastAsia" w:ascii="宋体" w:hAnsi="宋体" w:cs="宋体"/>
          <w:highlight w:val="none"/>
        </w:rPr>
        <w:t>公告及资格预审文件、采购文件、评审过程或采购结果等使自己的合法权益受到损害的，可在知道或者应该知道其权益受到损害之日起并在有效期内，按照采购文件提供的异议渠道及异议指引提供纸质异议材料进行异议。对异议答复不满意的，可在收到异议答复之日起，在有效期内提起投诉，纸质材料可在有效期内当面递交，也可通过邮递送达。超过有效期的异议</w:t>
      </w:r>
      <w:r>
        <w:rPr>
          <w:rFonts w:hint="eastAsia" w:ascii="宋体" w:hAnsi="宋体" w:cs="宋体"/>
          <w:szCs w:val="21"/>
          <w:highlight w:val="none"/>
        </w:rPr>
        <w:t>/</w:t>
      </w:r>
      <w:r>
        <w:rPr>
          <w:rFonts w:hint="eastAsia" w:ascii="宋体" w:hAnsi="宋体" w:cs="宋体"/>
          <w:highlight w:val="none"/>
        </w:rPr>
        <w:t>投诉无效，有效期具体约定如下：</w:t>
      </w:r>
    </w:p>
    <w:p>
      <w:pPr>
        <w:spacing w:line="360" w:lineRule="auto"/>
        <w:ind w:firstLine="420" w:firstLineChars="200"/>
        <w:rPr>
          <w:rFonts w:hint="eastAsia" w:ascii="宋体" w:hAnsi="宋体" w:cs="宋体"/>
          <w:highlight w:val="none"/>
        </w:rPr>
      </w:pPr>
      <w:r>
        <w:rPr>
          <w:rFonts w:hint="eastAsia" w:ascii="宋体" w:hAnsi="宋体" w:cs="宋体"/>
          <w:szCs w:val="21"/>
          <w:highlight w:val="none"/>
        </w:rPr>
        <w:t>2.2.1 资格预审阶段。提出人认为资格预审文件有明显倾向性或不合理条款的，可在截止提交资格预审申请文件前提出异议；对异议答复不满意的，可在收到异议答复之日起2个工作日内提起投诉。</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2.2.2 采购公告及采购文件发布阶段。提出人认为采购方发布的采购公告、采购文件不合理、有失公平或存在倾向性条款的，应截至“递交响应文件截止时间前24小时”提出异议；对异议答复不满意的，可在收到异议答复之日起2个工作日内提起投诉。</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2.2.3 采购评审结果公示阶段。提出人认为评审过程或采购结果有问题，可以在评标公示或评审结果公示期内提出异议；对异议答复不满意的，可在收到异议答复之日起2个工作日内提起投诉。</w:t>
      </w:r>
    </w:p>
    <w:p>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异议/投诉时间环节均不可逆，即在采购流程已进行到下一阶段，不能对上一阶段和已超过时间节点的事项提出异议或投诉。</w:t>
      </w:r>
    </w:p>
    <w:p>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三、提交材料</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3.1 提出人对采购项目提出澄清要求，应进入中国南方航空采购招标网采购（招标）项目提问区域，输入疑问内容，同时以书面形式列明所提疑问内容，加盖公章并扫描后上传做为附件。</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3.2 提出人</w:t>
      </w:r>
      <w:r>
        <w:rPr>
          <w:rFonts w:hint="eastAsia" w:ascii="宋体" w:hAnsi="宋体" w:cs="宋体"/>
          <w:highlight w:val="none"/>
        </w:rPr>
        <w:t>对采购项目提出异议</w:t>
      </w:r>
      <w:r>
        <w:rPr>
          <w:rFonts w:hint="eastAsia" w:ascii="宋体" w:hAnsi="宋体" w:cs="宋体"/>
          <w:szCs w:val="21"/>
          <w:highlight w:val="none"/>
        </w:rPr>
        <w:t>/</w:t>
      </w:r>
      <w:r>
        <w:rPr>
          <w:rFonts w:hint="eastAsia" w:ascii="宋体" w:hAnsi="宋体" w:cs="宋体"/>
          <w:highlight w:val="none"/>
        </w:rPr>
        <w:t>投诉，应制作纸质异议函</w:t>
      </w:r>
      <w:r>
        <w:rPr>
          <w:rFonts w:hint="eastAsia" w:ascii="宋体" w:hAnsi="宋体" w:cs="宋体"/>
          <w:szCs w:val="21"/>
          <w:highlight w:val="none"/>
        </w:rPr>
        <w:t>/</w:t>
      </w:r>
      <w:r>
        <w:rPr>
          <w:rFonts w:hint="eastAsia" w:ascii="宋体" w:hAnsi="宋体" w:cs="宋体"/>
          <w:highlight w:val="none"/>
        </w:rPr>
        <w:t>投诉函，由法定代表人</w:t>
      </w:r>
      <w:r>
        <w:rPr>
          <w:rFonts w:hint="eastAsia" w:ascii="宋体" w:hAnsi="宋体" w:cs="宋体"/>
          <w:szCs w:val="21"/>
          <w:highlight w:val="none"/>
        </w:rPr>
        <w:t>（分公司则为营业执照记载的负责人）</w:t>
      </w:r>
      <w:r>
        <w:rPr>
          <w:rFonts w:hint="eastAsia" w:ascii="宋体" w:hAnsi="宋体" w:cs="宋体"/>
          <w:highlight w:val="none"/>
        </w:rPr>
        <w:t>签署本人姓名（或印盖本人姓名章）并加盖单位公章后，异议函应将</w:t>
      </w:r>
      <w:r>
        <w:rPr>
          <w:rFonts w:hint="eastAsia" w:ascii="宋体" w:hAnsi="宋体" w:cs="宋体"/>
          <w:szCs w:val="21"/>
          <w:highlight w:val="none"/>
        </w:rPr>
        <w:t>原件邮寄至本指引规定的异议受理地址，投诉函应将原件邮寄或现场送达至投诉受理部门。</w:t>
      </w:r>
      <w:r>
        <w:rPr>
          <w:rFonts w:hint="eastAsia" w:ascii="宋体" w:hAnsi="宋体" w:cs="宋体"/>
          <w:highlight w:val="none"/>
        </w:rPr>
        <w:t>异议函</w:t>
      </w:r>
      <w:r>
        <w:rPr>
          <w:rFonts w:hint="eastAsia" w:ascii="宋体" w:hAnsi="宋体" w:cs="宋体"/>
          <w:szCs w:val="21"/>
          <w:highlight w:val="none"/>
        </w:rPr>
        <w:t>/</w:t>
      </w:r>
      <w:r>
        <w:rPr>
          <w:rFonts w:hint="eastAsia" w:ascii="宋体" w:hAnsi="宋体" w:cs="宋体"/>
          <w:highlight w:val="none"/>
        </w:rPr>
        <w:t>投诉函</w:t>
      </w:r>
      <w:r>
        <w:rPr>
          <w:rFonts w:hint="eastAsia" w:ascii="宋体" w:hAnsi="宋体" w:cs="宋体"/>
          <w:szCs w:val="21"/>
          <w:highlight w:val="none"/>
        </w:rPr>
        <w:t>应包括下列主要内容： </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a) 提出人名称、地址、邮政编码、有效联系人和联系方式（手机、座机、传真、电子邮箱地址）； </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b) 被异议人/被投诉人及与异议/投诉事项有关的当事人全称； </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c) 异议/投诉涉及的采购项目的名称和编号； </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d) 异议/投诉的基本情况及具体事项，包括但不限于请求及主张、事实、理由和法律依据等； </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e) 有效、合法的线索和证据材料； </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f) 署名。提出人为法人的，应由法定代表人签字并加盖公章，并提供工商营业执照复印件；提出人为非法人组织或个人的，应由主要负责人或者提出人本人签字，并附上有效身份证明复印件；</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g) 提出异议/投诉的日期；</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h) 提出投诉的，应提供之前的异议和异议答复情况及相关材料；</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i) 外文异议函/投诉函应当同时提供中文译本，解释材料以中文译本为准；</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j) 其他需要说明的内容。　　</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3.3 一件异议函/投诉函只能对一个采购项目提出异议/投诉，提出人需要对两个（含）以上项目提出异议/投诉的，应当分别提交异议函/投诉函。 </w:t>
      </w:r>
    </w:p>
    <w:p>
      <w:pPr>
        <w:spacing w:line="360" w:lineRule="auto"/>
        <w:rPr>
          <w:rFonts w:hint="eastAsia" w:ascii="宋体" w:hAnsi="宋体" w:cs="宋体"/>
          <w:szCs w:val="21"/>
          <w:highlight w:val="none"/>
        </w:rPr>
      </w:pPr>
      <w:r>
        <w:rPr>
          <w:rFonts w:hint="eastAsia" w:ascii="宋体" w:hAnsi="宋体" w:cs="宋体"/>
          <w:szCs w:val="21"/>
          <w:highlight w:val="none"/>
        </w:rPr>
        <w:t>　　3.4 提出人需要修改、补充异议函/投诉函的，应当在异议/投诉有效期内提交修改或补充资料。 </w:t>
      </w:r>
    </w:p>
    <w:p>
      <w:pPr>
        <w:numPr>
          <w:ilvl w:val="0"/>
          <w:numId w:val="24"/>
        </w:num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受理</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4.1 采购人或采购代理机构为澄清的受理和处理主体；采购人为异议的受理和处理主体；本指引中的投诉受理部门为投诉的受理和处理主体。</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4.2 采购人、采购代理机构或投诉受理部门收到提出人书面材料后，对澄清/异议/投诉内容进行审阅。符合受理条件的，应告知提出人已受理并正在处理；不符合受理条件的，</w:t>
      </w:r>
      <w:r>
        <w:rPr>
          <w:rFonts w:hint="eastAsia" w:ascii="宋体" w:hAnsi="宋体" w:cs="宋体"/>
          <w:highlight w:val="none"/>
        </w:rPr>
        <w:t>应</w:t>
      </w:r>
      <w:r>
        <w:rPr>
          <w:rFonts w:hint="eastAsia" w:ascii="宋体" w:hAnsi="宋体" w:cs="宋体"/>
          <w:szCs w:val="21"/>
          <w:highlight w:val="none"/>
        </w:rPr>
        <w:t>告知提出人不予受理。</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4.</w:t>
      </w:r>
      <w:r>
        <w:rPr>
          <w:rFonts w:ascii="宋体" w:hAnsi="宋体" w:cs="宋体"/>
          <w:szCs w:val="21"/>
          <w:highlight w:val="none"/>
        </w:rPr>
        <w:t>3</w:t>
      </w:r>
      <w:r>
        <w:rPr>
          <w:rFonts w:hint="eastAsia" w:ascii="宋体" w:hAnsi="宋体" w:cs="宋体"/>
          <w:szCs w:val="21"/>
          <w:highlight w:val="none"/>
        </w:rPr>
        <w:t xml:space="preserve"> 有下列情形之一的澄清不予受理：</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a) 不是参与本采购项目供应商提出的；</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b) 未在澄清有效期内提出的；</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c) 未盖单位公章的；</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d) 同时针对多个采购项目提出的；</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e) 已经处理并答复，提出人在澄清有效期内就同一事项又重新提起澄清，且未提供新的有效证据的。</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4.4 有下列情形之一的异议/投诉不予受理： </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a) 提出人未参与本采购项目的；</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b) 未在异议/投诉有效期内提出的；</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c) 异议</w:t>
      </w:r>
      <w:r>
        <w:rPr>
          <w:rFonts w:hint="eastAsia" w:ascii="宋体" w:hAnsi="宋体" w:cs="宋体"/>
          <w:highlight w:val="none"/>
        </w:rPr>
        <w:t>函</w:t>
      </w:r>
      <w:r>
        <w:rPr>
          <w:rFonts w:hint="eastAsia" w:ascii="宋体" w:hAnsi="宋体" w:cs="宋体"/>
          <w:szCs w:val="21"/>
          <w:highlight w:val="none"/>
        </w:rPr>
        <w:t>/投诉函</w:t>
      </w:r>
      <w:r>
        <w:rPr>
          <w:rFonts w:hint="eastAsia" w:ascii="宋体" w:hAnsi="宋体" w:cs="宋体"/>
          <w:highlight w:val="none"/>
        </w:rPr>
        <w:t>未按第三条第3.1款第f)项署名的</w:t>
      </w:r>
      <w:r>
        <w:rPr>
          <w:rFonts w:hint="eastAsia" w:ascii="宋体" w:hAnsi="宋体" w:cs="宋体"/>
          <w:szCs w:val="21"/>
          <w:highlight w:val="none"/>
        </w:rPr>
        <w:t xml:space="preserve">； </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d) 一件异议函/投诉函同时针对多个采购项目提出异议/投诉的； </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e) 异议/投诉已经处理并答复，提出人在异议/投诉有效期内就同一事项又重新提起异议/投诉，且未提供新的有效证据的；</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f）对未经异议程序</w:t>
      </w:r>
      <w:r>
        <w:rPr>
          <w:rFonts w:hint="eastAsia"/>
          <w:highlight w:val="none"/>
        </w:rPr>
        <w:t>或异议未办结</w:t>
      </w:r>
      <w:r>
        <w:rPr>
          <w:rFonts w:hint="eastAsia" w:ascii="宋体" w:hAnsi="宋体" w:cs="宋体"/>
          <w:szCs w:val="21"/>
          <w:highlight w:val="none"/>
        </w:rPr>
        <w:t>的事项直接提出投诉的；</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g) 其他不符合受理条件情形的。</w:t>
      </w:r>
    </w:p>
    <w:p>
      <w:pPr>
        <w:spacing w:line="360" w:lineRule="auto"/>
        <w:ind w:firstLine="422" w:firstLineChars="200"/>
        <w:rPr>
          <w:rFonts w:hint="eastAsia" w:ascii="宋体" w:hAnsi="宋体" w:cs="宋体"/>
          <w:szCs w:val="21"/>
          <w:highlight w:val="none"/>
        </w:rPr>
      </w:pPr>
      <w:r>
        <w:rPr>
          <w:rFonts w:hint="eastAsia" w:ascii="宋体" w:hAnsi="宋体" w:cs="宋体"/>
          <w:b/>
          <w:bCs/>
          <w:szCs w:val="21"/>
          <w:highlight w:val="none"/>
        </w:rPr>
        <w:t>五、处理</w:t>
      </w:r>
    </w:p>
    <w:p>
      <w:pPr>
        <w:spacing w:line="360" w:lineRule="auto"/>
        <w:ind w:firstLine="420" w:firstLineChars="200"/>
        <w:rPr>
          <w:rFonts w:hint="eastAsia" w:ascii="宋体" w:hAnsi="宋体" w:cs="宋体"/>
          <w:highlight w:val="none"/>
        </w:rPr>
      </w:pPr>
      <w:r>
        <w:rPr>
          <w:rFonts w:ascii="宋体" w:hAnsi="宋体" w:cs="宋体"/>
          <w:szCs w:val="21"/>
          <w:highlight w:val="none"/>
        </w:rPr>
        <w:t>5.1</w:t>
      </w:r>
      <w:r>
        <w:rPr>
          <w:rFonts w:hint="eastAsia" w:ascii="宋体" w:hAnsi="宋体" w:cs="宋体"/>
          <w:highlight w:val="none"/>
        </w:rPr>
        <w:t>经异议复核，有下列情形之一的，驳回异议：</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a) 缺乏事实、法律依据或证据材料不合法、不充分的； </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b) 捏造事实、提供虚假材料的； </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c) 其他根据相关法律法规应当予以驳回的情形。 </w:t>
      </w:r>
    </w:p>
    <w:p>
      <w:pPr>
        <w:spacing w:line="360" w:lineRule="auto"/>
        <w:ind w:firstLine="420" w:firstLineChars="200"/>
        <w:rPr>
          <w:rFonts w:hint="eastAsia" w:ascii="宋体" w:hAnsi="宋体" w:cs="宋体"/>
          <w:szCs w:val="21"/>
          <w:highlight w:val="none"/>
        </w:rPr>
      </w:pPr>
      <w:r>
        <w:rPr>
          <w:rFonts w:ascii="宋体" w:hAnsi="宋体" w:cs="宋体"/>
          <w:szCs w:val="21"/>
          <w:highlight w:val="none"/>
        </w:rPr>
        <w:t xml:space="preserve">5.2 </w:t>
      </w:r>
      <w:r>
        <w:rPr>
          <w:rFonts w:hint="eastAsia" w:ascii="宋体" w:hAnsi="宋体" w:cs="宋体"/>
          <w:szCs w:val="21"/>
          <w:highlight w:val="none"/>
        </w:rPr>
        <w:t>投诉缺乏</w:t>
      </w:r>
      <w:r>
        <w:rPr>
          <w:rFonts w:hint="eastAsia"/>
          <w:highlight w:val="none"/>
        </w:rPr>
        <w:t>法律、法规、</w:t>
      </w:r>
      <w:r>
        <w:rPr>
          <w:rFonts w:hint="eastAsia" w:ascii="宋体" w:hAnsi="宋体" w:cs="宋体"/>
          <w:szCs w:val="21"/>
          <w:highlight w:val="none"/>
        </w:rPr>
        <w:t>事实依据或虚假、恶意投诉的，驳回投诉。</w:t>
      </w:r>
    </w:p>
    <w:p>
      <w:pPr>
        <w:spacing w:line="360" w:lineRule="auto"/>
        <w:ind w:firstLine="420" w:firstLineChars="200"/>
        <w:rPr>
          <w:rFonts w:hint="eastAsia" w:ascii="宋体" w:hAnsi="宋体" w:cs="宋体"/>
          <w:highlight w:val="none"/>
        </w:rPr>
      </w:pPr>
      <w:r>
        <w:rPr>
          <w:rFonts w:hint="eastAsia" w:ascii="宋体" w:hAnsi="宋体" w:cs="宋体"/>
          <w:szCs w:val="21"/>
          <w:highlight w:val="none"/>
        </w:rPr>
        <w:t>5.</w:t>
      </w:r>
      <w:r>
        <w:rPr>
          <w:rFonts w:ascii="宋体" w:hAnsi="宋体" w:cs="宋体"/>
          <w:szCs w:val="21"/>
          <w:highlight w:val="none"/>
        </w:rPr>
        <w:t>3</w:t>
      </w:r>
      <w:r>
        <w:rPr>
          <w:rFonts w:hint="eastAsia" w:ascii="宋体" w:hAnsi="宋体" w:cs="宋体"/>
          <w:szCs w:val="21"/>
          <w:highlight w:val="none"/>
        </w:rPr>
        <w:t xml:space="preserve"> 异议/投诉处理完成后，采购人或投诉受理部门出具</w:t>
      </w:r>
      <w:r>
        <w:rPr>
          <w:rFonts w:hint="eastAsia" w:ascii="宋体" w:hAnsi="宋体" w:cs="宋体"/>
          <w:highlight w:val="none"/>
        </w:rPr>
        <w:t>《异议处理结果通知书》或《投诉处理决定书》发送提出人。</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5.</w:t>
      </w:r>
      <w:r>
        <w:rPr>
          <w:rFonts w:ascii="宋体" w:hAnsi="宋体" w:cs="宋体"/>
          <w:szCs w:val="21"/>
          <w:highlight w:val="none"/>
        </w:rPr>
        <w:t>4</w:t>
      </w:r>
      <w:r>
        <w:rPr>
          <w:rFonts w:hint="eastAsia" w:ascii="宋体" w:hAnsi="宋体" w:cs="宋体"/>
          <w:szCs w:val="21"/>
          <w:highlight w:val="none"/>
        </w:rPr>
        <w:t xml:space="preserve"> 处理异议/投诉事项原则上采取书面审查的办法，采购人或投诉受理部门认为有必要时，可以进行调查取证，也可以组织提出人和被异议/投诉人等相关当事人进行沟通、说明或当面质证。提出人拒绝配合调查的，按自动撤回异议/投诉处理；被异议/投诉人不提交相关证据、依据和其他有关材料的，视同放弃说明权利、认可异议/投诉事项。 </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5.</w:t>
      </w:r>
      <w:r>
        <w:rPr>
          <w:rFonts w:ascii="宋体" w:hAnsi="宋体" w:cs="宋体"/>
          <w:szCs w:val="21"/>
          <w:highlight w:val="none"/>
        </w:rPr>
        <w:t>5</w:t>
      </w:r>
      <w:r>
        <w:rPr>
          <w:rFonts w:hint="eastAsia" w:ascii="宋体" w:hAnsi="宋体" w:cs="宋体"/>
          <w:szCs w:val="21"/>
          <w:highlight w:val="none"/>
        </w:rPr>
        <w:t xml:space="preserve"> 异议/投诉处理过程中，相关当事人应当配合异议/投诉处理工作，遵守异议复核及投诉处理秩序纪律，如实反映情况，并提供异议/投诉所需要的相关材料。 </w:t>
      </w:r>
    </w:p>
    <w:p>
      <w:pPr>
        <w:spacing w:line="360" w:lineRule="auto"/>
        <w:ind w:firstLine="420" w:firstLineChars="200"/>
        <w:rPr>
          <w:rFonts w:hint="eastAsia" w:ascii="宋体" w:hAnsi="宋体" w:cs="宋体"/>
          <w:szCs w:val="21"/>
          <w:highlight w:val="none"/>
        </w:rPr>
      </w:pPr>
      <w:r>
        <w:rPr>
          <w:rFonts w:ascii="宋体" w:hAnsi="宋体" w:cs="宋体"/>
          <w:szCs w:val="21"/>
          <w:highlight w:val="none"/>
        </w:rPr>
        <w:t>5.6</w:t>
      </w:r>
      <w:r>
        <w:rPr>
          <w:rFonts w:hint="eastAsia" w:ascii="宋体" w:hAnsi="宋体" w:cs="宋体"/>
          <w:szCs w:val="21"/>
          <w:highlight w:val="none"/>
        </w:rPr>
        <w:t xml:space="preserve"> 处理投诉事项期间，投诉受理部门可视具体情况暂停采购活动并书面通知被投诉人，暂停时间最长</w:t>
      </w:r>
      <w:r>
        <w:rPr>
          <w:rFonts w:hint="eastAsia"/>
          <w:highlight w:val="none"/>
        </w:rPr>
        <w:t>可至投诉办结之日</w:t>
      </w:r>
      <w:r>
        <w:rPr>
          <w:rFonts w:hint="eastAsia" w:ascii="宋体" w:hAnsi="宋体" w:cs="宋体"/>
          <w:szCs w:val="21"/>
          <w:highlight w:val="none"/>
        </w:rPr>
        <w:t>。</w:t>
      </w:r>
      <w:r>
        <w:rPr>
          <w:rFonts w:ascii="宋体" w:hAnsi="宋体" w:cs="宋体"/>
          <w:szCs w:val="21"/>
          <w:highlight w:val="none"/>
        </w:rPr>
        <w:t xml:space="preserve"> </w:t>
      </w:r>
    </w:p>
    <w:p>
      <w:pPr>
        <w:spacing w:line="360" w:lineRule="auto"/>
        <w:ind w:firstLine="420" w:firstLineChars="200"/>
        <w:rPr>
          <w:rFonts w:hint="eastAsia" w:ascii="宋体" w:hAnsi="宋体" w:cs="宋体"/>
          <w:szCs w:val="21"/>
          <w:highlight w:val="none"/>
        </w:rPr>
      </w:pPr>
      <w:r>
        <w:rPr>
          <w:rFonts w:ascii="宋体" w:hAnsi="宋体" w:cs="宋体"/>
          <w:szCs w:val="21"/>
          <w:highlight w:val="none"/>
        </w:rPr>
        <w:t xml:space="preserve">5.7 </w:t>
      </w:r>
      <w:r>
        <w:rPr>
          <w:rFonts w:hint="eastAsia" w:ascii="宋体" w:hAnsi="宋体" w:cs="宋体"/>
          <w:szCs w:val="21"/>
          <w:highlight w:val="none"/>
        </w:rPr>
        <w:t>异议处理过程中，提出人要求撤回异议的，应当以书面方式提交异议撤销函，由法定代表人（分公司则为营业执照记载的负责人）签署本人姓名（或印盖本人姓名章）并加盖单位公章；提出人为个人的，由提出人本人签字。采购人收到异议撤销函后，有权视具体情况决定是否终止异议处理工作。</w:t>
      </w:r>
    </w:p>
    <w:p>
      <w:pPr>
        <w:spacing w:line="360" w:lineRule="auto"/>
        <w:ind w:firstLine="420" w:firstLineChars="200"/>
        <w:rPr>
          <w:rFonts w:hint="eastAsia" w:ascii="宋体" w:hAnsi="宋体" w:cs="宋体"/>
          <w:szCs w:val="21"/>
          <w:highlight w:val="none"/>
        </w:rPr>
      </w:pPr>
      <w:r>
        <w:rPr>
          <w:rFonts w:ascii="宋体" w:hAnsi="宋体" w:cs="宋体"/>
          <w:szCs w:val="21"/>
          <w:highlight w:val="none"/>
        </w:rPr>
        <w:t xml:space="preserve">5.8 </w:t>
      </w:r>
      <w:r>
        <w:rPr>
          <w:rFonts w:hint="eastAsia" w:ascii="宋体" w:hAnsi="宋体" w:cs="宋体"/>
          <w:szCs w:val="21"/>
          <w:highlight w:val="none"/>
        </w:rPr>
        <w:t>投诉处理过程中，提出人要求撤销投诉的，</w:t>
      </w:r>
      <w:r>
        <w:rPr>
          <w:rFonts w:hint="eastAsia"/>
          <w:highlight w:val="none"/>
        </w:rPr>
        <w:t>应当以书面方式提交投诉撤销函，投诉撤销函应加盖单位公章</w:t>
      </w:r>
      <w:r>
        <w:rPr>
          <w:rFonts w:hint="eastAsia" w:ascii="宋体" w:hAnsi="宋体" w:cs="宋体"/>
          <w:szCs w:val="21"/>
          <w:highlight w:val="none"/>
        </w:rPr>
        <w:t>；提出人为个人的，由提出人本人签字。提出人撤销投诉的，按终止投诉处理。</w:t>
      </w:r>
    </w:p>
    <w:p>
      <w:pPr>
        <w:spacing w:line="360" w:lineRule="auto"/>
        <w:ind w:firstLine="420" w:firstLineChars="200"/>
        <w:rPr>
          <w:rFonts w:hint="eastAsia" w:ascii="宋体" w:hAnsi="宋体" w:cs="宋体"/>
          <w:highlight w:val="none"/>
        </w:rPr>
      </w:pPr>
      <w:r>
        <w:rPr>
          <w:rFonts w:hint="eastAsia" w:ascii="宋体" w:hAnsi="宋体" w:cs="宋体"/>
          <w:szCs w:val="21"/>
          <w:highlight w:val="none"/>
        </w:rPr>
        <w:t>5.</w:t>
      </w:r>
      <w:r>
        <w:rPr>
          <w:rFonts w:ascii="宋体" w:hAnsi="宋体" w:cs="宋体"/>
          <w:szCs w:val="21"/>
          <w:highlight w:val="none"/>
        </w:rPr>
        <w:t>9</w:t>
      </w:r>
      <w:r>
        <w:rPr>
          <w:rFonts w:hint="eastAsia" w:ascii="宋体" w:hAnsi="宋体" w:cs="宋体"/>
          <w:szCs w:val="21"/>
          <w:highlight w:val="none"/>
        </w:rPr>
        <w:t xml:space="preserve"> 本采购项目在澄清/异议/投诉处理期间取消、</w:t>
      </w:r>
      <w:r>
        <w:rPr>
          <w:rFonts w:hint="eastAsia"/>
          <w:highlight w:val="none"/>
        </w:rPr>
        <w:t>终止或重新采购</w:t>
      </w:r>
      <w:r>
        <w:rPr>
          <w:rFonts w:hint="eastAsia" w:ascii="宋体" w:hAnsi="宋体" w:cs="宋体"/>
          <w:szCs w:val="21"/>
          <w:highlight w:val="none"/>
        </w:rPr>
        <w:t>的，如原澄清/异议/投诉事项没有必要继续受理或处理的，原澄清/异议/投诉受理部门有权根据相关规定视情况终止澄清/异议/投诉处理并通知提出人。</w:t>
      </w:r>
      <w:r>
        <w:rPr>
          <w:rFonts w:hint="eastAsia" w:ascii="宋体" w:hAnsi="宋体" w:cs="宋体"/>
          <w:highlight w:val="none"/>
        </w:rPr>
        <w:t xml:space="preserve"> </w:t>
      </w:r>
    </w:p>
    <w:p>
      <w:pPr>
        <w:numPr>
          <w:ilvl w:val="0"/>
          <w:numId w:val="25"/>
        </w:num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行为记录</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6.1 提出人有不良行为的，采购人有权将其列入限制交易供应商名单。</w:t>
      </w:r>
    </w:p>
    <w:p>
      <w:pPr>
        <w:spacing w:line="360" w:lineRule="auto"/>
        <w:ind w:firstLine="420" w:firstLineChars="200"/>
        <w:rPr>
          <w:rFonts w:hint="eastAsia" w:ascii="宋体" w:hAnsi="宋体" w:cs="宋体"/>
          <w:szCs w:val="21"/>
          <w:highlight w:val="none"/>
        </w:rPr>
      </w:pPr>
      <w:r>
        <w:rPr>
          <w:rFonts w:ascii="宋体" w:hAnsi="宋体" w:cs="宋体"/>
          <w:szCs w:val="21"/>
          <w:highlight w:val="none"/>
        </w:rPr>
        <w:t xml:space="preserve">6.2 </w:t>
      </w:r>
      <w:r>
        <w:rPr>
          <w:rFonts w:hint="eastAsia" w:ascii="宋体" w:hAnsi="宋体" w:cs="宋体"/>
          <w:szCs w:val="21"/>
          <w:highlight w:val="none"/>
        </w:rPr>
        <w:t xml:space="preserve">提出人提出异议或投诉时，有如下情形的，属于不良行为： </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a) 提出人无故不接收《异议处理结果通知书》</w:t>
      </w:r>
      <w:r>
        <w:rPr>
          <w:rFonts w:hint="eastAsia" w:ascii="宋体" w:hAnsi="宋体" w:cs="宋体"/>
          <w:highlight w:val="none"/>
        </w:rPr>
        <w:t>或《投诉处理决定书》</w:t>
      </w:r>
      <w:r>
        <w:rPr>
          <w:rFonts w:hint="eastAsia" w:ascii="宋体" w:hAnsi="宋体" w:cs="宋体"/>
          <w:szCs w:val="21"/>
          <w:highlight w:val="none"/>
        </w:rPr>
        <w:t xml:space="preserve">的； </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b) 捏造事实或提供虚假信息或材料的； </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c) 拒绝提供异议/投诉处理所需相关材料的； </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d) 一年内3次以上提出的投诉均查无实据的；</w:t>
      </w:r>
    </w:p>
    <w:p>
      <w:pPr>
        <w:spacing w:line="360" w:lineRule="auto"/>
        <w:ind w:firstLine="420" w:firstLineChars="200"/>
        <w:rPr>
          <w:rFonts w:hint="eastAsia" w:ascii="宋体" w:hAnsi="宋体" w:cs="宋体"/>
          <w:szCs w:val="21"/>
          <w:highlight w:val="none"/>
        </w:rPr>
      </w:pPr>
      <w:r>
        <w:rPr>
          <w:rFonts w:ascii="宋体" w:hAnsi="宋体" w:cs="宋体"/>
          <w:szCs w:val="21"/>
          <w:highlight w:val="none"/>
        </w:rPr>
        <w:t>e</w:t>
      </w:r>
      <w:r>
        <w:rPr>
          <w:rFonts w:hint="eastAsia" w:ascii="宋体" w:hAnsi="宋体" w:cs="宋体"/>
          <w:szCs w:val="21"/>
          <w:highlight w:val="none"/>
        </w:rPr>
        <w:t>)</w:t>
      </w:r>
      <w:r>
        <w:rPr>
          <w:rFonts w:ascii="宋体" w:hAnsi="宋体" w:cs="宋体"/>
          <w:szCs w:val="21"/>
          <w:highlight w:val="none"/>
        </w:rPr>
        <w:t xml:space="preserve"> </w:t>
      </w:r>
      <w:r>
        <w:rPr>
          <w:rFonts w:hint="eastAsia" w:ascii="宋体" w:hAnsi="宋体" w:cs="宋体"/>
          <w:szCs w:val="21"/>
          <w:highlight w:val="none"/>
        </w:rPr>
        <w:t xml:space="preserve">不按本承诺及程序指引进行异议/投诉，造成严重后果的。 </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f) 其他不配合异议/投诉处理工作的行为。 </w:t>
      </w:r>
    </w:p>
    <w:p>
      <w:pPr>
        <w:numPr>
          <w:ilvl w:val="0"/>
          <w:numId w:val="25"/>
        </w:num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费用承担</w:t>
      </w:r>
    </w:p>
    <w:p>
      <w:pPr>
        <w:widowControl/>
        <w:spacing w:line="360" w:lineRule="auto"/>
        <w:ind w:firstLine="420" w:firstLineChars="200"/>
        <w:rPr>
          <w:rFonts w:hint="eastAsia" w:ascii="宋体" w:hAnsi="宋体" w:cs="宋体"/>
          <w:b/>
          <w:bCs/>
          <w:highlight w:val="none"/>
        </w:rPr>
      </w:pPr>
      <w:r>
        <w:rPr>
          <w:rFonts w:hint="eastAsia" w:ascii="宋体" w:hAnsi="宋体" w:cs="宋体"/>
          <w:szCs w:val="21"/>
          <w:highlight w:val="none"/>
        </w:rPr>
        <w:t>采购人或投诉受理部门</w:t>
      </w:r>
      <w:r>
        <w:rPr>
          <w:rFonts w:hint="eastAsia" w:ascii="宋体" w:hAnsi="宋体" w:cs="宋体"/>
          <w:highlight w:val="none"/>
        </w:rPr>
        <w:t>受理、处理澄清/异议/投诉不会向提出人和被异议/投诉人收取任何费用，但因处理异议/投诉发生的检测、鉴定费用，应当按照“谁过错谁负担”的原则由过错方负担；提出人和被异议/投诉人都有过错的，由双方合理分担。</w:t>
      </w:r>
      <w:r>
        <w:rPr>
          <w:rFonts w:ascii="宋体" w:hAnsi="宋体" w:cs="宋体"/>
          <w:b/>
          <w:bCs/>
          <w:highlight w:val="none"/>
        </w:rPr>
        <w:t xml:space="preserve"> </w:t>
      </w:r>
    </w:p>
    <w:p>
      <w:pPr>
        <w:numPr>
          <w:ilvl w:val="0"/>
          <w:numId w:val="25"/>
        </w:num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保密责任</w:t>
      </w:r>
    </w:p>
    <w:p>
      <w:pPr>
        <w:spacing w:line="360" w:lineRule="auto"/>
        <w:ind w:firstLine="420" w:firstLineChars="200"/>
        <w:rPr>
          <w:rFonts w:hint="eastAsia" w:ascii="宋体" w:hAnsi="宋体" w:cs="宋体"/>
          <w:szCs w:val="21"/>
          <w:highlight w:val="none"/>
        </w:rPr>
      </w:pPr>
      <w:r>
        <w:rPr>
          <w:rFonts w:hint="eastAsia" w:ascii="宋体" w:hAnsi="宋体" w:cs="宋体"/>
          <w:highlight w:val="none"/>
        </w:rPr>
        <w:t>对在澄清/异议/投诉处理过程中知悉的商业秘密及个人隐私等，处理过程中的各方当事人均应严格保密并遵守采购相关保密规定。</w:t>
      </w:r>
    </w:p>
    <w:p>
      <w:pPr>
        <w:ind w:firstLine="420" w:firstLineChars="200"/>
        <w:rPr>
          <w:rFonts w:hint="eastAsia" w:ascii="宋体" w:hAnsi="宋体" w:cs="宋体"/>
          <w:szCs w:val="21"/>
          <w:highlight w:val="none"/>
        </w:rPr>
      </w:pP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本公司（供应商）已知晓并愿意遵守以上澄清/异议</w:t>
      </w:r>
      <w:r>
        <w:rPr>
          <w:rFonts w:hint="eastAsia" w:ascii="宋体" w:hAnsi="宋体" w:cs="宋体"/>
          <w:highlight w:val="none"/>
        </w:rPr>
        <w:t>/投诉</w:t>
      </w:r>
      <w:r>
        <w:rPr>
          <w:rFonts w:hint="eastAsia" w:ascii="宋体" w:hAnsi="宋体" w:cs="宋体"/>
          <w:szCs w:val="21"/>
          <w:highlight w:val="none"/>
        </w:rPr>
        <w:t>的程序及相关规定。承诺在本次采购活动中，如有本指引所述不良行为造成的损失、不良后果及法律责任，一律由本公司（供应商）承担。</w:t>
      </w:r>
    </w:p>
    <w:p>
      <w:pPr>
        <w:widowControl/>
        <w:spacing w:line="360" w:lineRule="auto"/>
        <w:rPr>
          <w:rFonts w:hint="eastAsia" w:ascii="宋体" w:hAnsi="宋体" w:cs="宋体"/>
          <w:kern w:val="0"/>
          <w:szCs w:val="21"/>
          <w:highlight w:val="none"/>
        </w:rPr>
      </w:pPr>
    </w:p>
    <w:p>
      <w:pPr>
        <w:adjustRightInd w:val="0"/>
        <w:snapToGrid w:val="0"/>
        <w:spacing w:line="360" w:lineRule="auto"/>
        <w:ind w:firstLine="4620" w:firstLineChars="2200"/>
        <w:rPr>
          <w:rFonts w:hint="eastAsia" w:ascii="宋体" w:hAnsi="宋体" w:cs="宋体"/>
          <w:szCs w:val="21"/>
          <w:highlight w:val="none"/>
          <w:u w:val="single"/>
        </w:rPr>
      </w:pPr>
      <w:r>
        <w:rPr>
          <w:rFonts w:hint="eastAsia" w:ascii="宋体" w:hAnsi="宋体" w:cs="宋体"/>
          <w:szCs w:val="21"/>
          <w:highlight w:val="none"/>
        </w:rPr>
        <w:t>供应商（单位盖章）：</w:t>
      </w:r>
    </w:p>
    <w:p>
      <w:pPr>
        <w:adjustRightInd w:val="0"/>
        <w:snapToGrid w:val="0"/>
        <w:spacing w:line="360" w:lineRule="auto"/>
        <w:ind w:firstLine="4620" w:firstLineChars="2200"/>
        <w:rPr>
          <w:rFonts w:hint="eastAsia" w:ascii="宋体" w:hAnsi="宋体" w:cs="宋体"/>
          <w:b/>
          <w:sz w:val="28"/>
          <w:highlight w:val="none"/>
        </w:rPr>
      </w:pPr>
      <w:r>
        <w:rPr>
          <w:rFonts w:hint="eastAsia" w:ascii="宋体" w:hAnsi="宋体" w:cs="宋体"/>
          <w:szCs w:val="21"/>
          <w:highlight w:val="none"/>
        </w:rPr>
        <w:t>日期：  年 月 日</w:t>
      </w:r>
    </w:p>
    <w:bookmarkEnd w:id="449"/>
    <w:bookmarkEnd w:id="450"/>
    <w:bookmarkEnd w:id="451"/>
    <w:bookmarkEnd w:id="452"/>
    <w:bookmarkEnd w:id="453"/>
    <w:bookmarkEnd w:id="454"/>
    <w:bookmarkEnd w:id="455"/>
    <w:bookmarkEnd w:id="456"/>
    <w:p>
      <w:pPr>
        <w:pStyle w:val="4"/>
        <w:pageBreakBefore/>
        <w:spacing w:before="156" w:beforeLines="50" w:after="156" w:afterLines="50" w:line="360" w:lineRule="auto"/>
        <w:ind w:left="0"/>
        <w:jc w:val="center"/>
        <w:rPr>
          <w:rFonts w:hint="eastAsia" w:ascii="宋体" w:hAnsi="宋体" w:cs="宋体"/>
          <w:b/>
          <w:highlight w:val="none"/>
        </w:rPr>
      </w:pPr>
      <w:bookmarkStart w:id="463" w:name="_Toc26711"/>
      <w:bookmarkStart w:id="464" w:name="_Toc12795"/>
      <w:bookmarkStart w:id="465" w:name="_Toc7017"/>
      <w:bookmarkStart w:id="466" w:name="_Toc23781"/>
      <w:bookmarkStart w:id="467" w:name="_Toc13671"/>
      <w:bookmarkStart w:id="468" w:name="_Toc25109"/>
      <w:bookmarkStart w:id="469" w:name="_Toc28708"/>
      <w:bookmarkStart w:id="470" w:name="_Toc12411"/>
      <w:bookmarkStart w:id="471" w:name="_Toc4799"/>
      <w:r>
        <w:rPr>
          <w:rFonts w:hint="eastAsia"/>
          <w:b/>
          <w:highlight w:val="none"/>
        </w:rPr>
        <w:t>格式十五、</w:t>
      </w:r>
      <w:r>
        <w:rPr>
          <w:rFonts w:hint="eastAsia" w:ascii="宋体" w:hAnsi="宋体" w:cs="宋体"/>
          <w:b/>
          <w:highlight w:val="none"/>
        </w:rPr>
        <w:t>限制交易供应商名单制度告知书</w:t>
      </w:r>
      <w:bookmarkEnd w:id="463"/>
      <w:bookmarkEnd w:id="464"/>
      <w:bookmarkEnd w:id="465"/>
      <w:bookmarkEnd w:id="466"/>
      <w:bookmarkEnd w:id="467"/>
      <w:bookmarkEnd w:id="468"/>
      <w:bookmarkEnd w:id="469"/>
      <w:bookmarkEnd w:id="470"/>
    </w:p>
    <w:bookmarkEnd w:id="457"/>
    <w:bookmarkEnd w:id="458"/>
    <w:bookmarkEnd w:id="459"/>
    <w:bookmarkEnd w:id="471"/>
    <w:p>
      <w:pPr>
        <w:widowControl/>
        <w:spacing w:line="500" w:lineRule="exact"/>
        <w:ind w:left="315" w:hanging="315" w:hangingChars="150"/>
        <w:jc w:val="left"/>
        <w:rPr>
          <w:rFonts w:hint="eastAsia" w:ascii="宋体" w:hAnsi="宋体" w:cs="宋体"/>
          <w:kern w:val="0"/>
          <w:szCs w:val="21"/>
          <w:highlight w:val="none"/>
        </w:rPr>
      </w:pPr>
      <w:r>
        <w:rPr>
          <w:rFonts w:hint="eastAsia" w:ascii="宋体" w:hAnsi="宋体" w:cs="宋体"/>
          <w:kern w:val="0"/>
          <w:szCs w:val="21"/>
          <w:highlight w:val="none"/>
        </w:rPr>
        <w:t>各供应商：</w:t>
      </w:r>
    </w:p>
    <w:p>
      <w:pPr>
        <w:spacing w:line="500" w:lineRule="exact"/>
        <w:ind w:firstLine="422" w:firstLineChars="200"/>
        <w:rPr>
          <w:rFonts w:hint="eastAsia" w:ascii="宋体" w:hAnsi="宋体" w:cs="宋体"/>
          <w:b/>
          <w:bCs/>
          <w:szCs w:val="21"/>
          <w:highlight w:val="none"/>
        </w:rPr>
      </w:pPr>
      <w:r>
        <w:rPr>
          <w:rFonts w:hint="eastAsia" w:ascii="宋体" w:hAnsi="宋体" w:cs="宋体"/>
          <w:b/>
          <w:bCs/>
          <w:szCs w:val="21"/>
          <w:highlight w:val="none"/>
        </w:rPr>
        <w:t>一、供应商发生下列情况之一，列入Ⅰ级限制交易供应商，限制准入期为1年：</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1、在采购活动中供应商相互串通或者与采购人及采购相关方串通(包括但不限于相互协商报价等实质性内容，约定中选人，约定部分供应商放弃参加采购或者中选，按照同一集团、协会、商会等组织要求协同响应，为谋取中选或者排斥特定供应商而采取联合行动，非法获知标底或评审委员会成员信息等)，因供应商围标/串标行为影响最终中标价，可能导致南航损失100万元（不含）以下的；</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2、因产品（或服务）质量不符合标准，或延期交货，或供应商服务人员未按合同要求及时到位、技术指导不到位或售后服务不到位，给南航造成严重不良影响或较大损失且被追究责任的；</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3、没有按照承诺供应承诺品牌、承诺参数的元器件或原材料行为被责任追究的；或提供的产品服务经验收不合格，经过整改后仍不合格且造成严重不良影响或较大损失的；</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4、无正当理由，拒绝或不配合检查，且经相关部门认定造成严重不良影响的或影响工作推进的。包括不限于未按相关部门要求配合调查或访谈的；未按要求提供项目响应文件资料的原件查验；拒绝接受生产设备设施、人员资质查验；拒不答复公司的查验或检查要求等情况；</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5、供应商注册、入库文件资料经查实弄虚作假的；或供应商在项目响应文件资料经查实弄虚作假，情节轻微，对项目评审结果未造成较大影响的；</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6、违约转包、分包合同货物情节较轻，占采购量少于30%的；</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7、采购领导小组认定为Ⅰ级不良行为的其他情况。</w:t>
      </w:r>
    </w:p>
    <w:p>
      <w:pPr>
        <w:spacing w:line="500" w:lineRule="exact"/>
        <w:ind w:firstLine="422" w:firstLineChars="200"/>
        <w:rPr>
          <w:rFonts w:hint="eastAsia" w:ascii="宋体" w:hAnsi="宋体" w:cs="宋体"/>
          <w:b/>
          <w:bCs/>
          <w:szCs w:val="21"/>
          <w:highlight w:val="none"/>
        </w:rPr>
      </w:pPr>
      <w:r>
        <w:rPr>
          <w:rFonts w:hint="eastAsia" w:ascii="宋体" w:hAnsi="宋体" w:cs="宋体"/>
          <w:b/>
          <w:bCs/>
          <w:szCs w:val="21"/>
          <w:highlight w:val="none"/>
        </w:rPr>
        <w:t>二、供应商发生下列情况之一，列入Ⅱ级限制交易供应商，限制准入期为2年：</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 xml:space="preserve">1、在采购活动中供应商相互串通或者与采购人及采购相关方串通，因供应商围标/串标行为影响最终中标价，可能导致南航损失100万元（含）以上，200万元（不含）以下的；  </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2、通过与采购人员、评审人员等串通、谋取项目成交，情节轻微的；</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3、虚假、恶意投诉、异议，且经相关部门认定造成不良影响的；虚假、恶意投诉、异议行为包括：提供虚假材料；3年内3次（含）以上不按公司规定程序进行投诉、异议，且投诉、异议事项均无效；3年内3次（含）以上投诉、异议查无实据的；投诉、异议事项已查实且合理答复后，投诉、异议人仍针对同一问题反复3次（含）以上投诉、异议；投诉、异议人拒不配合进行有关调查；</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4、在成交候选人公示期间放弃成交候选人资格；或在接到中标或成交通知书后，拒绝签署合同或单方面要求放弃中标资格；或签署合同后，单方面要求终止、解除合同；或在履行合同期间出现纠纷，不进行协商，恶意诉讼或虚假诉讼，经相关单位认定造成不良影响的；或供应商未按合同约定履行，经合同主管单位认定为情节严重的；</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5、违约转包、分包合同货物情节严重，占采购量大于30%（含）少于50%的；</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6、采购领导小组认定的Ⅱ级不良行为的其他情况。</w:t>
      </w:r>
    </w:p>
    <w:p>
      <w:pPr>
        <w:spacing w:line="500" w:lineRule="exact"/>
        <w:ind w:firstLine="422" w:firstLineChars="200"/>
        <w:rPr>
          <w:rFonts w:hint="eastAsia" w:ascii="宋体" w:hAnsi="宋体" w:cs="宋体"/>
          <w:szCs w:val="21"/>
          <w:highlight w:val="none"/>
        </w:rPr>
      </w:pPr>
      <w:r>
        <w:rPr>
          <w:rFonts w:hint="eastAsia" w:ascii="宋体" w:hAnsi="宋体" w:cs="宋体"/>
          <w:b/>
          <w:bCs/>
          <w:szCs w:val="21"/>
          <w:highlight w:val="none"/>
        </w:rPr>
        <w:t>三、供应商发生下列情况之一，列入Ⅲ级限制交易供应商，限制准入期为3年：</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1、在采购活动中供应商相互串通或者与采购人及采购相关方串通，因供应商围标/串标行为影响最终中标价，可能导致南航损失200万元（含）以上的；或参与采购项目活动中再次发生围标/串标行为的；</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2、通过与采购人员、评审人员等串通、谋取项目成交，情节严重的；或因供应商为谋求不正当利益，在参与公司采购活动中发生“围猎”、行贿、权力寻租、利益输送等违法行为，造成南航相关人员受到党纪处分、政务处分或公司处分等的；</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3、项目响应文件资料关键资料（如财务状况、业务资质、合同业绩、发票、产品检测报告等）经查实弄虚作假的；</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4、违约转包、分包合同货物情节比较严重，占采购量大于50%（含）的；</w:t>
      </w:r>
    </w:p>
    <w:p>
      <w:pPr>
        <w:spacing w:line="500" w:lineRule="exact"/>
        <w:ind w:firstLine="420" w:firstLineChars="200"/>
        <w:rPr>
          <w:rFonts w:hint="eastAsia" w:ascii="宋体" w:hAnsi="宋体" w:cs="宋体"/>
          <w:szCs w:val="21"/>
          <w:highlight w:val="none"/>
        </w:rPr>
      </w:pPr>
      <w:r>
        <w:rPr>
          <w:rFonts w:hint="eastAsia" w:ascii="宋体" w:hAnsi="宋体" w:cs="宋体"/>
          <w:szCs w:val="21"/>
          <w:highlight w:val="none"/>
        </w:rPr>
        <w:t>5、采购领导小组认定的Ⅲ级不良行为的其他情况。</w:t>
      </w:r>
    </w:p>
    <w:p>
      <w:pPr>
        <w:spacing w:line="500" w:lineRule="exact"/>
        <w:ind w:firstLine="422" w:firstLineChars="200"/>
        <w:rPr>
          <w:rFonts w:hint="eastAsia" w:ascii="宋体" w:hAnsi="宋体" w:cs="宋体"/>
          <w:szCs w:val="21"/>
          <w:highlight w:val="none"/>
        </w:rPr>
      </w:pPr>
      <w:r>
        <w:rPr>
          <w:rFonts w:hint="eastAsia" w:ascii="宋体" w:hAnsi="宋体" w:cs="宋体"/>
          <w:b/>
          <w:bCs/>
          <w:szCs w:val="21"/>
          <w:highlight w:val="none"/>
        </w:rPr>
        <w:t>四、供应商发生下列情况之一，列入永久限制交易供应商：</w:t>
      </w:r>
    </w:p>
    <w:p>
      <w:pPr>
        <w:spacing w:line="500" w:lineRule="exact"/>
        <w:ind w:firstLine="420" w:firstLineChars="200"/>
        <w:rPr>
          <w:highlight w:val="none"/>
        </w:rPr>
      </w:pPr>
      <w:r>
        <w:rPr>
          <w:rFonts w:hint="eastAsia" w:ascii="宋体" w:hAnsi="宋体" w:cs="宋体"/>
          <w:szCs w:val="21"/>
          <w:highlight w:val="none"/>
        </w:rPr>
        <w:t>供应商为谋求不正当利益，在参与公司采购活动中发生“围猎”、行贿、权力寻租、利益输送等违法行为，且相关证据材料证实其行为与供应商谋取中标、交易机会或竞争优势相关，造成恶劣影响的，按照受贿行贿一起查原则，行贿人不得与南航再发生业务往来，行贿人所属单位列为永久限制交易供应商，禁止其参加公司所有采购项目。</w:t>
      </w:r>
    </w:p>
    <w:p>
      <w:pPr>
        <w:spacing w:line="500" w:lineRule="exact"/>
        <w:ind w:firstLine="422" w:firstLineChars="200"/>
        <w:rPr>
          <w:rFonts w:hint="eastAsia" w:ascii="宋体" w:hAnsi="宋体" w:cs="宋体"/>
          <w:b/>
          <w:bCs/>
          <w:szCs w:val="21"/>
          <w:highlight w:val="none"/>
        </w:rPr>
      </w:pPr>
      <w:r>
        <w:rPr>
          <w:rFonts w:hint="eastAsia" w:ascii="宋体" w:hAnsi="宋体" w:cs="宋体"/>
          <w:b/>
          <w:bCs/>
          <w:szCs w:val="21"/>
          <w:highlight w:val="none"/>
        </w:rPr>
        <w:t>已被列入限制交易供应商名单的供应商在限制期内不允许参加南航集团范围（中国南方航空集团有限公司及下属各分、子公司或相关控股公司）内所有采购项目。若供应商存在上述违法、违规、违反谈判过程中各项要求和约定的行为被列入限制交易供应商的，中标（成交）通知书发出前取消中标（成交）资格；中标（成交）通知书已发出的，中标（成交）通知书自动失效且自始无效，供应商无权要求采购人和采购代理机构赔偿损失；已经签订或已在履行的中国南方航空集团有限公司及下属各分、子公司或相关控股公司采购项目合同（或协议），因供应商存在违法、违规、违反谈判过程中各项要求和约定的行为被列入限制交易供应商，中国南方航空集团有限公司及下属各分、子公司或相关控股公司可以解除合同并保留追究供应商给中国南方航空集团有限公司及下属各分、子公司或相关控股公司造成的损失和其他相关责任的权利。供应商应保证廉洁、诚信参与项目谈判过程并对此负责，承担因违法、违规、违反谈判过程中各项要求和约定所造成的一切后果（包括但不限于：取消成交资格、不予退还谈判保证金、解除合同、承担违约责任等）。</w:t>
      </w:r>
    </w:p>
    <w:p>
      <w:pPr>
        <w:widowControl/>
        <w:spacing w:line="500" w:lineRule="exact"/>
        <w:ind w:firstLine="422" w:firstLineChars="200"/>
        <w:jc w:val="left"/>
        <w:rPr>
          <w:highlight w:val="none"/>
        </w:rPr>
      </w:pPr>
      <w:r>
        <w:rPr>
          <w:rFonts w:hint="eastAsia" w:ascii="宋体" w:hAnsi="宋体" w:cs="宋体"/>
          <w:b/>
          <w:bCs/>
          <w:szCs w:val="21"/>
          <w:highlight w:val="none"/>
        </w:rPr>
        <w:t>此前被列入黑名单、不良行为供应商或限制交易供应商名单的供应商，南航有权根据限制交易供应商管理相关内部制度进行评定和管理，同时按照内部程序调整供应商的限制期。</w:t>
      </w:r>
    </w:p>
    <w:p>
      <w:pPr>
        <w:widowControl/>
        <w:spacing w:line="360" w:lineRule="auto"/>
        <w:ind w:firstLine="422" w:firstLineChars="150"/>
        <w:jc w:val="left"/>
        <w:rPr>
          <w:rFonts w:hint="eastAsia" w:ascii="宋体" w:hAnsi="宋体" w:cs="宋体"/>
          <w:b/>
          <w:bCs/>
          <w:kern w:val="0"/>
          <w:sz w:val="28"/>
          <w:szCs w:val="28"/>
          <w:highlight w:val="none"/>
        </w:rPr>
      </w:pPr>
      <w:r>
        <w:rPr>
          <w:rFonts w:hint="eastAsia" w:ascii="宋体" w:hAnsi="宋体" w:cs="宋体"/>
          <w:b/>
          <w:bCs/>
          <w:kern w:val="0"/>
          <w:sz w:val="28"/>
          <w:szCs w:val="28"/>
          <w:highlight w:val="none"/>
        </w:rPr>
        <w:t>本供应商已经知悉以上内容，并同意接受相关制度约束。</w:t>
      </w:r>
    </w:p>
    <w:p>
      <w:pPr>
        <w:spacing w:line="360" w:lineRule="auto"/>
        <w:ind w:firstLine="2940" w:firstLineChars="1400"/>
        <w:rPr>
          <w:rFonts w:hint="eastAsia" w:ascii="宋体" w:hAnsi="宋体" w:cs="宋体"/>
          <w:szCs w:val="21"/>
          <w:highlight w:val="none"/>
        </w:rPr>
      </w:pPr>
    </w:p>
    <w:p>
      <w:pPr>
        <w:spacing w:line="360" w:lineRule="auto"/>
        <w:ind w:firstLine="2940" w:firstLineChars="1400"/>
        <w:rPr>
          <w:rFonts w:hint="eastAsia" w:ascii="宋体" w:hAnsi="宋体" w:cs="宋体"/>
          <w:szCs w:val="21"/>
          <w:highlight w:val="none"/>
          <w:u w:val="single"/>
        </w:rPr>
      </w:pPr>
      <w:r>
        <w:rPr>
          <w:rFonts w:hint="eastAsia" w:ascii="宋体" w:hAnsi="宋体" w:cs="宋体"/>
          <w:szCs w:val="21"/>
          <w:highlight w:val="none"/>
        </w:rPr>
        <w:t>供 应 商（单位公章）：</w:t>
      </w:r>
      <w:r>
        <w:rPr>
          <w:rFonts w:hint="eastAsia" w:ascii="宋体" w:hAnsi="宋体" w:cs="宋体"/>
          <w:szCs w:val="21"/>
          <w:highlight w:val="none"/>
          <w:u w:val="single"/>
        </w:rPr>
        <w:t xml:space="preserve">               </w:t>
      </w:r>
    </w:p>
    <w:p>
      <w:pPr>
        <w:spacing w:line="360" w:lineRule="auto"/>
        <w:ind w:firstLine="2940" w:firstLineChars="1400"/>
        <w:rPr>
          <w:rFonts w:hint="eastAsia"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pPr>
        <w:pStyle w:val="4"/>
        <w:pageBreakBefore/>
        <w:spacing w:before="156" w:beforeLines="50" w:after="156" w:afterLines="50" w:line="360" w:lineRule="auto"/>
        <w:ind w:left="0"/>
        <w:jc w:val="center"/>
        <w:rPr>
          <w:b/>
          <w:highlight w:val="none"/>
        </w:rPr>
      </w:pPr>
      <w:bookmarkStart w:id="472" w:name="_Toc18490"/>
      <w:bookmarkStart w:id="473" w:name="_Toc28550"/>
      <w:bookmarkStart w:id="474" w:name="_Toc12860"/>
      <w:bookmarkStart w:id="475" w:name="_Toc504657646"/>
      <w:bookmarkStart w:id="476" w:name="_Toc961"/>
      <w:bookmarkStart w:id="477" w:name="_Toc23438"/>
      <w:bookmarkStart w:id="478" w:name="_Toc31453"/>
      <w:bookmarkStart w:id="479" w:name="_Toc9900"/>
      <w:bookmarkStart w:id="480" w:name="_Toc31669"/>
      <w:bookmarkStart w:id="481" w:name="_Toc13620"/>
      <w:bookmarkStart w:id="482" w:name="_Toc9933"/>
      <w:bookmarkStart w:id="483" w:name="_Toc6031"/>
      <w:r>
        <w:rPr>
          <w:rFonts w:hint="eastAsia"/>
          <w:b/>
          <w:highlight w:val="none"/>
        </w:rPr>
        <w:t>格式十六、供应商廉洁承诺书</w:t>
      </w:r>
      <w:bookmarkEnd w:id="472"/>
      <w:bookmarkEnd w:id="473"/>
      <w:bookmarkEnd w:id="474"/>
      <w:bookmarkEnd w:id="475"/>
      <w:bookmarkEnd w:id="476"/>
      <w:bookmarkEnd w:id="477"/>
      <w:bookmarkEnd w:id="478"/>
      <w:bookmarkEnd w:id="479"/>
      <w:bookmarkEnd w:id="480"/>
      <w:bookmarkEnd w:id="481"/>
      <w:bookmarkEnd w:id="482"/>
      <w:bookmarkEnd w:id="483"/>
    </w:p>
    <w:p>
      <w:pPr>
        <w:spacing w:line="360" w:lineRule="auto"/>
        <w:ind w:firstLine="420" w:firstLineChars="200"/>
        <w:rPr>
          <w:rFonts w:hint="eastAsia" w:ascii="宋体" w:hAnsi="宋体"/>
          <w:szCs w:val="21"/>
          <w:highlight w:val="none"/>
        </w:rPr>
      </w:pPr>
      <w:r>
        <w:rPr>
          <w:rFonts w:hint="eastAsia" w:ascii="宋体" w:hAnsi="宋体"/>
          <w:szCs w:val="21"/>
          <w:highlight w:val="none"/>
        </w:rPr>
        <w:t>我公司参与</w:t>
      </w:r>
      <w:r>
        <w:rPr>
          <w:rFonts w:ascii="宋体" w:hAnsi="宋体"/>
          <w:b/>
          <w:szCs w:val="21"/>
          <w:highlight w:val="none"/>
          <w:u w:val="single"/>
        </w:rPr>
        <w:t xml:space="preserve">   [</w:t>
      </w:r>
      <w:r>
        <w:rPr>
          <w:rFonts w:hint="eastAsia" w:ascii="宋体" w:hAnsi="宋体"/>
          <w:b/>
          <w:szCs w:val="21"/>
          <w:highlight w:val="none"/>
          <w:u w:val="single"/>
        </w:rPr>
        <w:t>项目名称</w:t>
      </w:r>
      <w:r>
        <w:rPr>
          <w:rFonts w:ascii="宋体" w:hAnsi="宋体"/>
          <w:b/>
          <w:szCs w:val="21"/>
          <w:highlight w:val="none"/>
          <w:u w:val="single"/>
        </w:rPr>
        <w:t>]</w:t>
      </w:r>
      <w:r>
        <w:rPr>
          <w:rFonts w:hint="eastAsia" w:ascii="宋体" w:hAnsi="宋体"/>
          <w:b/>
          <w:szCs w:val="21"/>
          <w:highlight w:val="none"/>
          <w:u w:val="single"/>
        </w:rPr>
        <w:t>、</w:t>
      </w:r>
      <w:r>
        <w:rPr>
          <w:rFonts w:ascii="宋体" w:hAnsi="宋体"/>
          <w:b/>
          <w:szCs w:val="21"/>
          <w:highlight w:val="none"/>
          <w:u w:val="single"/>
        </w:rPr>
        <w:t>[</w:t>
      </w:r>
      <w:r>
        <w:rPr>
          <w:rFonts w:hint="eastAsia" w:ascii="宋体" w:hAnsi="宋体"/>
          <w:b/>
          <w:szCs w:val="21"/>
          <w:highlight w:val="none"/>
          <w:u w:val="single"/>
        </w:rPr>
        <w:t>项目编号</w:t>
      </w:r>
      <w:r>
        <w:rPr>
          <w:rFonts w:ascii="宋体" w:hAnsi="宋体"/>
          <w:b/>
          <w:szCs w:val="21"/>
          <w:highlight w:val="none"/>
          <w:u w:val="single"/>
        </w:rPr>
        <w:t xml:space="preserve">]   </w:t>
      </w:r>
      <w:r>
        <w:rPr>
          <w:rFonts w:hint="eastAsia" w:ascii="宋体" w:hAnsi="宋体"/>
          <w:szCs w:val="21"/>
          <w:highlight w:val="none"/>
        </w:rPr>
        <w:t>项目，遵循公开、公平、公正和诚实信用的原则，承诺如下：</w:t>
      </w:r>
    </w:p>
    <w:p>
      <w:pPr>
        <w:spacing w:line="360" w:lineRule="auto"/>
        <w:ind w:firstLine="420" w:firstLineChars="200"/>
        <w:rPr>
          <w:rFonts w:hint="eastAsia" w:ascii="宋体" w:hAnsi="宋体"/>
          <w:szCs w:val="21"/>
          <w:highlight w:val="none"/>
        </w:rPr>
      </w:pPr>
      <w:r>
        <w:rPr>
          <w:rFonts w:hint="eastAsia" w:ascii="宋体" w:hAnsi="宋体"/>
          <w:szCs w:val="21"/>
          <w:highlight w:val="none"/>
        </w:rPr>
        <w:t>一、不向采购方、评审委员会人员赠送礼品、宴请以及安排旅游、健身、娱乐等活动；</w:t>
      </w:r>
    </w:p>
    <w:p>
      <w:pPr>
        <w:spacing w:line="360" w:lineRule="auto"/>
        <w:ind w:firstLine="420" w:firstLineChars="200"/>
        <w:rPr>
          <w:rFonts w:hint="eastAsia" w:ascii="宋体" w:hAnsi="宋体"/>
          <w:szCs w:val="21"/>
          <w:highlight w:val="none"/>
        </w:rPr>
      </w:pPr>
      <w:r>
        <w:rPr>
          <w:rFonts w:hint="eastAsia" w:ascii="宋体" w:hAnsi="宋体"/>
          <w:szCs w:val="21"/>
          <w:highlight w:val="none"/>
        </w:rPr>
        <w:t>二、不向上述人员赠送礼金、有价证券、支付凭证；支付、报销应由其负担的费用、票据；提供财物或其他财产性权利；</w:t>
      </w:r>
    </w:p>
    <w:p>
      <w:pPr>
        <w:spacing w:line="360" w:lineRule="auto"/>
        <w:ind w:firstLine="420" w:firstLineChars="200"/>
        <w:rPr>
          <w:rFonts w:hint="eastAsia" w:ascii="宋体" w:hAnsi="宋体"/>
          <w:szCs w:val="21"/>
          <w:highlight w:val="none"/>
        </w:rPr>
      </w:pPr>
      <w:r>
        <w:rPr>
          <w:rFonts w:hint="eastAsia" w:ascii="宋体" w:hAnsi="宋体"/>
          <w:szCs w:val="21"/>
          <w:highlight w:val="none"/>
        </w:rPr>
        <w:t>三、不与上述人员串通、勾结，泄露商业秘密，干扰公平竞争；</w:t>
      </w:r>
    </w:p>
    <w:p>
      <w:pPr>
        <w:spacing w:line="360" w:lineRule="auto"/>
        <w:ind w:firstLine="420" w:firstLineChars="200"/>
        <w:rPr>
          <w:rFonts w:hint="eastAsia" w:ascii="宋体" w:hAnsi="宋体"/>
          <w:szCs w:val="21"/>
          <w:highlight w:val="none"/>
        </w:rPr>
      </w:pPr>
      <w:r>
        <w:rPr>
          <w:rFonts w:hint="eastAsia" w:ascii="宋体" w:hAnsi="宋体"/>
          <w:szCs w:val="21"/>
          <w:highlight w:val="none"/>
        </w:rPr>
        <w:t>四、不隐瞒真实情况，提交虚假资质、资信、财务证明等材料；</w:t>
      </w:r>
    </w:p>
    <w:p>
      <w:pPr>
        <w:spacing w:line="360" w:lineRule="auto"/>
        <w:ind w:firstLine="420" w:firstLineChars="200"/>
        <w:rPr>
          <w:rFonts w:hint="eastAsia" w:ascii="宋体" w:hAnsi="宋体"/>
          <w:szCs w:val="21"/>
          <w:highlight w:val="none"/>
        </w:rPr>
      </w:pPr>
      <w:r>
        <w:rPr>
          <w:rFonts w:hint="eastAsia" w:ascii="宋体" w:hAnsi="宋体"/>
          <w:szCs w:val="21"/>
          <w:highlight w:val="none"/>
        </w:rPr>
        <w:t>五、不与其他供应商相互勾结、串通，通过串标、围标等不正当手段排挤其他竞争者。</w:t>
      </w:r>
      <w:r>
        <w:rPr>
          <w:rFonts w:ascii="宋体" w:hAnsi="宋体"/>
          <w:szCs w:val="21"/>
          <w:highlight w:val="none"/>
        </w:rPr>
        <w:t xml:space="preserve"> </w:t>
      </w:r>
    </w:p>
    <w:p>
      <w:pPr>
        <w:tabs>
          <w:tab w:val="left" w:pos="557"/>
        </w:tabs>
        <w:spacing w:line="360" w:lineRule="auto"/>
        <w:ind w:firstLine="420" w:firstLineChars="200"/>
        <w:rPr>
          <w:rFonts w:hint="eastAsia" w:ascii="宋体" w:hAnsi="宋体"/>
          <w:szCs w:val="21"/>
          <w:highlight w:val="none"/>
        </w:rPr>
      </w:pPr>
      <w:r>
        <w:rPr>
          <w:rFonts w:hint="eastAsia" w:ascii="宋体" w:hAnsi="宋体"/>
          <w:szCs w:val="21"/>
          <w:highlight w:val="none"/>
        </w:rPr>
        <w:t>违反上述承诺，我单位自愿接受包括但不限于取消入围供应商资格、成交资格以及终止合同、</w:t>
      </w:r>
      <w:r>
        <w:rPr>
          <w:rFonts w:hint="eastAsia" w:ascii="宋体" w:hAnsi="宋体" w:cs="宋体"/>
          <w:szCs w:val="21"/>
          <w:highlight w:val="none"/>
        </w:rPr>
        <w:t>列入限制交易供应商名单</w:t>
      </w:r>
      <w:r>
        <w:rPr>
          <w:rFonts w:hint="eastAsia" w:ascii="宋体" w:hAnsi="宋体"/>
          <w:szCs w:val="21"/>
          <w:highlight w:val="none"/>
        </w:rPr>
        <w:t>等严肃处理，并赔偿采购单位全部损失及承担相应的法律责任。任何第三方因我单位违反以上承诺而向采购单位索赔或主张权利的，所有责任及后果均由我单位独自承担。</w:t>
      </w:r>
    </w:p>
    <w:p>
      <w:pPr>
        <w:tabs>
          <w:tab w:val="left" w:pos="557"/>
        </w:tabs>
        <w:spacing w:line="360" w:lineRule="auto"/>
        <w:ind w:firstLine="420" w:firstLineChars="200"/>
        <w:rPr>
          <w:rFonts w:hint="eastAsia" w:ascii="宋体" w:hAnsi="宋体"/>
          <w:szCs w:val="21"/>
          <w:highlight w:val="none"/>
        </w:rPr>
      </w:pPr>
      <w:r>
        <w:rPr>
          <w:rFonts w:hint="eastAsia" w:ascii="宋体" w:hAnsi="宋体"/>
          <w:szCs w:val="21"/>
          <w:highlight w:val="none"/>
        </w:rPr>
        <w:t xml:space="preserve">  </w:t>
      </w:r>
    </w:p>
    <w:p>
      <w:pPr>
        <w:tabs>
          <w:tab w:val="left" w:pos="557"/>
        </w:tabs>
        <w:spacing w:line="360" w:lineRule="auto"/>
        <w:ind w:firstLine="420" w:firstLineChars="200"/>
        <w:rPr>
          <w:rFonts w:hint="eastAsia" w:ascii="宋体" w:hAnsi="宋体"/>
          <w:szCs w:val="21"/>
          <w:highlight w:val="none"/>
        </w:rPr>
      </w:pPr>
    </w:p>
    <w:p>
      <w:pPr>
        <w:spacing w:line="360" w:lineRule="auto"/>
        <w:ind w:firstLine="3570" w:firstLineChars="1700"/>
        <w:rPr>
          <w:rFonts w:hint="eastAsia" w:ascii="宋体" w:hAnsi="宋体"/>
          <w:szCs w:val="21"/>
          <w:highlight w:val="none"/>
        </w:rPr>
      </w:pPr>
      <w:r>
        <w:rPr>
          <w:rFonts w:hint="eastAsia" w:ascii="宋体" w:hAnsi="宋体"/>
          <w:szCs w:val="21"/>
          <w:highlight w:val="none"/>
        </w:rPr>
        <w:t>供应商（单位盖章）：</w:t>
      </w:r>
      <w:r>
        <w:rPr>
          <w:rFonts w:hint="eastAsia" w:ascii="宋体" w:hAnsi="宋体"/>
          <w:szCs w:val="21"/>
          <w:highlight w:val="none"/>
          <w:u w:val="single"/>
        </w:rPr>
        <w:t xml:space="preserve">                    </w:t>
      </w:r>
    </w:p>
    <w:p>
      <w:pPr>
        <w:tabs>
          <w:tab w:val="left" w:pos="557"/>
        </w:tabs>
        <w:spacing w:line="360" w:lineRule="auto"/>
        <w:ind w:firstLine="420" w:firstLineChars="200"/>
        <w:rPr>
          <w:rFonts w:hint="eastAsia" w:ascii="宋体" w:hAnsi="宋体"/>
          <w:szCs w:val="21"/>
          <w:highlight w:val="none"/>
          <w:u w:val="single"/>
        </w:rPr>
      </w:pP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u w:val="single"/>
        </w:rPr>
        <w:t xml:space="preserve">     </w:t>
      </w:r>
      <w:r>
        <w:rPr>
          <w:rFonts w:hint="eastAsia" w:ascii="宋体" w:hAnsi="宋体"/>
          <w:szCs w:val="21"/>
          <w:highlight w:val="none"/>
        </w:rPr>
        <w:t>年</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月</w:t>
      </w:r>
      <w:r>
        <w:rPr>
          <w:rFonts w:ascii="宋体" w:hAnsi="宋体"/>
          <w:szCs w:val="21"/>
          <w:highlight w:val="none"/>
          <w:u w:val="single"/>
        </w:rPr>
        <w:t xml:space="preserve">      </w:t>
      </w:r>
      <w:r>
        <w:rPr>
          <w:rFonts w:hint="eastAsia" w:ascii="宋体" w:hAnsi="宋体"/>
          <w:szCs w:val="21"/>
          <w:highlight w:val="none"/>
          <w:u w:val="single"/>
        </w:rPr>
        <w:t>日</w:t>
      </w:r>
    </w:p>
    <w:p>
      <w:pPr>
        <w:pStyle w:val="3"/>
        <w:rPr>
          <w:rFonts w:hint="eastAsia" w:ascii="宋体" w:hAnsi="宋体"/>
          <w:szCs w:val="21"/>
          <w:highlight w:val="none"/>
          <w:u w:val="single"/>
        </w:rPr>
      </w:pPr>
    </w:p>
    <w:p>
      <w:pPr>
        <w:pStyle w:val="4"/>
        <w:pageBreakBefore/>
        <w:spacing w:before="156" w:beforeLines="50" w:after="156" w:afterLines="50" w:line="360" w:lineRule="auto"/>
        <w:ind w:left="0"/>
        <w:jc w:val="center"/>
        <w:rPr>
          <w:rFonts w:hint="eastAsia" w:ascii="宋体" w:hAnsi="宋体" w:cs="宋体"/>
          <w:b/>
          <w:highlight w:val="none"/>
        </w:rPr>
      </w:pPr>
      <w:bookmarkStart w:id="484" w:name="_Toc31940"/>
      <w:bookmarkStart w:id="485" w:name="_Toc18970"/>
      <w:bookmarkStart w:id="486" w:name="_Toc19278"/>
      <w:bookmarkStart w:id="487" w:name="_Toc23006"/>
      <w:bookmarkStart w:id="488" w:name="_Toc11508"/>
      <w:bookmarkStart w:id="489" w:name="_Toc30803"/>
      <w:bookmarkStart w:id="490" w:name="_Toc26754"/>
      <w:bookmarkStart w:id="491" w:name="_Toc71279161"/>
      <w:bookmarkStart w:id="492" w:name="_Toc34646023"/>
      <w:bookmarkStart w:id="493" w:name="_Toc13545"/>
      <w:bookmarkStart w:id="494" w:name="_Toc16441"/>
      <w:permStart w:id="37" w:edGrp="everyone"/>
      <w:r>
        <w:rPr>
          <w:rFonts w:hint="eastAsia" w:ascii="宋体" w:hAnsi="宋体" w:cs="宋体"/>
          <w:b/>
          <w:highlight w:val="none"/>
        </w:rPr>
        <w:t>格式十七、响应材料</w:t>
      </w:r>
      <w:bookmarkEnd w:id="484"/>
      <w:bookmarkEnd w:id="485"/>
      <w:bookmarkEnd w:id="486"/>
      <w:bookmarkEnd w:id="487"/>
      <w:bookmarkEnd w:id="488"/>
      <w:bookmarkEnd w:id="489"/>
      <w:bookmarkEnd w:id="490"/>
      <w:bookmarkEnd w:id="491"/>
      <w:bookmarkEnd w:id="492"/>
      <w:bookmarkEnd w:id="493"/>
      <w:bookmarkEnd w:id="494"/>
    </w:p>
    <w:p>
      <w:pPr>
        <w:spacing w:line="360" w:lineRule="auto"/>
        <w:rPr>
          <w:rFonts w:hint="eastAsia" w:ascii="宋体" w:hAnsi="宋体" w:cs="宋体"/>
          <w:bCs/>
          <w:szCs w:val="21"/>
          <w:highlight w:val="none"/>
        </w:rPr>
      </w:pPr>
      <w:r>
        <w:rPr>
          <w:rFonts w:hint="eastAsia" w:ascii="宋体" w:hAnsi="宋体" w:cs="宋体"/>
          <w:bCs/>
          <w:szCs w:val="21"/>
          <w:highlight w:val="none"/>
        </w:rPr>
        <w:t>【中国南方航空股份有限公司航空服务部】：</w:t>
      </w:r>
    </w:p>
    <w:p>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我单位是</w:t>
      </w:r>
      <w:r>
        <w:rPr>
          <w:rFonts w:hint="eastAsia" w:ascii="宋体" w:hAnsi="宋体" w:cs="宋体"/>
          <w:bCs/>
          <w:szCs w:val="21"/>
          <w:highlight w:val="none"/>
          <w:u w:val="single"/>
        </w:rPr>
        <w:t xml:space="preserve">    （供应商全称）      </w:t>
      </w:r>
      <w:r>
        <w:rPr>
          <w:rFonts w:hint="eastAsia" w:ascii="宋体" w:hAnsi="宋体" w:cs="宋体"/>
          <w:bCs/>
          <w:szCs w:val="21"/>
          <w:highlight w:val="none"/>
        </w:rPr>
        <w:t>，在贵单位参加项目编号为</w:t>
      </w:r>
      <w:r>
        <w:rPr>
          <w:rFonts w:hint="eastAsia" w:ascii="宋体" w:hAnsi="宋体" w:cs="宋体"/>
          <w:bCs/>
          <w:szCs w:val="21"/>
          <w:highlight w:val="none"/>
          <w:u w:val="single"/>
        </w:rPr>
        <w:t xml:space="preserve">                </w:t>
      </w:r>
      <w:r>
        <w:rPr>
          <w:rFonts w:hint="eastAsia" w:ascii="宋体" w:hAnsi="宋体" w:cs="宋体"/>
          <w:bCs/>
          <w:szCs w:val="21"/>
          <w:highlight w:val="none"/>
        </w:rPr>
        <w:t>，项目名称为</w:t>
      </w:r>
      <w:r>
        <w:rPr>
          <w:rFonts w:hint="eastAsia" w:ascii="宋体" w:hAnsi="宋体" w:cs="宋体"/>
          <w:bCs/>
          <w:szCs w:val="21"/>
          <w:highlight w:val="none"/>
          <w:u w:val="single"/>
        </w:rPr>
        <w:t xml:space="preserve">                                 </w:t>
      </w:r>
      <w:r>
        <w:rPr>
          <w:rFonts w:hint="eastAsia" w:ascii="宋体" w:hAnsi="宋体" w:cs="宋体"/>
          <w:bCs/>
          <w:szCs w:val="21"/>
          <w:highlight w:val="none"/>
        </w:rPr>
        <w:t>的采购项目， 现我单位就该项目响应相关事宜确认如下：</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1.挂牌三星（含）以上且携程评分【4】分（含）以上酒店或携程评级3钻/舒适型（含）以上且携程评分【4】分（含）以上酒店。</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本次项目为框架采购，采购人发出的预算金额仅为在框架有效期内可能发生项目的预计数，并非完全确定的需求，并不作为采购人向供应商作出的具体项目确认；如采购人在本次框架采购中中选，供应商确认：同意本框架合同不作为采购人向供应商作出的具体项目确认，如采购人在框架有效期内未下达采购订单或未足额下达采购订单，不构成采购人违约，供应商不得追究采购人违约责任。</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3、供应商报价不得高于携程网同等房型售卖价（特价房除外）；确认国家法定节假日（包括不限于春节、元旦、国庆、五一等）或特殊活动（如大型会议、展会等）等旺季期间不得以任何形式在响应报价基础上提出溢价；供应商在履约过程中，确认优先保障南航中转、航延旅客，如有违反上述情况的，采购人有权对相关供应商进行处理。</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4、供应商确认接送旅客车辆全天24小时服从采购人调配使用，保证严格按照采购人要求的标准时间内为旅客提供酒店至机场往返程车辆接送服务。</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5、供应商须配备至少</w:t>
      </w:r>
      <w:r>
        <w:rPr>
          <w:rFonts w:hint="eastAsia" w:ascii="宋体" w:hAnsi="宋体"/>
          <w:szCs w:val="21"/>
          <w:highlight w:val="none"/>
        </w:rPr>
        <w:t>【3】</w:t>
      </w:r>
      <w:r>
        <w:rPr>
          <w:rFonts w:hint="eastAsia" w:ascii="宋体" w:hAnsi="宋体" w:cs="宋体"/>
          <w:szCs w:val="21"/>
          <w:highlight w:val="none"/>
        </w:rPr>
        <w:t>名机场接待人员，并根据采购人中转、航延业务需要，保障旅客住宿需求，服从采购人业务部门工作人员全天24小时调配；另外，供应商所有服务人员（包括但不仅限于机场接待、前台接待人员等）须具备英语沟通服务能力，能够在酒店前台服务、客房服务、餐饮服务等领域上解决旅客问题。</w:t>
      </w:r>
    </w:p>
    <w:p>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6、供应商须确保协议服务期开始之日（计划</w:t>
      </w:r>
      <w:r>
        <w:rPr>
          <w:rFonts w:hint="eastAsia" w:ascii="宋体" w:hAnsi="宋体"/>
          <w:szCs w:val="21"/>
          <w:highlight w:val="none"/>
        </w:rPr>
        <w:t>【2023】</w:t>
      </w:r>
      <w:r>
        <w:rPr>
          <w:rFonts w:hint="eastAsia" w:ascii="宋体" w:hAnsi="宋体" w:cs="宋体"/>
          <w:szCs w:val="21"/>
          <w:highlight w:val="none"/>
        </w:rPr>
        <w:t>年</w:t>
      </w:r>
      <w:r>
        <w:rPr>
          <w:rFonts w:hint="eastAsia" w:ascii="宋体" w:hAnsi="宋体"/>
          <w:szCs w:val="21"/>
          <w:highlight w:val="none"/>
        </w:rPr>
        <w:t>【】</w:t>
      </w:r>
      <w:r>
        <w:rPr>
          <w:rFonts w:hint="eastAsia" w:ascii="宋体" w:hAnsi="宋体" w:cs="宋体"/>
          <w:szCs w:val="21"/>
          <w:highlight w:val="none"/>
        </w:rPr>
        <w:t>月</w:t>
      </w:r>
      <w:r>
        <w:rPr>
          <w:rFonts w:hint="eastAsia" w:ascii="宋体" w:hAnsi="宋体"/>
          <w:szCs w:val="21"/>
          <w:highlight w:val="none"/>
        </w:rPr>
        <w:t>【】</w:t>
      </w:r>
      <w:r>
        <w:rPr>
          <w:rFonts w:hint="eastAsia" w:ascii="宋体" w:hAnsi="宋体" w:cs="宋体"/>
          <w:szCs w:val="21"/>
          <w:highlight w:val="none"/>
        </w:rPr>
        <w:t>日）起能够正常对外营业（非正常营业状态包括但不仅限于酒店升级装修、酒店筹备开业、酒店承担隔离旅客接待等），承担南航中转航延旅客接待任务。</w:t>
      </w:r>
    </w:p>
    <w:p>
      <w:pPr>
        <w:widowControl/>
        <w:spacing w:line="360" w:lineRule="auto"/>
        <w:ind w:left="630" w:leftChars="200" w:hanging="210" w:hangingChars="100"/>
        <w:jc w:val="left"/>
        <w:rPr>
          <w:rFonts w:hint="eastAsia" w:ascii="宋体" w:hAnsi="宋体" w:cs="宋体"/>
          <w:szCs w:val="21"/>
          <w:highlight w:val="none"/>
        </w:rPr>
      </w:pPr>
      <w:r>
        <w:rPr>
          <w:rFonts w:hint="eastAsia" w:ascii="宋体" w:hAnsi="宋体" w:cs="宋体"/>
          <w:szCs w:val="21"/>
          <w:highlight w:val="none"/>
        </w:rPr>
        <w:t>7、供应商确认在发生大面积航延时，优先保障南航航延旅客，为航延旅客提供</w:t>
      </w:r>
      <w:r>
        <w:rPr>
          <w:rFonts w:hint="eastAsia" w:ascii="宋体" w:hAnsi="宋体"/>
          <w:szCs w:val="21"/>
          <w:highlight w:val="none"/>
        </w:rPr>
        <w:t>【60】</w:t>
      </w:r>
      <w:r>
        <w:rPr>
          <w:rFonts w:hint="eastAsia" w:ascii="宋体" w:hAnsi="宋体" w:cs="宋体"/>
          <w:szCs w:val="21"/>
          <w:highlight w:val="none"/>
        </w:rPr>
        <w:t>个床</w:t>
      </w:r>
    </w:p>
    <w:p>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特此确认！</w:t>
      </w:r>
    </w:p>
    <w:p>
      <w:pPr>
        <w:spacing w:line="360" w:lineRule="auto"/>
        <w:ind w:firstLine="420" w:firstLineChars="200"/>
        <w:rPr>
          <w:rFonts w:hint="eastAsia" w:ascii="宋体" w:hAnsi="宋体" w:cs="宋体"/>
          <w:bCs/>
          <w:szCs w:val="21"/>
          <w:highlight w:val="none"/>
        </w:rPr>
      </w:pPr>
    </w:p>
    <w:p>
      <w:pPr>
        <w:spacing w:line="360" w:lineRule="auto"/>
        <w:ind w:firstLine="3990" w:firstLineChars="1900"/>
        <w:rPr>
          <w:rFonts w:hint="eastAsia" w:ascii="宋体" w:hAnsi="宋体" w:cs="宋体"/>
          <w:szCs w:val="21"/>
          <w:highlight w:val="none"/>
        </w:rPr>
      </w:pPr>
    </w:p>
    <w:p>
      <w:pPr>
        <w:spacing w:line="360" w:lineRule="auto"/>
        <w:ind w:firstLine="3990" w:firstLineChars="1900"/>
        <w:rPr>
          <w:rFonts w:hint="eastAsia" w:ascii="宋体" w:hAnsi="宋体" w:cs="宋体"/>
          <w:bCs/>
          <w:szCs w:val="21"/>
          <w:highlight w:val="none"/>
        </w:rPr>
      </w:pPr>
      <w:r>
        <w:rPr>
          <w:rFonts w:hint="eastAsia" w:ascii="宋体" w:hAnsi="宋体" w:cs="宋体"/>
          <w:szCs w:val="21"/>
          <w:highlight w:val="none"/>
        </w:rPr>
        <w:t>供应商（单位公章）：</w:t>
      </w:r>
    </w:p>
    <w:p>
      <w:pPr>
        <w:spacing w:line="360" w:lineRule="auto"/>
        <w:ind w:firstLine="4830" w:firstLineChars="2300"/>
        <w:rPr>
          <w:rFonts w:hint="eastAsia" w:ascii="宋体" w:hAnsi="宋体" w:cs="宋体"/>
          <w:bCs/>
          <w:szCs w:val="21"/>
          <w:highlight w:val="none"/>
        </w:rPr>
      </w:pPr>
      <w:r>
        <w:rPr>
          <w:rFonts w:hint="eastAsia" w:ascii="宋体" w:hAnsi="宋体" w:cs="宋体"/>
          <w:bCs/>
          <w:szCs w:val="21"/>
          <w:highlight w:val="none"/>
        </w:rPr>
        <w:t>联系电话：</w:t>
      </w:r>
    </w:p>
    <w:p>
      <w:pPr>
        <w:spacing w:line="360" w:lineRule="auto"/>
        <w:ind w:firstLine="5040" w:firstLineChars="2400"/>
        <w:rPr>
          <w:rFonts w:hint="eastAsia" w:ascii="宋体" w:hAnsi="宋体" w:cs="宋体"/>
          <w:szCs w:val="21"/>
          <w:highlight w:val="none"/>
        </w:rPr>
      </w:pPr>
      <w:r>
        <w:rPr>
          <w:rFonts w:hint="eastAsia" w:ascii="宋体" w:hAnsi="宋体" w:cs="宋体"/>
          <w:bCs/>
          <w:szCs w:val="21"/>
          <w:highlight w:val="none"/>
        </w:rPr>
        <w:t>年  月   日</w:t>
      </w:r>
    </w:p>
    <w:permEnd w:id="37"/>
    <w:p>
      <w:pPr>
        <w:rPr>
          <w:highlight w:val="none"/>
        </w:rPr>
      </w:pPr>
    </w:p>
    <w:bookmarkEnd w:id="460"/>
    <w:bookmarkEnd w:id="461"/>
    <w:bookmarkEnd w:id="462"/>
    <w:p>
      <w:pPr>
        <w:spacing w:before="156" w:beforeLines="50" w:after="156" w:afterLines="50" w:line="502" w:lineRule="exact"/>
        <w:rPr>
          <w:rFonts w:hint="eastAsia" w:ascii="宋体" w:hAnsi="宋体"/>
          <w:b/>
          <w:sz w:val="44"/>
          <w:highlight w:val="none"/>
        </w:rPr>
      </w:pPr>
      <w:bookmarkStart w:id="495" w:name="page28"/>
      <w:bookmarkEnd w:id="495"/>
      <w:bookmarkStart w:id="496" w:name="page25"/>
      <w:bookmarkEnd w:id="496"/>
      <w:bookmarkStart w:id="497" w:name="page30"/>
      <w:bookmarkEnd w:id="497"/>
    </w:p>
    <w:sectPr>
      <w:headerReference r:id="rId6" w:type="default"/>
      <w:footerReference r:id="rId7" w:type="default"/>
      <w:pgSz w:w="11906" w:h="16838"/>
      <w:pgMar w:top="1440" w:right="1519" w:bottom="1327" w:left="1519"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16"/>
                          </w:pPr>
                          <w:r>
                            <w:fldChar w:fldCharType="begin"/>
                          </w:r>
                          <w:r>
                            <w:instrText xml:space="preserve"> PAGE  \* MERGEFORMAT </w:instrText>
                          </w:r>
                          <w:r>
                            <w:fldChar w:fldCharType="separate"/>
                          </w:r>
                          <w:r>
                            <w:t>1</w:t>
                          </w:r>
                          <w:r>
                            <w:fldChar w:fldCharType="end"/>
                          </w:r>
                        </w:p>
                      </w:txbxContent>
                    </wps:txbx>
                    <wps:bodyPr vert="horz" wrap="none" lIns="0" tIns="0" rIns="0" bIns="0" anchor="t" anchorCtr="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EZqjhngAQAAvAMAAA4AAABkcnMvZTJvRG9jLnhtbK1TwY7TMBC9&#10;I/EPlu802UoLJWq6AqpFSAiQFj7AdZzGku2xPG6T8gHwB5y4cOe7+h2MnaSLlsseuCRjz8ybeW/G&#10;65vBGnZUATW4ml8tSs6Uk9Bot6/5l8+3z1acYRSuEQacqvlJIb/ZPH2y7n2lltCBaVRgBOKw6n3N&#10;uxh9VRQoO2UFLsArR84WghWRjmFfNEH0hG5NsSzL50UPofEBpEKk2+3o5BNieAwgtK2WagvyYJWL&#10;I2pQRkSihJ32yDe527ZVMn5sW1SRmZoT05i/VITsXfoWm7Wo9kH4TsupBfGYFh5wskI7KnqB2ooo&#10;2CHof6CslgEQ2riQYIuRSFaEWFyVD7S564RXmQtJjf4iOv4/WPnh+Ckw3dT8JWdOWBr4+cf388/f&#10;51/f2DLJ03usKOrOU1wcXsNASzPfI10m1kMbbPoTH0Z+Evd0EVcNkcmUtFquViW5JPnmA+EX9+k+&#10;YHyrwLJk1DzQ9LKo4vge4xg6h6RqDm61MXmCxrGeUK9XL65zxsVF6MZRkcRi7DZZcdgNE7UdNCdi&#10;Rg+CKnYQvnLW0zrU3NH2c2beOVI7bc5shNnYzYZwkhJrHjkbzTcxb1jqEf2rQ6Q+c/up9Fhv6oiG&#10;mgWYFjBtzd/nHHX/6D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GhpgkvTAAAABQEAAA8AAAAA&#10;AAAAAQAgAAAAIgAAAGRycy9kb3ducmV2LnhtbFBLAQIUABQAAAAIAIdO4kBGao4Z4AEAALwDAAAO&#10;AAAAAAAAAAEAIAAAACIBAABkcnMvZTJvRG9jLnhtbFBLBQYAAAAABgAGAFkBAAB0BQAAAAA=&#10;">
              <v:fill on="f" focussize="0,0"/>
              <v:stroke on="f" weight="1.25pt"/>
              <v:imagedata o:title=""/>
              <o:lock v:ext="edit" aspectratio="f"/>
              <v:textbox inset="0mm,0mm,0mm,0mm" style="mso-fit-shape-to-text:t;">
                <w:txbxContent>
                  <w:p>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16"/>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t>1</w:t>
                          </w:r>
                          <w:r>
                            <w:rPr>
                              <w:sz w:val="20"/>
                              <w:szCs w:val="20"/>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q6k8jKAQAAlwMAAA4AAABkcnMvZTJvRG9jLnhtbK1TzY7TMBC+&#10;I/EOlu80aaWFKGq6AlWLkBAgLfsAruM0lmyP5XGb9AXgDThx4c5z9TkYO2kXLZc9cHHmz9/M93my&#10;vh2tYUcVUINr+HJRcqachFa7fcMfvt69qjjDKFwrDDjV8JNCfrt5+WI9+FqtoAfTqsAIxGE9+Ib3&#10;Mfq6KFD2ygpcgFeOkh0EKyK5YV+0QQyEbk2xKsvXxQCh9QGkQqTodkryGTE8BxC6Tku1BXmwysUJ&#10;NSgjIlHCXnvkmzxt1ykZP3cdqshMw4lpzCc1IXuXzmKzFvU+CN9rOY8gnjPCE05WaEdNr1BbEQU7&#10;BP0PlNUyAEIXFxJsMRHJihCLZflEm/teeJW5kNTor6Lj/4OVn45fAtMtbQJnTlh68POP7+efv8+/&#10;vrFlkmfwWFPVvae6OL6DMZXOcaRgYj12waYv8WGUJ3FPV3HVGJlMl6pVVZWUkpS7OIRTPF73AeN7&#10;BZYlo+GBXi+LKo4fMU6ll5LUzcGdNobiojaODYR6U725yTeuKUI3jpokFtO0yYrjbpwp7KA9EbOB&#10;VqDhjjaeM/PBkcJpWy5GuBi72Ug90b89RBohT5ZQJ6i5Gb1X5jbvVlqIv/1c9fg/bf4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aGmCS9MAAAAFAQAADwAAAAAAAAABACAAAAAiAAAAZHJzL2Rvd25y&#10;ZXYueG1sUEsBAhQAFAAAAAgAh07iQFq6k8jKAQAAlwMAAA4AAAAAAAAAAQAgAAAAIgEAAGRycy9l&#10;Mm9Eb2MueG1sUEsFBgAAAAAGAAYAWQEAAF4FAAAAAA==&#10;">
              <v:fill on="f" focussize="0,0"/>
              <v:stroke on="f" weight="1.25pt"/>
              <v:imagedata o:title=""/>
              <o:lock v:ext="edit" aspectratio="f"/>
              <v:textbox inset="0mm,0mm,0mm,0mm" style="mso-fit-shape-to-text:t;">
                <w:txbxContent>
                  <w:p>
                    <w:pPr>
                      <w:pStyle w:val="16"/>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t>1</w:t>
                    </w:r>
                    <w:r>
                      <w:rPr>
                        <w:sz w:val="20"/>
                        <w:szCs w:val="20"/>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76885" cy="157480"/>
              <wp:effectExtent l="0" t="0" r="0" b="0"/>
              <wp:wrapNone/>
              <wp:docPr id="8" name="文本框 2"/>
              <wp:cNvGraphicFramePr/>
              <a:graphic xmlns:a="http://schemas.openxmlformats.org/drawingml/2006/main">
                <a:graphicData uri="http://schemas.microsoft.com/office/word/2010/wordprocessingShape">
                  <wps:wsp>
                    <wps:cNvSpPr txBox="1"/>
                    <wps:spPr>
                      <a:xfrm>
                        <a:off x="0" y="0"/>
                        <a:ext cx="476885" cy="157480"/>
                      </a:xfrm>
                      <a:prstGeom prst="rect">
                        <a:avLst/>
                      </a:prstGeom>
                      <a:noFill/>
                      <a:ln>
                        <a:noFill/>
                      </a:ln>
                    </wps:spPr>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r>
                            <w:rPr>
                              <w:rFonts w:hint="eastAsia"/>
                              <w:sz w:val="18"/>
                            </w:rPr>
                            <w:t xml:space="preserve"> 页</w:t>
                          </w:r>
                        </w:p>
                      </w:txbxContent>
                    </wps:txbx>
                    <wps:bodyPr vert="horz" wrap="none" lIns="0" tIns="0" rIns="0" bIns="0" anchor="t" anchorCtr="0">
                      <a:spAutoFit/>
                    </wps:bodyPr>
                  </wps:wsp>
                </a:graphicData>
              </a:graphic>
            </wp:anchor>
          </w:drawing>
        </mc:Choice>
        <mc:Fallback>
          <w:pict>
            <v:shape id="文本框 2" o:spid="_x0000_s1026" o:spt="202" type="#_x0000_t202" style="position:absolute;left:0pt;margin-top:0pt;height:12.4pt;width:37.55pt;mso-position-horizontal:center;mso-position-horizontal-relative:margin;mso-wrap-style:none;z-index:251659264;mso-width-relative:page;mso-height-relative:page;" filled="f" stroked="f" coordsize="21600,21600" o:gfxdata="UEsDBAoAAAAAAIdO4kAAAAAAAAAAAAAAAAAEAAAAZHJzL1BLAwQUAAAACACHTuJAzKmg39EAAAAD&#10;AQAADwAAAGRycy9kb3ducmV2LnhtbE2PwU7DMBBE70j8g7WVuFEnFdAoxOmhEhduFITEbRtv46j2&#10;OrLdNPl7DBe4rDSa0czbZjc7KyYKcfCsoFwXIIg7rwfuFXy8v9xXIGJC1mg9k4KFIuza25sGa+2v&#10;/EbTIfUil3CsUYFJaayljJ0hh3HtR+LsnXxwmLIMvdQBr7ncWbkpiifpcOC8YHCkvaHufLg4Bdv5&#10;09MYaU9fp6kLZlgq+7oodbcqi2cQieb0F4Yf/IwObWY6+gvrKKyC/Ej6vdnbPpYgjgo2DxXItpH/&#10;2dtvUEsDBBQAAAAIAIdO4kA57QSM3QEAALADAAAOAAAAZHJzL2Uyb0RvYy54bWytU82O0zAQviPx&#10;DpbvNG21P1XUdAVUi5AQIC08gOs4jSXbY9nTJuUB4A04ceHOc/U5GDtNl9297IGLM54Zz3zfN5Pl&#10;TW8N26sQNbiKzyZTzpSTUGu3rfjXL7evFpxFFK4WBpyq+EFFfrN6+WLZ+VLNoQVTq8CoiItl5yve&#10;IvqyKKJslRVxAl45CjYQrEC6hm1RB9FRdWuK+XR6VXQQah9AqhjJux6C/FQxPKcgNI2Wag1yZ5XD&#10;oWpQRiBRiq32ka8y2qZREj81TVTITMWJKeaTmpC9SWexWopyG4RvtTxBEM+B8IiTFdpR03OptUDB&#10;dkE/KWW1DBChwYkEWwxEsiLEYjZ9pM1dK7zKXEjq6M+ix/9XVn7cfw5M1xWnsTthaeDHnz+Ov/4c&#10;f39n8yRP52NJWXee8rB/Az0tzeiP5Eys+ybY9CU+jOIk7uEsruqRSXJeXF8tFpecSQrNLq8vFln8&#10;4v6xDxHfKbAsGRUPNLssqdh/iEhAKHVMSb0c3Gpj8vyMe+CgxOQpEvIBYbKw3/QnOhuoD8SGfgLq&#10;00L4xllHK1BxRxvPmXnvSOG0LaMRRmMzGsJJelhx5Gww32LeqgQk+tc7JHQZdGo99DshokFmLqel&#10;S5vy7z1n3f9oq7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MqaDf0QAAAAMBAAAPAAAAAAAAAAEA&#10;IAAAACIAAABkcnMvZG93bnJldi54bWxQSwECFAAUAAAACACHTuJAOe0EjN0BAACwAwAADgAAAAAA&#10;AAABACAAAAAgAQAAZHJzL2Uyb0RvYy54bWxQSwUGAAAAAAYABgBZAQAAbwUAAAAA&#10;">
              <v:fill on="f" focussize="0,0"/>
              <v:stroke on="f"/>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r>
                      <w:rPr>
                        <w:rFonts w:hint="eastAsia"/>
                        <w:sz w:val="18"/>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right"/>
    </w:pPr>
    <w:r>
      <w:rPr>
        <w:rFonts w:hint="eastAsia"/>
        <w:sz w:val="21"/>
        <w:szCs w:val="32"/>
      </w:rPr>
      <w:t>版本号：第6版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single" w:color="auto" w:sz="4" w:space="1"/>
      </w:pBdr>
      <w:jc w:val="left"/>
    </w:pPr>
    <w:r>
      <w:rPr>
        <w:rFonts w:hint="eastAsia"/>
      </w:rPr>
      <w:t>中国南方航空集团有限公司谈判文件                                            （项目编号：【】）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8A43B3"/>
    <w:multiLevelType w:val="singleLevel"/>
    <w:tmpl w:val="8F8A43B3"/>
    <w:lvl w:ilvl="0" w:tentative="0">
      <w:start w:val="1"/>
      <w:numFmt w:val="lowerLetter"/>
      <w:suff w:val="space"/>
      <w:lvlText w:val="%1)"/>
      <w:lvlJc w:val="left"/>
      <w:pPr>
        <w:ind w:left="420" w:firstLine="0"/>
      </w:pPr>
    </w:lvl>
  </w:abstractNum>
  <w:abstractNum w:abstractNumId="1">
    <w:nsid w:val="AC6E8091"/>
    <w:multiLevelType w:val="singleLevel"/>
    <w:tmpl w:val="AC6E8091"/>
    <w:lvl w:ilvl="0" w:tentative="0">
      <w:start w:val="1"/>
      <w:numFmt w:val="chineseCounting"/>
      <w:suff w:val="nothing"/>
      <w:lvlText w:val="%1、"/>
      <w:lvlJc w:val="left"/>
      <w:rPr>
        <w:rFonts w:hint="eastAsia"/>
      </w:rPr>
    </w:lvl>
  </w:abstractNum>
  <w:abstractNum w:abstractNumId="2">
    <w:nsid w:val="C36A0B3E"/>
    <w:multiLevelType w:val="singleLevel"/>
    <w:tmpl w:val="C36A0B3E"/>
    <w:lvl w:ilvl="0" w:tentative="0">
      <w:start w:val="1"/>
      <w:numFmt w:val="lowerLetter"/>
      <w:suff w:val="space"/>
      <w:lvlText w:val="%1)"/>
      <w:lvlJc w:val="left"/>
      <w:pPr>
        <w:ind w:left="420" w:firstLine="0"/>
      </w:pPr>
    </w:lvl>
  </w:abstractNum>
  <w:abstractNum w:abstractNumId="3">
    <w:nsid w:val="C812CDD2"/>
    <w:multiLevelType w:val="singleLevel"/>
    <w:tmpl w:val="C812CDD2"/>
    <w:lvl w:ilvl="0" w:tentative="0">
      <w:start w:val="2"/>
      <w:numFmt w:val="decimal"/>
      <w:suff w:val="nothing"/>
      <w:lvlText w:val="%1、"/>
      <w:lvlJc w:val="left"/>
    </w:lvl>
  </w:abstractNum>
  <w:abstractNum w:abstractNumId="4">
    <w:nsid w:val="CAFBB65B"/>
    <w:multiLevelType w:val="multilevel"/>
    <w:tmpl w:val="CAFBB65B"/>
    <w:lvl w:ilvl="0" w:tentative="0">
      <w:start w:val="1"/>
      <w:numFmt w:val="decimal"/>
      <w:lvlText w:val="%1."/>
      <w:lvlJc w:val="left"/>
      <w:pPr>
        <w:tabs>
          <w:tab w:val="left" w:pos="312"/>
        </w:tabs>
      </w:p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5">
    <w:nsid w:val="CFD442DD"/>
    <w:multiLevelType w:val="singleLevel"/>
    <w:tmpl w:val="CFD442DD"/>
    <w:lvl w:ilvl="0" w:tentative="0">
      <w:start w:val="1"/>
      <w:numFmt w:val="lowerLetter"/>
      <w:suff w:val="space"/>
      <w:lvlText w:val="%1)"/>
      <w:lvlJc w:val="left"/>
      <w:pPr>
        <w:ind w:left="420" w:firstLine="0"/>
      </w:pPr>
    </w:lvl>
  </w:abstractNum>
  <w:abstractNum w:abstractNumId="6">
    <w:nsid w:val="F441628E"/>
    <w:multiLevelType w:val="singleLevel"/>
    <w:tmpl w:val="F441628E"/>
    <w:lvl w:ilvl="0" w:tentative="0">
      <w:start w:val="1"/>
      <w:numFmt w:val="decimal"/>
      <w:lvlText w:val="%1)"/>
      <w:lvlJc w:val="left"/>
      <w:pPr>
        <w:ind w:left="425" w:hanging="425"/>
      </w:pPr>
      <w:rPr>
        <w:rFonts w:hint="default"/>
      </w:rPr>
    </w:lvl>
  </w:abstractNum>
  <w:abstractNum w:abstractNumId="7">
    <w:nsid w:val="0C1A6BEA"/>
    <w:multiLevelType w:val="singleLevel"/>
    <w:tmpl w:val="0C1A6BEA"/>
    <w:lvl w:ilvl="0" w:tentative="0">
      <w:start w:val="1"/>
      <w:numFmt w:val="lowerLetter"/>
      <w:suff w:val="space"/>
      <w:lvlText w:val="%1)"/>
      <w:lvlJc w:val="left"/>
      <w:pPr>
        <w:ind w:left="420" w:firstLine="0"/>
      </w:pPr>
    </w:lvl>
  </w:abstractNum>
  <w:abstractNum w:abstractNumId="8">
    <w:nsid w:val="1DA216F0"/>
    <w:multiLevelType w:val="multilevel"/>
    <w:tmpl w:val="1DA216F0"/>
    <w:lvl w:ilvl="0" w:tentative="0">
      <w:start w:val="1"/>
      <w:numFmt w:val="chineseCountingThousand"/>
      <w:pStyle w:val="23"/>
      <w:lvlText w:val="第%1章　"/>
      <w:lvlJc w:val="left"/>
      <w:pPr>
        <w:tabs>
          <w:tab w:val="left" w:pos="1440"/>
        </w:tabs>
        <w:ind w:left="720" w:hanging="720"/>
      </w:pPr>
      <w:rPr>
        <w:rFonts w:hint="eastAsia" w:cs="Times New Roman"/>
        <w:sz w:val="32"/>
      </w:rPr>
    </w:lvl>
    <w:lvl w:ilvl="1" w:tentative="0">
      <w:start w:val="1"/>
      <w:numFmt w:val="lowerRoman"/>
      <w:lvlText w:val="(%2)"/>
      <w:lvlJc w:val="left"/>
      <w:pPr>
        <w:tabs>
          <w:tab w:val="left" w:pos="861"/>
        </w:tabs>
        <w:ind w:left="861" w:hanging="720"/>
      </w:pPr>
      <w:rPr>
        <w:rFonts w:hint="eastAsia" w:cs="Times New Roman"/>
      </w:rPr>
    </w:lvl>
    <w:lvl w:ilvl="2" w:tentative="0">
      <w:start w:val="1"/>
      <w:numFmt w:val="lowerLetter"/>
      <w:lvlText w:val="(%3)"/>
      <w:lvlJc w:val="left"/>
      <w:pPr>
        <w:tabs>
          <w:tab w:val="left" w:pos="1335"/>
        </w:tabs>
        <w:ind w:left="1335" w:hanging="495"/>
      </w:pPr>
      <w:rPr>
        <w:rFonts w:hint="eastAsia"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9">
    <w:nsid w:val="23C5D96D"/>
    <w:multiLevelType w:val="singleLevel"/>
    <w:tmpl w:val="23C5D96D"/>
    <w:lvl w:ilvl="0" w:tentative="0">
      <w:start w:val="1"/>
      <w:numFmt w:val="lowerLetter"/>
      <w:suff w:val="space"/>
      <w:lvlText w:val="%1)"/>
      <w:lvlJc w:val="left"/>
      <w:pPr>
        <w:ind w:left="420" w:firstLine="0"/>
      </w:pPr>
    </w:lvl>
  </w:abstractNum>
  <w:abstractNum w:abstractNumId="10">
    <w:nsid w:val="3EDF834E"/>
    <w:multiLevelType w:val="singleLevel"/>
    <w:tmpl w:val="3EDF834E"/>
    <w:lvl w:ilvl="0" w:tentative="0">
      <w:start w:val="2"/>
      <w:numFmt w:val="decimal"/>
      <w:suff w:val="nothing"/>
      <w:lvlText w:val="%1、"/>
      <w:lvlJc w:val="left"/>
    </w:lvl>
  </w:abstractNum>
  <w:abstractNum w:abstractNumId="11">
    <w:nsid w:val="4170F34A"/>
    <w:multiLevelType w:val="singleLevel"/>
    <w:tmpl w:val="4170F34A"/>
    <w:lvl w:ilvl="0" w:tentative="0">
      <w:start w:val="1"/>
      <w:numFmt w:val="lowerLetter"/>
      <w:suff w:val="space"/>
      <w:lvlText w:val="%1)"/>
      <w:lvlJc w:val="left"/>
      <w:pPr>
        <w:ind w:left="420" w:firstLine="0"/>
      </w:pPr>
    </w:lvl>
  </w:abstractNum>
  <w:abstractNum w:abstractNumId="12">
    <w:nsid w:val="455AC594"/>
    <w:multiLevelType w:val="singleLevel"/>
    <w:tmpl w:val="455AC594"/>
    <w:lvl w:ilvl="0" w:tentative="0">
      <w:start w:val="1"/>
      <w:numFmt w:val="lowerLetter"/>
      <w:suff w:val="space"/>
      <w:lvlText w:val="%1)"/>
      <w:lvlJc w:val="left"/>
      <w:pPr>
        <w:ind w:left="420" w:firstLine="0"/>
      </w:pPr>
    </w:lvl>
  </w:abstractNum>
  <w:abstractNum w:abstractNumId="13">
    <w:nsid w:val="46A4C3CF"/>
    <w:multiLevelType w:val="singleLevel"/>
    <w:tmpl w:val="46A4C3CF"/>
    <w:lvl w:ilvl="0" w:tentative="0">
      <w:start w:val="1"/>
      <w:numFmt w:val="lowerLetter"/>
      <w:suff w:val="space"/>
      <w:lvlText w:val="%1)"/>
      <w:lvlJc w:val="left"/>
      <w:pPr>
        <w:ind w:left="420" w:firstLine="0"/>
      </w:pPr>
    </w:lvl>
  </w:abstractNum>
  <w:abstractNum w:abstractNumId="14">
    <w:nsid w:val="4BAF0785"/>
    <w:multiLevelType w:val="singleLevel"/>
    <w:tmpl w:val="4BAF0785"/>
    <w:lvl w:ilvl="0" w:tentative="0">
      <w:start w:val="1"/>
      <w:numFmt w:val="lowerLetter"/>
      <w:suff w:val="space"/>
      <w:lvlText w:val="%1)"/>
      <w:lvlJc w:val="left"/>
      <w:pPr>
        <w:ind w:left="420" w:firstLine="0"/>
      </w:pPr>
    </w:lvl>
  </w:abstractNum>
  <w:abstractNum w:abstractNumId="15">
    <w:nsid w:val="4EFAE71F"/>
    <w:multiLevelType w:val="singleLevel"/>
    <w:tmpl w:val="4EFAE71F"/>
    <w:lvl w:ilvl="0" w:tentative="0">
      <w:start w:val="1"/>
      <w:numFmt w:val="lowerLetter"/>
      <w:suff w:val="space"/>
      <w:lvlText w:val="%1)"/>
      <w:lvlJc w:val="left"/>
      <w:pPr>
        <w:ind w:left="420" w:firstLine="0"/>
      </w:pPr>
    </w:lvl>
  </w:abstractNum>
  <w:abstractNum w:abstractNumId="16">
    <w:nsid w:val="4F460348"/>
    <w:multiLevelType w:val="singleLevel"/>
    <w:tmpl w:val="4F460348"/>
    <w:lvl w:ilvl="0" w:tentative="0">
      <w:start w:val="1"/>
      <w:numFmt w:val="decimal"/>
      <w:suff w:val="nothing"/>
      <w:lvlText w:val="%1）"/>
      <w:lvlJc w:val="left"/>
    </w:lvl>
  </w:abstractNum>
  <w:abstractNum w:abstractNumId="17">
    <w:nsid w:val="5A7A57BA"/>
    <w:multiLevelType w:val="singleLevel"/>
    <w:tmpl w:val="5A7A57BA"/>
    <w:lvl w:ilvl="0" w:tentative="0">
      <w:start w:val="1"/>
      <w:numFmt w:val="decimal"/>
      <w:suff w:val="nothing"/>
      <w:lvlText w:val="%1."/>
      <w:lvlJc w:val="left"/>
    </w:lvl>
  </w:abstractNum>
  <w:abstractNum w:abstractNumId="18">
    <w:nsid w:val="5BC9979B"/>
    <w:multiLevelType w:val="singleLevel"/>
    <w:tmpl w:val="5BC9979B"/>
    <w:lvl w:ilvl="0" w:tentative="0">
      <w:start w:val="4"/>
      <w:numFmt w:val="chineseCounting"/>
      <w:suff w:val="nothing"/>
      <w:lvlText w:val="%1、"/>
      <w:lvlJc w:val="left"/>
    </w:lvl>
  </w:abstractNum>
  <w:abstractNum w:abstractNumId="19">
    <w:nsid w:val="5BC99C4C"/>
    <w:multiLevelType w:val="singleLevel"/>
    <w:tmpl w:val="5BC99C4C"/>
    <w:lvl w:ilvl="0" w:tentative="0">
      <w:start w:val="6"/>
      <w:numFmt w:val="chineseCounting"/>
      <w:suff w:val="nothing"/>
      <w:lvlText w:val="%1、"/>
      <w:lvlJc w:val="left"/>
    </w:lvl>
  </w:abstractNum>
  <w:abstractNum w:abstractNumId="20">
    <w:nsid w:val="5BF364B3"/>
    <w:multiLevelType w:val="singleLevel"/>
    <w:tmpl w:val="5BF364B3"/>
    <w:lvl w:ilvl="0" w:tentative="0">
      <w:start w:val="1"/>
      <w:numFmt w:val="chineseCounting"/>
      <w:suff w:val="nothing"/>
      <w:lvlText w:val="（%1）"/>
      <w:lvlJc w:val="left"/>
    </w:lvl>
  </w:abstractNum>
  <w:abstractNum w:abstractNumId="21">
    <w:nsid w:val="5BF365BA"/>
    <w:multiLevelType w:val="singleLevel"/>
    <w:tmpl w:val="5BF365BA"/>
    <w:lvl w:ilvl="0" w:tentative="0">
      <w:start w:val="1"/>
      <w:numFmt w:val="decimal"/>
      <w:suff w:val="nothing"/>
      <w:lvlText w:val="%1、"/>
      <w:lvlJc w:val="left"/>
    </w:lvl>
  </w:abstractNum>
  <w:abstractNum w:abstractNumId="22">
    <w:nsid w:val="5BF36CF4"/>
    <w:multiLevelType w:val="singleLevel"/>
    <w:tmpl w:val="5BF36CF4"/>
    <w:lvl w:ilvl="0" w:tentative="0">
      <w:start w:val="1"/>
      <w:numFmt w:val="decimal"/>
      <w:suff w:val="nothing"/>
      <w:lvlText w:val="%1、"/>
      <w:lvlJc w:val="left"/>
    </w:lvl>
  </w:abstractNum>
  <w:abstractNum w:abstractNumId="23">
    <w:nsid w:val="5D897DAA"/>
    <w:multiLevelType w:val="singleLevel"/>
    <w:tmpl w:val="5D897DAA"/>
    <w:lvl w:ilvl="0" w:tentative="0">
      <w:start w:val="3"/>
      <w:numFmt w:val="chineseCounting"/>
      <w:suff w:val="space"/>
      <w:lvlText w:val="第%1章"/>
      <w:lvlJc w:val="left"/>
    </w:lvl>
  </w:abstractNum>
  <w:abstractNum w:abstractNumId="24">
    <w:nsid w:val="66BC604B"/>
    <w:multiLevelType w:val="singleLevel"/>
    <w:tmpl w:val="66BC604B"/>
    <w:lvl w:ilvl="0" w:tentative="0">
      <w:start w:val="1"/>
      <w:numFmt w:val="lowerLetter"/>
      <w:suff w:val="space"/>
      <w:lvlText w:val="%1)"/>
      <w:lvlJc w:val="left"/>
      <w:pPr>
        <w:ind w:left="420" w:firstLine="0"/>
      </w:pPr>
    </w:lvl>
  </w:abstractNum>
  <w:num w:numId="1">
    <w:abstractNumId w:val="8"/>
  </w:num>
  <w:num w:numId="2">
    <w:abstractNumId w:val="3"/>
  </w:num>
  <w:num w:numId="3">
    <w:abstractNumId w:val="23"/>
  </w:num>
  <w:num w:numId="4">
    <w:abstractNumId w:val="1"/>
  </w:num>
  <w:num w:numId="5">
    <w:abstractNumId w:val="20"/>
    <w:lvlOverride w:ilvl="0">
      <w:startOverride w:val="1"/>
    </w:lvlOverride>
  </w:num>
  <w:num w:numId="6">
    <w:abstractNumId w:val="21"/>
    <w:lvlOverride w:ilvl="0">
      <w:startOverride w:val="1"/>
    </w:lvlOverride>
  </w:num>
  <w:num w:numId="7">
    <w:abstractNumId w:val="22"/>
    <w:lvlOverride w:ilvl="0">
      <w:startOverride w:val="1"/>
    </w:lvlOverride>
  </w:num>
  <w:num w:numId="8">
    <w:abstractNumId w:val="4"/>
  </w:num>
  <w:num w:numId="9">
    <w:abstractNumId w:val="12"/>
  </w:num>
  <w:num w:numId="10">
    <w:abstractNumId w:val="24"/>
  </w:num>
  <w:num w:numId="11">
    <w:abstractNumId w:val="6"/>
  </w:num>
  <w:num w:numId="12">
    <w:abstractNumId w:val="13"/>
  </w:num>
  <w:num w:numId="13">
    <w:abstractNumId w:val="14"/>
  </w:num>
  <w:num w:numId="14">
    <w:abstractNumId w:val="0"/>
  </w:num>
  <w:num w:numId="15">
    <w:abstractNumId w:val="11"/>
  </w:num>
  <w:num w:numId="16">
    <w:abstractNumId w:val="9"/>
  </w:num>
  <w:num w:numId="17">
    <w:abstractNumId w:val="15"/>
  </w:num>
  <w:num w:numId="18">
    <w:abstractNumId w:val="7"/>
  </w:num>
  <w:num w:numId="19">
    <w:abstractNumId w:val="5"/>
  </w:num>
  <w:num w:numId="20">
    <w:abstractNumId w:val="2"/>
  </w:num>
  <w:num w:numId="21">
    <w:abstractNumId w:val="16"/>
  </w:num>
  <w:num w:numId="22">
    <w:abstractNumId w:val="17"/>
  </w:num>
  <w:num w:numId="23">
    <w:abstractNumId w:val="10"/>
  </w:num>
  <w:num w:numId="24">
    <w:abstractNumId w:val="18"/>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ZiZmI0ZGE2NjlmN2U3M2Q3MjM5NGExN2M4YWNlZDEifQ=="/>
  </w:docVars>
  <w:rsids>
    <w:rsidRoot w:val="00172A27"/>
    <w:rsid w:val="000017FD"/>
    <w:rsid w:val="00011D89"/>
    <w:rsid w:val="00012D2F"/>
    <w:rsid w:val="000146BD"/>
    <w:rsid w:val="0002004A"/>
    <w:rsid w:val="0002092D"/>
    <w:rsid w:val="00023E6F"/>
    <w:rsid w:val="00024DA5"/>
    <w:rsid w:val="0003007C"/>
    <w:rsid w:val="000358CD"/>
    <w:rsid w:val="000416E6"/>
    <w:rsid w:val="00041F50"/>
    <w:rsid w:val="000433D9"/>
    <w:rsid w:val="000503A4"/>
    <w:rsid w:val="00051EDC"/>
    <w:rsid w:val="000532F7"/>
    <w:rsid w:val="000555D2"/>
    <w:rsid w:val="00055C76"/>
    <w:rsid w:val="000579C3"/>
    <w:rsid w:val="0006478E"/>
    <w:rsid w:val="00075C4E"/>
    <w:rsid w:val="00081366"/>
    <w:rsid w:val="0009257B"/>
    <w:rsid w:val="000927DB"/>
    <w:rsid w:val="00095683"/>
    <w:rsid w:val="00097A35"/>
    <w:rsid w:val="000A0C5C"/>
    <w:rsid w:val="000A203E"/>
    <w:rsid w:val="000A580A"/>
    <w:rsid w:val="000B2C90"/>
    <w:rsid w:val="000C1FA6"/>
    <w:rsid w:val="000C4FD0"/>
    <w:rsid w:val="000D0474"/>
    <w:rsid w:val="000D1324"/>
    <w:rsid w:val="000D33E4"/>
    <w:rsid w:val="000E0423"/>
    <w:rsid w:val="000E0816"/>
    <w:rsid w:val="000E0950"/>
    <w:rsid w:val="000E14A9"/>
    <w:rsid w:val="000E5CE5"/>
    <w:rsid w:val="000E64FB"/>
    <w:rsid w:val="000E7570"/>
    <w:rsid w:val="000E7684"/>
    <w:rsid w:val="000E7D85"/>
    <w:rsid w:val="000F2501"/>
    <w:rsid w:val="0011469C"/>
    <w:rsid w:val="0013356F"/>
    <w:rsid w:val="001376C0"/>
    <w:rsid w:val="00143BFB"/>
    <w:rsid w:val="001568B1"/>
    <w:rsid w:val="001616CC"/>
    <w:rsid w:val="00162D73"/>
    <w:rsid w:val="00172A27"/>
    <w:rsid w:val="00177532"/>
    <w:rsid w:val="00195F9C"/>
    <w:rsid w:val="001A3DAB"/>
    <w:rsid w:val="001A55A6"/>
    <w:rsid w:val="001B1566"/>
    <w:rsid w:val="001C36B9"/>
    <w:rsid w:val="001C5BF2"/>
    <w:rsid w:val="001C72B6"/>
    <w:rsid w:val="001C76DB"/>
    <w:rsid w:val="001D3437"/>
    <w:rsid w:val="001D4086"/>
    <w:rsid w:val="001F1984"/>
    <w:rsid w:val="001F593A"/>
    <w:rsid w:val="00200417"/>
    <w:rsid w:val="002145D4"/>
    <w:rsid w:val="00223DFA"/>
    <w:rsid w:val="00224AEB"/>
    <w:rsid w:val="00227E6F"/>
    <w:rsid w:val="0023282A"/>
    <w:rsid w:val="002348F4"/>
    <w:rsid w:val="00235E56"/>
    <w:rsid w:val="00254283"/>
    <w:rsid w:val="00256A45"/>
    <w:rsid w:val="00263772"/>
    <w:rsid w:val="00264C03"/>
    <w:rsid w:val="00273E7C"/>
    <w:rsid w:val="00275FB3"/>
    <w:rsid w:val="002837CC"/>
    <w:rsid w:val="002844C5"/>
    <w:rsid w:val="00285BCB"/>
    <w:rsid w:val="002A176E"/>
    <w:rsid w:val="002A4F00"/>
    <w:rsid w:val="002B6178"/>
    <w:rsid w:val="002C2BEA"/>
    <w:rsid w:val="002D0E76"/>
    <w:rsid w:val="002D4DDB"/>
    <w:rsid w:val="002E5797"/>
    <w:rsid w:val="002F1094"/>
    <w:rsid w:val="002F537A"/>
    <w:rsid w:val="002F59E9"/>
    <w:rsid w:val="00306977"/>
    <w:rsid w:val="00306C70"/>
    <w:rsid w:val="00307E8E"/>
    <w:rsid w:val="00311A18"/>
    <w:rsid w:val="00312721"/>
    <w:rsid w:val="00316D56"/>
    <w:rsid w:val="003266A7"/>
    <w:rsid w:val="00326B19"/>
    <w:rsid w:val="00326E5F"/>
    <w:rsid w:val="00330A0F"/>
    <w:rsid w:val="003330DB"/>
    <w:rsid w:val="00344013"/>
    <w:rsid w:val="00351D9C"/>
    <w:rsid w:val="00360D2B"/>
    <w:rsid w:val="003623AD"/>
    <w:rsid w:val="003764CF"/>
    <w:rsid w:val="00382563"/>
    <w:rsid w:val="003827B6"/>
    <w:rsid w:val="00390EF9"/>
    <w:rsid w:val="00391D47"/>
    <w:rsid w:val="00392B09"/>
    <w:rsid w:val="003977F1"/>
    <w:rsid w:val="003A7E0A"/>
    <w:rsid w:val="003B3115"/>
    <w:rsid w:val="003B5934"/>
    <w:rsid w:val="003B7BA3"/>
    <w:rsid w:val="003C1C4F"/>
    <w:rsid w:val="003C2A08"/>
    <w:rsid w:val="003C47B6"/>
    <w:rsid w:val="003D153A"/>
    <w:rsid w:val="003D1D76"/>
    <w:rsid w:val="003D2478"/>
    <w:rsid w:val="003E27D8"/>
    <w:rsid w:val="003E2ADE"/>
    <w:rsid w:val="003E48F7"/>
    <w:rsid w:val="003E6ED5"/>
    <w:rsid w:val="00402F12"/>
    <w:rsid w:val="00404746"/>
    <w:rsid w:val="00406745"/>
    <w:rsid w:val="00406E95"/>
    <w:rsid w:val="00420421"/>
    <w:rsid w:val="00421C35"/>
    <w:rsid w:val="004230A5"/>
    <w:rsid w:val="00426CF6"/>
    <w:rsid w:val="0043382F"/>
    <w:rsid w:val="00434E05"/>
    <w:rsid w:val="00437071"/>
    <w:rsid w:val="00442A8E"/>
    <w:rsid w:val="00452E71"/>
    <w:rsid w:val="0045574C"/>
    <w:rsid w:val="00462B67"/>
    <w:rsid w:val="00463538"/>
    <w:rsid w:val="0046560B"/>
    <w:rsid w:val="00465818"/>
    <w:rsid w:val="00466AEC"/>
    <w:rsid w:val="00466F60"/>
    <w:rsid w:val="004751AE"/>
    <w:rsid w:val="0048520E"/>
    <w:rsid w:val="0048573A"/>
    <w:rsid w:val="0049408F"/>
    <w:rsid w:val="00494FEF"/>
    <w:rsid w:val="004A58D0"/>
    <w:rsid w:val="004B5532"/>
    <w:rsid w:val="004B6B14"/>
    <w:rsid w:val="004C01A5"/>
    <w:rsid w:val="004C314B"/>
    <w:rsid w:val="004C51AB"/>
    <w:rsid w:val="004C7145"/>
    <w:rsid w:val="004E011F"/>
    <w:rsid w:val="004E7D3B"/>
    <w:rsid w:val="004F58B7"/>
    <w:rsid w:val="00511AE4"/>
    <w:rsid w:val="00514DC1"/>
    <w:rsid w:val="00516764"/>
    <w:rsid w:val="00516BA1"/>
    <w:rsid w:val="00516C7D"/>
    <w:rsid w:val="00522153"/>
    <w:rsid w:val="00524546"/>
    <w:rsid w:val="005348F5"/>
    <w:rsid w:val="00536A17"/>
    <w:rsid w:val="0053787C"/>
    <w:rsid w:val="005514FB"/>
    <w:rsid w:val="005606A2"/>
    <w:rsid w:val="005903BF"/>
    <w:rsid w:val="0059522D"/>
    <w:rsid w:val="005A23D5"/>
    <w:rsid w:val="005B0F84"/>
    <w:rsid w:val="005B289B"/>
    <w:rsid w:val="005B376A"/>
    <w:rsid w:val="005B530B"/>
    <w:rsid w:val="005B7F33"/>
    <w:rsid w:val="005C25ED"/>
    <w:rsid w:val="005C685B"/>
    <w:rsid w:val="005D0C5A"/>
    <w:rsid w:val="005D6454"/>
    <w:rsid w:val="005E3B8A"/>
    <w:rsid w:val="005E4227"/>
    <w:rsid w:val="005E58FE"/>
    <w:rsid w:val="005F0AB1"/>
    <w:rsid w:val="005F3FE6"/>
    <w:rsid w:val="00601C25"/>
    <w:rsid w:val="00606F12"/>
    <w:rsid w:val="0061523F"/>
    <w:rsid w:val="00617C57"/>
    <w:rsid w:val="00625A10"/>
    <w:rsid w:val="006303C3"/>
    <w:rsid w:val="00632EC7"/>
    <w:rsid w:val="006368C7"/>
    <w:rsid w:val="00643E93"/>
    <w:rsid w:val="00650AA3"/>
    <w:rsid w:val="0065697B"/>
    <w:rsid w:val="00660EA8"/>
    <w:rsid w:val="00672EB3"/>
    <w:rsid w:val="0068173B"/>
    <w:rsid w:val="00682DD3"/>
    <w:rsid w:val="00686EA5"/>
    <w:rsid w:val="006956F7"/>
    <w:rsid w:val="006969FE"/>
    <w:rsid w:val="006A077D"/>
    <w:rsid w:val="006A07A7"/>
    <w:rsid w:val="006A3569"/>
    <w:rsid w:val="006A4562"/>
    <w:rsid w:val="006A6EEB"/>
    <w:rsid w:val="006B38A0"/>
    <w:rsid w:val="006C1C8F"/>
    <w:rsid w:val="006C287E"/>
    <w:rsid w:val="006D0CB6"/>
    <w:rsid w:val="006D1F06"/>
    <w:rsid w:val="006F3BB1"/>
    <w:rsid w:val="00706251"/>
    <w:rsid w:val="00706945"/>
    <w:rsid w:val="00713D81"/>
    <w:rsid w:val="00716A54"/>
    <w:rsid w:val="00731001"/>
    <w:rsid w:val="00733CF8"/>
    <w:rsid w:val="00734257"/>
    <w:rsid w:val="0073626D"/>
    <w:rsid w:val="0074581F"/>
    <w:rsid w:val="00750B32"/>
    <w:rsid w:val="00757C38"/>
    <w:rsid w:val="00763664"/>
    <w:rsid w:val="00764947"/>
    <w:rsid w:val="00767EF5"/>
    <w:rsid w:val="007705B2"/>
    <w:rsid w:val="00773351"/>
    <w:rsid w:val="0077511D"/>
    <w:rsid w:val="0078362D"/>
    <w:rsid w:val="007863F0"/>
    <w:rsid w:val="007A5BF0"/>
    <w:rsid w:val="007B3B1A"/>
    <w:rsid w:val="007B50D5"/>
    <w:rsid w:val="007B5E5F"/>
    <w:rsid w:val="007B79B1"/>
    <w:rsid w:val="007C1C85"/>
    <w:rsid w:val="007C62C4"/>
    <w:rsid w:val="007E3051"/>
    <w:rsid w:val="007E4F21"/>
    <w:rsid w:val="007F585A"/>
    <w:rsid w:val="00800616"/>
    <w:rsid w:val="00800D59"/>
    <w:rsid w:val="0081158C"/>
    <w:rsid w:val="00812BBB"/>
    <w:rsid w:val="00814552"/>
    <w:rsid w:val="008173D6"/>
    <w:rsid w:val="008237C3"/>
    <w:rsid w:val="00824827"/>
    <w:rsid w:val="00826489"/>
    <w:rsid w:val="00826C51"/>
    <w:rsid w:val="00834B38"/>
    <w:rsid w:val="008372E6"/>
    <w:rsid w:val="00844439"/>
    <w:rsid w:val="00844DF4"/>
    <w:rsid w:val="00854328"/>
    <w:rsid w:val="00865329"/>
    <w:rsid w:val="00882681"/>
    <w:rsid w:val="00895642"/>
    <w:rsid w:val="00897CEA"/>
    <w:rsid w:val="008A1ABF"/>
    <w:rsid w:val="008A63CB"/>
    <w:rsid w:val="008A68B5"/>
    <w:rsid w:val="008A6FF6"/>
    <w:rsid w:val="008C1221"/>
    <w:rsid w:val="008C46B3"/>
    <w:rsid w:val="008C4A5B"/>
    <w:rsid w:val="008D0B81"/>
    <w:rsid w:val="008D64B2"/>
    <w:rsid w:val="008D7B94"/>
    <w:rsid w:val="008E08E9"/>
    <w:rsid w:val="008E1B17"/>
    <w:rsid w:val="008F35D3"/>
    <w:rsid w:val="00900245"/>
    <w:rsid w:val="00902E17"/>
    <w:rsid w:val="00910660"/>
    <w:rsid w:val="0093311C"/>
    <w:rsid w:val="009356B9"/>
    <w:rsid w:val="00946BA5"/>
    <w:rsid w:val="00947E51"/>
    <w:rsid w:val="00953114"/>
    <w:rsid w:val="009534CD"/>
    <w:rsid w:val="0096138C"/>
    <w:rsid w:val="00962E8C"/>
    <w:rsid w:val="009646FF"/>
    <w:rsid w:val="00992C74"/>
    <w:rsid w:val="00993421"/>
    <w:rsid w:val="009A0D12"/>
    <w:rsid w:val="009A1A3B"/>
    <w:rsid w:val="009B3FD1"/>
    <w:rsid w:val="009B7138"/>
    <w:rsid w:val="009C02AA"/>
    <w:rsid w:val="009D1BBE"/>
    <w:rsid w:val="009D1E40"/>
    <w:rsid w:val="009D4EEF"/>
    <w:rsid w:val="009D640E"/>
    <w:rsid w:val="009D6DFD"/>
    <w:rsid w:val="009E3A0B"/>
    <w:rsid w:val="009E7C33"/>
    <w:rsid w:val="009F1308"/>
    <w:rsid w:val="009F2976"/>
    <w:rsid w:val="009F54D3"/>
    <w:rsid w:val="00A1141F"/>
    <w:rsid w:val="00A11903"/>
    <w:rsid w:val="00A163F3"/>
    <w:rsid w:val="00A17B62"/>
    <w:rsid w:val="00A20BF4"/>
    <w:rsid w:val="00A24006"/>
    <w:rsid w:val="00A41580"/>
    <w:rsid w:val="00A429B1"/>
    <w:rsid w:val="00A43EAF"/>
    <w:rsid w:val="00A46422"/>
    <w:rsid w:val="00A508ED"/>
    <w:rsid w:val="00A56B03"/>
    <w:rsid w:val="00A8348E"/>
    <w:rsid w:val="00A85FFF"/>
    <w:rsid w:val="00A87E40"/>
    <w:rsid w:val="00AA0153"/>
    <w:rsid w:val="00AA0378"/>
    <w:rsid w:val="00AA16F1"/>
    <w:rsid w:val="00AC06F7"/>
    <w:rsid w:val="00AD4EFF"/>
    <w:rsid w:val="00AD61DE"/>
    <w:rsid w:val="00AE5BE9"/>
    <w:rsid w:val="00AF05CF"/>
    <w:rsid w:val="00AF6032"/>
    <w:rsid w:val="00B34EBF"/>
    <w:rsid w:val="00B40394"/>
    <w:rsid w:val="00B43C27"/>
    <w:rsid w:val="00B45C6D"/>
    <w:rsid w:val="00B504B6"/>
    <w:rsid w:val="00B56A6A"/>
    <w:rsid w:val="00B60F61"/>
    <w:rsid w:val="00B62EE8"/>
    <w:rsid w:val="00B65767"/>
    <w:rsid w:val="00B7000E"/>
    <w:rsid w:val="00B810BF"/>
    <w:rsid w:val="00BA4607"/>
    <w:rsid w:val="00BA52B1"/>
    <w:rsid w:val="00BB32C3"/>
    <w:rsid w:val="00BC4732"/>
    <w:rsid w:val="00BD0234"/>
    <w:rsid w:val="00BD0B48"/>
    <w:rsid w:val="00BD30F2"/>
    <w:rsid w:val="00BD4205"/>
    <w:rsid w:val="00BD68F0"/>
    <w:rsid w:val="00BE18B8"/>
    <w:rsid w:val="00BF4D93"/>
    <w:rsid w:val="00C0677F"/>
    <w:rsid w:val="00C52647"/>
    <w:rsid w:val="00C569C1"/>
    <w:rsid w:val="00C601A0"/>
    <w:rsid w:val="00C61137"/>
    <w:rsid w:val="00C667F7"/>
    <w:rsid w:val="00C8640A"/>
    <w:rsid w:val="00C906BB"/>
    <w:rsid w:val="00C97090"/>
    <w:rsid w:val="00C97F36"/>
    <w:rsid w:val="00CA6A01"/>
    <w:rsid w:val="00CA6A25"/>
    <w:rsid w:val="00CB0B23"/>
    <w:rsid w:val="00CB3842"/>
    <w:rsid w:val="00CC0132"/>
    <w:rsid w:val="00CC0A3F"/>
    <w:rsid w:val="00CC65C2"/>
    <w:rsid w:val="00CD08B4"/>
    <w:rsid w:val="00CD575E"/>
    <w:rsid w:val="00CE0CAF"/>
    <w:rsid w:val="00CE0CDC"/>
    <w:rsid w:val="00CF6E94"/>
    <w:rsid w:val="00D067E0"/>
    <w:rsid w:val="00D0758C"/>
    <w:rsid w:val="00D10B90"/>
    <w:rsid w:val="00D24549"/>
    <w:rsid w:val="00D246FE"/>
    <w:rsid w:val="00D27571"/>
    <w:rsid w:val="00D302C2"/>
    <w:rsid w:val="00D31C3B"/>
    <w:rsid w:val="00D335F4"/>
    <w:rsid w:val="00D33C11"/>
    <w:rsid w:val="00D3478E"/>
    <w:rsid w:val="00D376B3"/>
    <w:rsid w:val="00D4205E"/>
    <w:rsid w:val="00D434B1"/>
    <w:rsid w:val="00D465F9"/>
    <w:rsid w:val="00D50A2A"/>
    <w:rsid w:val="00D54437"/>
    <w:rsid w:val="00D6182A"/>
    <w:rsid w:val="00D636DE"/>
    <w:rsid w:val="00D64B52"/>
    <w:rsid w:val="00D67E67"/>
    <w:rsid w:val="00D8364A"/>
    <w:rsid w:val="00D84264"/>
    <w:rsid w:val="00D85637"/>
    <w:rsid w:val="00D86160"/>
    <w:rsid w:val="00D9243B"/>
    <w:rsid w:val="00D93356"/>
    <w:rsid w:val="00D95F62"/>
    <w:rsid w:val="00DA07AE"/>
    <w:rsid w:val="00DA1818"/>
    <w:rsid w:val="00DA5C70"/>
    <w:rsid w:val="00DB5638"/>
    <w:rsid w:val="00DC118D"/>
    <w:rsid w:val="00DC316E"/>
    <w:rsid w:val="00DC4876"/>
    <w:rsid w:val="00DC5EAA"/>
    <w:rsid w:val="00DD14DF"/>
    <w:rsid w:val="00DD738D"/>
    <w:rsid w:val="00DE30E5"/>
    <w:rsid w:val="00DE7B01"/>
    <w:rsid w:val="00DF0275"/>
    <w:rsid w:val="00DF5AE1"/>
    <w:rsid w:val="00DF706D"/>
    <w:rsid w:val="00E0702D"/>
    <w:rsid w:val="00E21041"/>
    <w:rsid w:val="00E21157"/>
    <w:rsid w:val="00E22696"/>
    <w:rsid w:val="00E35754"/>
    <w:rsid w:val="00E36D9A"/>
    <w:rsid w:val="00E40FD7"/>
    <w:rsid w:val="00E44D1D"/>
    <w:rsid w:val="00E5018B"/>
    <w:rsid w:val="00E52D0B"/>
    <w:rsid w:val="00E61703"/>
    <w:rsid w:val="00E66F7B"/>
    <w:rsid w:val="00E70079"/>
    <w:rsid w:val="00E70A8D"/>
    <w:rsid w:val="00E71D99"/>
    <w:rsid w:val="00E7593E"/>
    <w:rsid w:val="00E764B0"/>
    <w:rsid w:val="00E8226A"/>
    <w:rsid w:val="00E86D21"/>
    <w:rsid w:val="00E91705"/>
    <w:rsid w:val="00E93BB7"/>
    <w:rsid w:val="00E943D1"/>
    <w:rsid w:val="00E959DC"/>
    <w:rsid w:val="00EA3B10"/>
    <w:rsid w:val="00EB27AF"/>
    <w:rsid w:val="00EC3B9C"/>
    <w:rsid w:val="00ED4B49"/>
    <w:rsid w:val="00EE0F4C"/>
    <w:rsid w:val="00EE43E5"/>
    <w:rsid w:val="00EE568A"/>
    <w:rsid w:val="00EF15CD"/>
    <w:rsid w:val="00EF5267"/>
    <w:rsid w:val="00F0022B"/>
    <w:rsid w:val="00F046ED"/>
    <w:rsid w:val="00F0473C"/>
    <w:rsid w:val="00F12474"/>
    <w:rsid w:val="00F15406"/>
    <w:rsid w:val="00F2248C"/>
    <w:rsid w:val="00F22540"/>
    <w:rsid w:val="00F3374C"/>
    <w:rsid w:val="00F45B35"/>
    <w:rsid w:val="00F51E74"/>
    <w:rsid w:val="00F54EBA"/>
    <w:rsid w:val="00F602A5"/>
    <w:rsid w:val="00F65B53"/>
    <w:rsid w:val="00F73173"/>
    <w:rsid w:val="00F73977"/>
    <w:rsid w:val="00F748CC"/>
    <w:rsid w:val="00F83355"/>
    <w:rsid w:val="00F857AB"/>
    <w:rsid w:val="00F90573"/>
    <w:rsid w:val="00FA7267"/>
    <w:rsid w:val="00FF014B"/>
    <w:rsid w:val="00FF0402"/>
    <w:rsid w:val="00FF076E"/>
    <w:rsid w:val="00FF28B3"/>
    <w:rsid w:val="00FF750D"/>
    <w:rsid w:val="01545A05"/>
    <w:rsid w:val="015D00F6"/>
    <w:rsid w:val="01741B98"/>
    <w:rsid w:val="01A97B09"/>
    <w:rsid w:val="01AA498B"/>
    <w:rsid w:val="01C932F8"/>
    <w:rsid w:val="01E11822"/>
    <w:rsid w:val="01F05C78"/>
    <w:rsid w:val="01F12216"/>
    <w:rsid w:val="01F7042D"/>
    <w:rsid w:val="02072A78"/>
    <w:rsid w:val="020D3F16"/>
    <w:rsid w:val="028B3DB7"/>
    <w:rsid w:val="02991A4B"/>
    <w:rsid w:val="02B64C33"/>
    <w:rsid w:val="02E35AC6"/>
    <w:rsid w:val="02E85FFA"/>
    <w:rsid w:val="02F1704D"/>
    <w:rsid w:val="02F2679A"/>
    <w:rsid w:val="031F6CAB"/>
    <w:rsid w:val="03537EA3"/>
    <w:rsid w:val="03794EEB"/>
    <w:rsid w:val="039E15B8"/>
    <w:rsid w:val="03EE2023"/>
    <w:rsid w:val="03F15FD6"/>
    <w:rsid w:val="03FB2BEF"/>
    <w:rsid w:val="0401209A"/>
    <w:rsid w:val="0413669F"/>
    <w:rsid w:val="042E253E"/>
    <w:rsid w:val="043E1354"/>
    <w:rsid w:val="0442646A"/>
    <w:rsid w:val="0446450F"/>
    <w:rsid w:val="044A6798"/>
    <w:rsid w:val="04542408"/>
    <w:rsid w:val="045B44B4"/>
    <w:rsid w:val="04621CF0"/>
    <w:rsid w:val="0470324E"/>
    <w:rsid w:val="049708F6"/>
    <w:rsid w:val="04A41170"/>
    <w:rsid w:val="04B256A5"/>
    <w:rsid w:val="04BA0083"/>
    <w:rsid w:val="04D55C02"/>
    <w:rsid w:val="04F14EAD"/>
    <w:rsid w:val="052D6EFF"/>
    <w:rsid w:val="05371452"/>
    <w:rsid w:val="05487989"/>
    <w:rsid w:val="059454B6"/>
    <w:rsid w:val="05985751"/>
    <w:rsid w:val="05BC24B5"/>
    <w:rsid w:val="05DC58AA"/>
    <w:rsid w:val="05FF58F5"/>
    <w:rsid w:val="060D2972"/>
    <w:rsid w:val="061C6B81"/>
    <w:rsid w:val="06413050"/>
    <w:rsid w:val="064F30C4"/>
    <w:rsid w:val="068066C8"/>
    <w:rsid w:val="06A74079"/>
    <w:rsid w:val="06AA0199"/>
    <w:rsid w:val="06AF0E06"/>
    <w:rsid w:val="06B02225"/>
    <w:rsid w:val="06B768F0"/>
    <w:rsid w:val="06D46CE8"/>
    <w:rsid w:val="06F62FC6"/>
    <w:rsid w:val="06FE3BB7"/>
    <w:rsid w:val="070809AA"/>
    <w:rsid w:val="07192104"/>
    <w:rsid w:val="07365771"/>
    <w:rsid w:val="07423D24"/>
    <w:rsid w:val="076E5EAD"/>
    <w:rsid w:val="078336B8"/>
    <w:rsid w:val="078A3289"/>
    <w:rsid w:val="07BA7B92"/>
    <w:rsid w:val="07D66752"/>
    <w:rsid w:val="07E65CD7"/>
    <w:rsid w:val="07FD6C6E"/>
    <w:rsid w:val="08033677"/>
    <w:rsid w:val="08111CB6"/>
    <w:rsid w:val="08126CDB"/>
    <w:rsid w:val="08152951"/>
    <w:rsid w:val="082C457A"/>
    <w:rsid w:val="082D4C97"/>
    <w:rsid w:val="082F76AD"/>
    <w:rsid w:val="084030C4"/>
    <w:rsid w:val="084C5E82"/>
    <w:rsid w:val="08674DA6"/>
    <w:rsid w:val="08792EC3"/>
    <w:rsid w:val="08860F10"/>
    <w:rsid w:val="08927C8B"/>
    <w:rsid w:val="08B143CF"/>
    <w:rsid w:val="08FD6983"/>
    <w:rsid w:val="090535FD"/>
    <w:rsid w:val="09086E88"/>
    <w:rsid w:val="09101B7A"/>
    <w:rsid w:val="09112A53"/>
    <w:rsid w:val="0920391A"/>
    <w:rsid w:val="09252CDA"/>
    <w:rsid w:val="092F6E09"/>
    <w:rsid w:val="09571895"/>
    <w:rsid w:val="0992356F"/>
    <w:rsid w:val="09AB390F"/>
    <w:rsid w:val="09D873B4"/>
    <w:rsid w:val="0A0A38FB"/>
    <w:rsid w:val="0A9F7375"/>
    <w:rsid w:val="0AF031A1"/>
    <w:rsid w:val="0B0A5675"/>
    <w:rsid w:val="0B333606"/>
    <w:rsid w:val="0B537F25"/>
    <w:rsid w:val="0B5550F2"/>
    <w:rsid w:val="0B6568DC"/>
    <w:rsid w:val="0B793210"/>
    <w:rsid w:val="0BB95A2E"/>
    <w:rsid w:val="0BE8451B"/>
    <w:rsid w:val="0C3D4DED"/>
    <w:rsid w:val="0C553597"/>
    <w:rsid w:val="0C5F7FCA"/>
    <w:rsid w:val="0C606BD4"/>
    <w:rsid w:val="0C653BCC"/>
    <w:rsid w:val="0C8F2C33"/>
    <w:rsid w:val="0C9D33BF"/>
    <w:rsid w:val="0CBC6AB8"/>
    <w:rsid w:val="0CCB7B50"/>
    <w:rsid w:val="0CCE7456"/>
    <w:rsid w:val="0CDD24D1"/>
    <w:rsid w:val="0CF579F6"/>
    <w:rsid w:val="0D1A400D"/>
    <w:rsid w:val="0D402AEC"/>
    <w:rsid w:val="0D521BE9"/>
    <w:rsid w:val="0D771B39"/>
    <w:rsid w:val="0D9C4FF5"/>
    <w:rsid w:val="0DAE6EA3"/>
    <w:rsid w:val="0DC47E21"/>
    <w:rsid w:val="0DE9592E"/>
    <w:rsid w:val="0DF71C62"/>
    <w:rsid w:val="0E090F81"/>
    <w:rsid w:val="0E294F9A"/>
    <w:rsid w:val="0E3015D7"/>
    <w:rsid w:val="0E3B205F"/>
    <w:rsid w:val="0E4672E7"/>
    <w:rsid w:val="0E491A05"/>
    <w:rsid w:val="0E5D7DFC"/>
    <w:rsid w:val="0E60744A"/>
    <w:rsid w:val="0EB04292"/>
    <w:rsid w:val="0EC117C4"/>
    <w:rsid w:val="0ED37C75"/>
    <w:rsid w:val="0ED65B98"/>
    <w:rsid w:val="0EDA350A"/>
    <w:rsid w:val="0EEA73E8"/>
    <w:rsid w:val="0EF22220"/>
    <w:rsid w:val="0F0F2A22"/>
    <w:rsid w:val="0F154354"/>
    <w:rsid w:val="0F257D1C"/>
    <w:rsid w:val="0F441568"/>
    <w:rsid w:val="0F590216"/>
    <w:rsid w:val="0F6F7C29"/>
    <w:rsid w:val="0FC147F0"/>
    <w:rsid w:val="0FCE2C6E"/>
    <w:rsid w:val="0FDE521B"/>
    <w:rsid w:val="0FE06B2B"/>
    <w:rsid w:val="100579FA"/>
    <w:rsid w:val="10105B81"/>
    <w:rsid w:val="102E7FFD"/>
    <w:rsid w:val="105C7984"/>
    <w:rsid w:val="107446CE"/>
    <w:rsid w:val="10960147"/>
    <w:rsid w:val="10C167E4"/>
    <w:rsid w:val="10CF69C3"/>
    <w:rsid w:val="11CF2002"/>
    <w:rsid w:val="11D34B2E"/>
    <w:rsid w:val="11E34D93"/>
    <w:rsid w:val="11EA7EC3"/>
    <w:rsid w:val="12152BB8"/>
    <w:rsid w:val="121B53D5"/>
    <w:rsid w:val="122962AB"/>
    <w:rsid w:val="122D6E1B"/>
    <w:rsid w:val="12442D06"/>
    <w:rsid w:val="12537F6A"/>
    <w:rsid w:val="12661B4A"/>
    <w:rsid w:val="126D5715"/>
    <w:rsid w:val="127E16E4"/>
    <w:rsid w:val="12C272AC"/>
    <w:rsid w:val="12C90B13"/>
    <w:rsid w:val="12FE5F3B"/>
    <w:rsid w:val="13021CA2"/>
    <w:rsid w:val="13137439"/>
    <w:rsid w:val="133757CA"/>
    <w:rsid w:val="13476CBD"/>
    <w:rsid w:val="134928F8"/>
    <w:rsid w:val="135F56DC"/>
    <w:rsid w:val="13662F4E"/>
    <w:rsid w:val="139F330B"/>
    <w:rsid w:val="13A81E9C"/>
    <w:rsid w:val="13AA115D"/>
    <w:rsid w:val="13AE71F7"/>
    <w:rsid w:val="13DA4490"/>
    <w:rsid w:val="13DE1379"/>
    <w:rsid w:val="13FD1F2D"/>
    <w:rsid w:val="143F24F0"/>
    <w:rsid w:val="145F4A6C"/>
    <w:rsid w:val="14BF0DCE"/>
    <w:rsid w:val="14D1705F"/>
    <w:rsid w:val="14D43B08"/>
    <w:rsid w:val="14EB0A77"/>
    <w:rsid w:val="14EC4306"/>
    <w:rsid w:val="15221E3A"/>
    <w:rsid w:val="153E4D43"/>
    <w:rsid w:val="15436CA6"/>
    <w:rsid w:val="15524B87"/>
    <w:rsid w:val="156644BF"/>
    <w:rsid w:val="158328C8"/>
    <w:rsid w:val="15B06226"/>
    <w:rsid w:val="15B66753"/>
    <w:rsid w:val="15CC085C"/>
    <w:rsid w:val="15F24529"/>
    <w:rsid w:val="160571F0"/>
    <w:rsid w:val="161139A7"/>
    <w:rsid w:val="163035D2"/>
    <w:rsid w:val="16401215"/>
    <w:rsid w:val="16456719"/>
    <w:rsid w:val="16522BE4"/>
    <w:rsid w:val="16536644"/>
    <w:rsid w:val="166A3C39"/>
    <w:rsid w:val="1677496A"/>
    <w:rsid w:val="16834365"/>
    <w:rsid w:val="16842491"/>
    <w:rsid w:val="169A5FB2"/>
    <w:rsid w:val="16C62AFA"/>
    <w:rsid w:val="1717490E"/>
    <w:rsid w:val="17267E80"/>
    <w:rsid w:val="17351104"/>
    <w:rsid w:val="173A2480"/>
    <w:rsid w:val="17842036"/>
    <w:rsid w:val="17AF604F"/>
    <w:rsid w:val="17E43BFE"/>
    <w:rsid w:val="180879ED"/>
    <w:rsid w:val="181571A9"/>
    <w:rsid w:val="1853064F"/>
    <w:rsid w:val="186D6A27"/>
    <w:rsid w:val="187F3426"/>
    <w:rsid w:val="18801EFE"/>
    <w:rsid w:val="189F3152"/>
    <w:rsid w:val="18A35C7D"/>
    <w:rsid w:val="18B003A0"/>
    <w:rsid w:val="18B35EFA"/>
    <w:rsid w:val="191C26DE"/>
    <w:rsid w:val="19251C35"/>
    <w:rsid w:val="19445D81"/>
    <w:rsid w:val="19643A95"/>
    <w:rsid w:val="19894784"/>
    <w:rsid w:val="19B50058"/>
    <w:rsid w:val="1A3D0847"/>
    <w:rsid w:val="1A402076"/>
    <w:rsid w:val="1A421C41"/>
    <w:rsid w:val="1A4D0765"/>
    <w:rsid w:val="1AA2590D"/>
    <w:rsid w:val="1AA92D0B"/>
    <w:rsid w:val="1ABA4BCF"/>
    <w:rsid w:val="1AC1530E"/>
    <w:rsid w:val="1ADD2786"/>
    <w:rsid w:val="1B0428D0"/>
    <w:rsid w:val="1B283C24"/>
    <w:rsid w:val="1B4209A6"/>
    <w:rsid w:val="1B580DC3"/>
    <w:rsid w:val="1B5B41A1"/>
    <w:rsid w:val="1B884809"/>
    <w:rsid w:val="1B8D5156"/>
    <w:rsid w:val="1B8F2B5F"/>
    <w:rsid w:val="1B9541D8"/>
    <w:rsid w:val="1BBE5C08"/>
    <w:rsid w:val="1BD10DDB"/>
    <w:rsid w:val="1BE20A7C"/>
    <w:rsid w:val="1BE259B3"/>
    <w:rsid w:val="1BFE1B61"/>
    <w:rsid w:val="1C6F7740"/>
    <w:rsid w:val="1CBC7351"/>
    <w:rsid w:val="1CD54885"/>
    <w:rsid w:val="1CE27667"/>
    <w:rsid w:val="1CF737E2"/>
    <w:rsid w:val="1D131F26"/>
    <w:rsid w:val="1D147A98"/>
    <w:rsid w:val="1D274B80"/>
    <w:rsid w:val="1D3B399D"/>
    <w:rsid w:val="1D3F1E0A"/>
    <w:rsid w:val="1D61177E"/>
    <w:rsid w:val="1D6727A4"/>
    <w:rsid w:val="1D8E3B16"/>
    <w:rsid w:val="1DAC58E0"/>
    <w:rsid w:val="1DAF11C4"/>
    <w:rsid w:val="1DB75D38"/>
    <w:rsid w:val="1DB965B9"/>
    <w:rsid w:val="1DE86FAE"/>
    <w:rsid w:val="1DF33466"/>
    <w:rsid w:val="1E0C2F97"/>
    <w:rsid w:val="1E1859EC"/>
    <w:rsid w:val="1E4A30A9"/>
    <w:rsid w:val="1E7E43A5"/>
    <w:rsid w:val="1EA3585B"/>
    <w:rsid w:val="1EB3726E"/>
    <w:rsid w:val="1EF2644D"/>
    <w:rsid w:val="1EF92460"/>
    <w:rsid w:val="1F3B1145"/>
    <w:rsid w:val="1F3E69B7"/>
    <w:rsid w:val="1F6F0678"/>
    <w:rsid w:val="1F70594C"/>
    <w:rsid w:val="1F770DDF"/>
    <w:rsid w:val="1FF5666E"/>
    <w:rsid w:val="20222C36"/>
    <w:rsid w:val="202C4905"/>
    <w:rsid w:val="205F013B"/>
    <w:rsid w:val="20886D97"/>
    <w:rsid w:val="20920F43"/>
    <w:rsid w:val="20A016EC"/>
    <w:rsid w:val="20A42EDA"/>
    <w:rsid w:val="20AC5329"/>
    <w:rsid w:val="21025C05"/>
    <w:rsid w:val="21040504"/>
    <w:rsid w:val="211E5A6A"/>
    <w:rsid w:val="216B0E2E"/>
    <w:rsid w:val="216F6492"/>
    <w:rsid w:val="21B11354"/>
    <w:rsid w:val="21EC3863"/>
    <w:rsid w:val="22062C65"/>
    <w:rsid w:val="221E5B15"/>
    <w:rsid w:val="22432FD4"/>
    <w:rsid w:val="224D0523"/>
    <w:rsid w:val="2265260A"/>
    <w:rsid w:val="226F0E2F"/>
    <w:rsid w:val="22724F80"/>
    <w:rsid w:val="227A6BC3"/>
    <w:rsid w:val="228D6D7A"/>
    <w:rsid w:val="22B0255D"/>
    <w:rsid w:val="22B81230"/>
    <w:rsid w:val="22BF759A"/>
    <w:rsid w:val="22C0387A"/>
    <w:rsid w:val="22C3124F"/>
    <w:rsid w:val="22C71A3D"/>
    <w:rsid w:val="22FD7208"/>
    <w:rsid w:val="230A5BFF"/>
    <w:rsid w:val="23550A02"/>
    <w:rsid w:val="235A5750"/>
    <w:rsid w:val="235F050E"/>
    <w:rsid w:val="23617799"/>
    <w:rsid w:val="2380713C"/>
    <w:rsid w:val="2382155F"/>
    <w:rsid w:val="23A85118"/>
    <w:rsid w:val="23CE3107"/>
    <w:rsid w:val="23F245E7"/>
    <w:rsid w:val="23F40688"/>
    <w:rsid w:val="241E34B4"/>
    <w:rsid w:val="24234992"/>
    <w:rsid w:val="2426078F"/>
    <w:rsid w:val="243310C1"/>
    <w:rsid w:val="243335F1"/>
    <w:rsid w:val="24416609"/>
    <w:rsid w:val="24523BA1"/>
    <w:rsid w:val="247708B3"/>
    <w:rsid w:val="249D4150"/>
    <w:rsid w:val="24A914CC"/>
    <w:rsid w:val="24C97368"/>
    <w:rsid w:val="24EA44C6"/>
    <w:rsid w:val="24F5473E"/>
    <w:rsid w:val="24F853D2"/>
    <w:rsid w:val="25033471"/>
    <w:rsid w:val="25244341"/>
    <w:rsid w:val="252A21DC"/>
    <w:rsid w:val="2573643D"/>
    <w:rsid w:val="25B05678"/>
    <w:rsid w:val="2616458A"/>
    <w:rsid w:val="26361206"/>
    <w:rsid w:val="263E5CEF"/>
    <w:rsid w:val="26423351"/>
    <w:rsid w:val="2670643E"/>
    <w:rsid w:val="267C4DF6"/>
    <w:rsid w:val="268178FD"/>
    <w:rsid w:val="268F2EB8"/>
    <w:rsid w:val="26A72264"/>
    <w:rsid w:val="272C4EBE"/>
    <w:rsid w:val="27550C05"/>
    <w:rsid w:val="27572DC3"/>
    <w:rsid w:val="275D2BA4"/>
    <w:rsid w:val="27731C2E"/>
    <w:rsid w:val="27BB7577"/>
    <w:rsid w:val="27C217B4"/>
    <w:rsid w:val="27CF16F7"/>
    <w:rsid w:val="27D75BC2"/>
    <w:rsid w:val="27DD28B7"/>
    <w:rsid w:val="27ED26EF"/>
    <w:rsid w:val="280D0811"/>
    <w:rsid w:val="28150A93"/>
    <w:rsid w:val="281721DE"/>
    <w:rsid w:val="28277487"/>
    <w:rsid w:val="282B4B8F"/>
    <w:rsid w:val="282D6D0E"/>
    <w:rsid w:val="28494626"/>
    <w:rsid w:val="28615F71"/>
    <w:rsid w:val="288D2EFF"/>
    <w:rsid w:val="2891259B"/>
    <w:rsid w:val="28B32A35"/>
    <w:rsid w:val="28C13872"/>
    <w:rsid w:val="28C32B3D"/>
    <w:rsid w:val="28F961D2"/>
    <w:rsid w:val="28FC1674"/>
    <w:rsid w:val="291B2F95"/>
    <w:rsid w:val="292F3AB9"/>
    <w:rsid w:val="29337204"/>
    <w:rsid w:val="29AB07AB"/>
    <w:rsid w:val="29BB2683"/>
    <w:rsid w:val="29E40587"/>
    <w:rsid w:val="29E66930"/>
    <w:rsid w:val="2A005034"/>
    <w:rsid w:val="2A0E67EA"/>
    <w:rsid w:val="2A194D7A"/>
    <w:rsid w:val="2A3E3BA1"/>
    <w:rsid w:val="2A6C415D"/>
    <w:rsid w:val="2A7D549C"/>
    <w:rsid w:val="2A886554"/>
    <w:rsid w:val="2A8B0C11"/>
    <w:rsid w:val="2A8D1F4E"/>
    <w:rsid w:val="2AF67B15"/>
    <w:rsid w:val="2B182F87"/>
    <w:rsid w:val="2B2323E6"/>
    <w:rsid w:val="2B9A5E41"/>
    <w:rsid w:val="2B9C641C"/>
    <w:rsid w:val="2BA142E6"/>
    <w:rsid w:val="2BC2788C"/>
    <w:rsid w:val="2BD124D8"/>
    <w:rsid w:val="2BEC7706"/>
    <w:rsid w:val="2BF52661"/>
    <w:rsid w:val="2C171A38"/>
    <w:rsid w:val="2C3A7CB1"/>
    <w:rsid w:val="2C3D4206"/>
    <w:rsid w:val="2C573B8F"/>
    <w:rsid w:val="2C80742F"/>
    <w:rsid w:val="2CCD2AE4"/>
    <w:rsid w:val="2CDF4439"/>
    <w:rsid w:val="2D414C27"/>
    <w:rsid w:val="2D5C0EE5"/>
    <w:rsid w:val="2D656A91"/>
    <w:rsid w:val="2DBE77F8"/>
    <w:rsid w:val="2DF1544B"/>
    <w:rsid w:val="2E6A4279"/>
    <w:rsid w:val="2E836910"/>
    <w:rsid w:val="2E8F578B"/>
    <w:rsid w:val="2EC641D0"/>
    <w:rsid w:val="2ED52E31"/>
    <w:rsid w:val="2EE4137C"/>
    <w:rsid w:val="2EF34A01"/>
    <w:rsid w:val="2F1F2696"/>
    <w:rsid w:val="2F2A082E"/>
    <w:rsid w:val="2F2F72C6"/>
    <w:rsid w:val="2F3634DF"/>
    <w:rsid w:val="2F760399"/>
    <w:rsid w:val="2FC65283"/>
    <w:rsid w:val="2FE15C2D"/>
    <w:rsid w:val="300520A0"/>
    <w:rsid w:val="300E29A9"/>
    <w:rsid w:val="301A215D"/>
    <w:rsid w:val="302A2007"/>
    <w:rsid w:val="30391AE7"/>
    <w:rsid w:val="30410D1A"/>
    <w:rsid w:val="304A3722"/>
    <w:rsid w:val="304C3AC8"/>
    <w:rsid w:val="30746F42"/>
    <w:rsid w:val="308D1116"/>
    <w:rsid w:val="30972047"/>
    <w:rsid w:val="30B93CAB"/>
    <w:rsid w:val="30C57693"/>
    <w:rsid w:val="30D16CD5"/>
    <w:rsid w:val="31100B7A"/>
    <w:rsid w:val="31432CA0"/>
    <w:rsid w:val="31495E4A"/>
    <w:rsid w:val="315C42DF"/>
    <w:rsid w:val="3170056B"/>
    <w:rsid w:val="317D1952"/>
    <w:rsid w:val="31A07084"/>
    <w:rsid w:val="31BA6EE9"/>
    <w:rsid w:val="31CB2A6B"/>
    <w:rsid w:val="31FE0694"/>
    <w:rsid w:val="321073A0"/>
    <w:rsid w:val="32424BF1"/>
    <w:rsid w:val="324F5093"/>
    <w:rsid w:val="328E70ED"/>
    <w:rsid w:val="32AA404B"/>
    <w:rsid w:val="32B302D8"/>
    <w:rsid w:val="32BC75AA"/>
    <w:rsid w:val="32E4188C"/>
    <w:rsid w:val="32F40DC7"/>
    <w:rsid w:val="330B3F60"/>
    <w:rsid w:val="331704BD"/>
    <w:rsid w:val="332707F9"/>
    <w:rsid w:val="337F13B3"/>
    <w:rsid w:val="33BE0288"/>
    <w:rsid w:val="33D25E51"/>
    <w:rsid w:val="33DE5234"/>
    <w:rsid w:val="341D61C9"/>
    <w:rsid w:val="3430757B"/>
    <w:rsid w:val="34373437"/>
    <w:rsid w:val="34A50F03"/>
    <w:rsid w:val="34C44CCF"/>
    <w:rsid w:val="34E844B6"/>
    <w:rsid w:val="350C7263"/>
    <w:rsid w:val="351A450C"/>
    <w:rsid w:val="35307CB9"/>
    <w:rsid w:val="35442DEC"/>
    <w:rsid w:val="354F6E12"/>
    <w:rsid w:val="3579326F"/>
    <w:rsid w:val="35911380"/>
    <w:rsid w:val="35B5257F"/>
    <w:rsid w:val="35BE1C8C"/>
    <w:rsid w:val="35F249FD"/>
    <w:rsid w:val="35F355BB"/>
    <w:rsid w:val="35F62823"/>
    <w:rsid w:val="35FC1661"/>
    <w:rsid w:val="36480B11"/>
    <w:rsid w:val="3648449C"/>
    <w:rsid w:val="3682536A"/>
    <w:rsid w:val="36A30B0D"/>
    <w:rsid w:val="36A35E3D"/>
    <w:rsid w:val="36B87DE8"/>
    <w:rsid w:val="36E6490D"/>
    <w:rsid w:val="36FC792A"/>
    <w:rsid w:val="370970E6"/>
    <w:rsid w:val="37165E8A"/>
    <w:rsid w:val="37197C18"/>
    <w:rsid w:val="372736A2"/>
    <w:rsid w:val="3734298B"/>
    <w:rsid w:val="374617A5"/>
    <w:rsid w:val="376A5636"/>
    <w:rsid w:val="37712C84"/>
    <w:rsid w:val="377E158E"/>
    <w:rsid w:val="378B6654"/>
    <w:rsid w:val="37C2153E"/>
    <w:rsid w:val="37C9343C"/>
    <w:rsid w:val="37CA0370"/>
    <w:rsid w:val="37CF6FFF"/>
    <w:rsid w:val="37D41C80"/>
    <w:rsid w:val="37EC6FBE"/>
    <w:rsid w:val="37EE37B7"/>
    <w:rsid w:val="37FD6AA5"/>
    <w:rsid w:val="380D78EA"/>
    <w:rsid w:val="38173EBC"/>
    <w:rsid w:val="38197A40"/>
    <w:rsid w:val="38212358"/>
    <w:rsid w:val="382F4554"/>
    <w:rsid w:val="3834414C"/>
    <w:rsid w:val="384764CF"/>
    <w:rsid w:val="386D0B7F"/>
    <w:rsid w:val="38771144"/>
    <w:rsid w:val="38845F58"/>
    <w:rsid w:val="38CC02E9"/>
    <w:rsid w:val="38D4425E"/>
    <w:rsid w:val="38D5034D"/>
    <w:rsid w:val="38FF2D76"/>
    <w:rsid w:val="39115855"/>
    <w:rsid w:val="39167469"/>
    <w:rsid w:val="391753FF"/>
    <w:rsid w:val="393E44F9"/>
    <w:rsid w:val="395D7ACA"/>
    <w:rsid w:val="39667315"/>
    <w:rsid w:val="39696A33"/>
    <w:rsid w:val="39704E13"/>
    <w:rsid w:val="39A07380"/>
    <w:rsid w:val="39A34FBE"/>
    <w:rsid w:val="39AB3583"/>
    <w:rsid w:val="39D76733"/>
    <w:rsid w:val="39FF7A7D"/>
    <w:rsid w:val="3A1A3F84"/>
    <w:rsid w:val="3A235B1B"/>
    <w:rsid w:val="3A4F0016"/>
    <w:rsid w:val="3A8C44D0"/>
    <w:rsid w:val="3ABE4D0A"/>
    <w:rsid w:val="3AF4005F"/>
    <w:rsid w:val="3AF90086"/>
    <w:rsid w:val="3B014411"/>
    <w:rsid w:val="3B017BBB"/>
    <w:rsid w:val="3B173FF2"/>
    <w:rsid w:val="3B3D2A8B"/>
    <w:rsid w:val="3B3E4E92"/>
    <w:rsid w:val="3B6805A7"/>
    <w:rsid w:val="3B86136A"/>
    <w:rsid w:val="3BA542E3"/>
    <w:rsid w:val="3BC53A7B"/>
    <w:rsid w:val="3BD17022"/>
    <w:rsid w:val="3BDC6748"/>
    <w:rsid w:val="3BE16676"/>
    <w:rsid w:val="3BEF6E6D"/>
    <w:rsid w:val="3C1D21FF"/>
    <w:rsid w:val="3C292943"/>
    <w:rsid w:val="3C4E4D4B"/>
    <w:rsid w:val="3C6515AD"/>
    <w:rsid w:val="3C897969"/>
    <w:rsid w:val="3CAB2289"/>
    <w:rsid w:val="3CBE5252"/>
    <w:rsid w:val="3CC364CD"/>
    <w:rsid w:val="3CCA47F2"/>
    <w:rsid w:val="3D39225E"/>
    <w:rsid w:val="3D6A5EAB"/>
    <w:rsid w:val="3DFA6C43"/>
    <w:rsid w:val="3E0D63E9"/>
    <w:rsid w:val="3E345210"/>
    <w:rsid w:val="3E35602A"/>
    <w:rsid w:val="3E5E3215"/>
    <w:rsid w:val="3E7C77F8"/>
    <w:rsid w:val="3E8911A8"/>
    <w:rsid w:val="3EDE7011"/>
    <w:rsid w:val="3F107D48"/>
    <w:rsid w:val="3F2F1EE6"/>
    <w:rsid w:val="3F432000"/>
    <w:rsid w:val="3F756BE7"/>
    <w:rsid w:val="3F775F3F"/>
    <w:rsid w:val="3F8A23BC"/>
    <w:rsid w:val="3FA710ED"/>
    <w:rsid w:val="3FB70F41"/>
    <w:rsid w:val="3FB97D6E"/>
    <w:rsid w:val="3FC041E9"/>
    <w:rsid w:val="400E2CF9"/>
    <w:rsid w:val="405656D4"/>
    <w:rsid w:val="40755F6E"/>
    <w:rsid w:val="408327CA"/>
    <w:rsid w:val="40BA1F5B"/>
    <w:rsid w:val="40BD23B9"/>
    <w:rsid w:val="4100279B"/>
    <w:rsid w:val="4121560C"/>
    <w:rsid w:val="41230394"/>
    <w:rsid w:val="413A420B"/>
    <w:rsid w:val="41576C04"/>
    <w:rsid w:val="4165161A"/>
    <w:rsid w:val="41BE2950"/>
    <w:rsid w:val="41D149D7"/>
    <w:rsid w:val="41DB79A1"/>
    <w:rsid w:val="41E60013"/>
    <w:rsid w:val="421D5D09"/>
    <w:rsid w:val="42516385"/>
    <w:rsid w:val="42577624"/>
    <w:rsid w:val="427032BB"/>
    <w:rsid w:val="429A6A15"/>
    <w:rsid w:val="42AE797C"/>
    <w:rsid w:val="42B06E4E"/>
    <w:rsid w:val="42BE7B15"/>
    <w:rsid w:val="42E35F51"/>
    <w:rsid w:val="42E42CCB"/>
    <w:rsid w:val="42EC5ED9"/>
    <w:rsid w:val="430118EB"/>
    <w:rsid w:val="43151AA2"/>
    <w:rsid w:val="436C1CAB"/>
    <w:rsid w:val="437D03CD"/>
    <w:rsid w:val="43A64CA0"/>
    <w:rsid w:val="43CB794C"/>
    <w:rsid w:val="440F7919"/>
    <w:rsid w:val="443C5657"/>
    <w:rsid w:val="443D4785"/>
    <w:rsid w:val="444273B1"/>
    <w:rsid w:val="444C2AFD"/>
    <w:rsid w:val="445637C2"/>
    <w:rsid w:val="44613C8E"/>
    <w:rsid w:val="44852366"/>
    <w:rsid w:val="448E5285"/>
    <w:rsid w:val="449B29BF"/>
    <w:rsid w:val="44A82307"/>
    <w:rsid w:val="44E17E80"/>
    <w:rsid w:val="45325DC6"/>
    <w:rsid w:val="453A25B9"/>
    <w:rsid w:val="45692AA8"/>
    <w:rsid w:val="457E5C36"/>
    <w:rsid w:val="45990EE3"/>
    <w:rsid w:val="45B83CBA"/>
    <w:rsid w:val="45E051EF"/>
    <w:rsid w:val="45EB6E4F"/>
    <w:rsid w:val="45FE5C0C"/>
    <w:rsid w:val="46143B88"/>
    <w:rsid w:val="463A2D53"/>
    <w:rsid w:val="464177D2"/>
    <w:rsid w:val="464F2167"/>
    <w:rsid w:val="46622CED"/>
    <w:rsid w:val="46722452"/>
    <w:rsid w:val="46835EE0"/>
    <w:rsid w:val="468A59F0"/>
    <w:rsid w:val="468E2B7B"/>
    <w:rsid w:val="469842A6"/>
    <w:rsid w:val="46D549F6"/>
    <w:rsid w:val="46EF74F1"/>
    <w:rsid w:val="46F210A5"/>
    <w:rsid w:val="46F70B46"/>
    <w:rsid w:val="470B6B62"/>
    <w:rsid w:val="47321A89"/>
    <w:rsid w:val="47386AC6"/>
    <w:rsid w:val="474F454B"/>
    <w:rsid w:val="476E3D13"/>
    <w:rsid w:val="47906044"/>
    <w:rsid w:val="47A26CA8"/>
    <w:rsid w:val="47F23131"/>
    <w:rsid w:val="47F24E14"/>
    <w:rsid w:val="48127150"/>
    <w:rsid w:val="481E3AAF"/>
    <w:rsid w:val="482C7A8B"/>
    <w:rsid w:val="48483A2C"/>
    <w:rsid w:val="48980040"/>
    <w:rsid w:val="48C7353F"/>
    <w:rsid w:val="48D246E0"/>
    <w:rsid w:val="48EE0754"/>
    <w:rsid w:val="490E3741"/>
    <w:rsid w:val="49454DA2"/>
    <w:rsid w:val="494D18FF"/>
    <w:rsid w:val="494F0E5A"/>
    <w:rsid w:val="494F6512"/>
    <w:rsid w:val="49536D89"/>
    <w:rsid w:val="496221A3"/>
    <w:rsid w:val="499770C3"/>
    <w:rsid w:val="49AD5BED"/>
    <w:rsid w:val="49AE5996"/>
    <w:rsid w:val="49D62C2D"/>
    <w:rsid w:val="49EC53A9"/>
    <w:rsid w:val="4A410547"/>
    <w:rsid w:val="4A5B44EC"/>
    <w:rsid w:val="4A6855C7"/>
    <w:rsid w:val="4A757BB4"/>
    <w:rsid w:val="4AC60761"/>
    <w:rsid w:val="4AF27E49"/>
    <w:rsid w:val="4B4121B7"/>
    <w:rsid w:val="4B45367A"/>
    <w:rsid w:val="4BC63447"/>
    <w:rsid w:val="4BC973E3"/>
    <w:rsid w:val="4BD862E5"/>
    <w:rsid w:val="4BE7791D"/>
    <w:rsid w:val="4BF861F8"/>
    <w:rsid w:val="4C196DF0"/>
    <w:rsid w:val="4C1C58A7"/>
    <w:rsid w:val="4C490F00"/>
    <w:rsid w:val="4C533E2A"/>
    <w:rsid w:val="4C643D33"/>
    <w:rsid w:val="4C721387"/>
    <w:rsid w:val="4C7E0B19"/>
    <w:rsid w:val="4C8675A7"/>
    <w:rsid w:val="4C8E043C"/>
    <w:rsid w:val="4CA32ACD"/>
    <w:rsid w:val="4CD400C7"/>
    <w:rsid w:val="4D2E12A2"/>
    <w:rsid w:val="4D4C4248"/>
    <w:rsid w:val="4D63694A"/>
    <w:rsid w:val="4DBF6BC9"/>
    <w:rsid w:val="4E125DEE"/>
    <w:rsid w:val="4E142EF8"/>
    <w:rsid w:val="4E195CEC"/>
    <w:rsid w:val="4E2468BA"/>
    <w:rsid w:val="4E676BB0"/>
    <w:rsid w:val="4E917D3D"/>
    <w:rsid w:val="4EC7074A"/>
    <w:rsid w:val="4ECD1DD8"/>
    <w:rsid w:val="4F005098"/>
    <w:rsid w:val="4F017B95"/>
    <w:rsid w:val="4F3501F1"/>
    <w:rsid w:val="4F373299"/>
    <w:rsid w:val="4F3E36DF"/>
    <w:rsid w:val="4F7815E6"/>
    <w:rsid w:val="4F936162"/>
    <w:rsid w:val="4FD64808"/>
    <w:rsid w:val="500534D6"/>
    <w:rsid w:val="500639B0"/>
    <w:rsid w:val="50201D18"/>
    <w:rsid w:val="50244ACF"/>
    <w:rsid w:val="502E2693"/>
    <w:rsid w:val="503C798A"/>
    <w:rsid w:val="504616C2"/>
    <w:rsid w:val="50832794"/>
    <w:rsid w:val="508C1F7F"/>
    <w:rsid w:val="50A221A1"/>
    <w:rsid w:val="50FD1738"/>
    <w:rsid w:val="510F1274"/>
    <w:rsid w:val="51152F96"/>
    <w:rsid w:val="511C5484"/>
    <w:rsid w:val="51202A7D"/>
    <w:rsid w:val="512103BE"/>
    <w:rsid w:val="51217AB4"/>
    <w:rsid w:val="515D0FE2"/>
    <w:rsid w:val="51732BD6"/>
    <w:rsid w:val="51784B8A"/>
    <w:rsid w:val="51864E98"/>
    <w:rsid w:val="51B15013"/>
    <w:rsid w:val="51B24B86"/>
    <w:rsid w:val="51C82202"/>
    <w:rsid w:val="521A347C"/>
    <w:rsid w:val="524267BE"/>
    <w:rsid w:val="526770C0"/>
    <w:rsid w:val="526F66CB"/>
    <w:rsid w:val="527640B0"/>
    <w:rsid w:val="5280351A"/>
    <w:rsid w:val="52B14D82"/>
    <w:rsid w:val="52BB0D49"/>
    <w:rsid w:val="52BD3EDA"/>
    <w:rsid w:val="52C051D0"/>
    <w:rsid w:val="52C56B4E"/>
    <w:rsid w:val="52ED21D9"/>
    <w:rsid w:val="5319790C"/>
    <w:rsid w:val="531B60FF"/>
    <w:rsid w:val="53266CFC"/>
    <w:rsid w:val="533017A7"/>
    <w:rsid w:val="533F7ACA"/>
    <w:rsid w:val="5345332E"/>
    <w:rsid w:val="53465D9C"/>
    <w:rsid w:val="5347141D"/>
    <w:rsid w:val="536B634E"/>
    <w:rsid w:val="537D5870"/>
    <w:rsid w:val="5381256F"/>
    <w:rsid w:val="5394300C"/>
    <w:rsid w:val="53BF50F3"/>
    <w:rsid w:val="53D3775A"/>
    <w:rsid w:val="53EC730C"/>
    <w:rsid w:val="540269EC"/>
    <w:rsid w:val="541E722F"/>
    <w:rsid w:val="545847B6"/>
    <w:rsid w:val="545D050A"/>
    <w:rsid w:val="547C2F28"/>
    <w:rsid w:val="5494237B"/>
    <w:rsid w:val="549500A2"/>
    <w:rsid w:val="549933DC"/>
    <w:rsid w:val="54AB1EC1"/>
    <w:rsid w:val="54D94D8C"/>
    <w:rsid w:val="551D1046"/>
    <w:rsid w:val="55256612"/>
    <w:rsid w:val="558A2043"/>
    <w:rsid w:val="55BA2908"/>
    <w:rsid w:val="55C04928"/>
    <w:rsid w:val="55F31EE8"/>
    <w:rsid w:val="56013CEA"/>
    <w:rsid w:val="5606196D"/>
    <w:rsid w:val="56690088"/>
    <w:rsid w:val="5674464A"/>
    <w:rsid w:val="567773F3"/>
    <w:rsid w:val="568B06FE"/>
    <w:rsid w:val="56B40BAD"/>
    <w:rsid w:val="56BF562A"/>
    <w:rsid w:val="56C60475"/>
    <w:rsid w:val="56D05A37"/>
    <w:rsid w:val="56DF0BCE"/>
    <w:rsid w:val="572D5C52"/>
    <w:rsid w:val="573C08AD"/>
    <w:rsid w:val="577A0DBA"/>
    <w:rsid w:val="578D3481"/>
    <w:rsid w:val="57B649BE"/>
    <w:rsid w:val="57CA050E"/>
    <w:rsid w:val="580B4A02"/>
    <w:rsid w:val="583A62CF"/>
    <w:rsid w:val="586D0C1F"/>
    <w:rsid w:val="587A5A97"/>
    <w:rsid w:val="58AC46F1"/>
    <w:rsid w:val="58D11F20"/>
    <w:rsid w:val="58FA3FD0"/>
    <w:rsid w:val="59075BD8"/>
    <w:rsid w:val="59565B5E"/>
    <w:rsid w:val="595B758C"/>
    <w:rsid w:val="597317D1"/>
    <w:rsid w:val="59754DC3"/>
    <w:rsid w:val="59AB1102"/>
    <w:rsid w:val="59BA48AB"/>
    <w:rsid w:val="59BC6466"/>
    <w:rsid w:val="59C40B22"/>
    <w:rsid w:val="59C46F52"/>
    <w:rsid w:val="59E87FD4"/>
    <w:rsid w:val="5A2E41BB"/>
    <w:rsid w:val="5A3B234C"/>
    <w:rsid w:val="5A4C5423"/>
    <w:rsid w:val="5A5A0D8D"/>
    <w:rsid w:val="5A804E18"/>
    <w:rsid w:val="5A936D2D"/>
    <w:rsid w:val="5A9954F8"/>
    <w:rsid w:val="5AB138E6"/>
    <w:rsid w:val="5B1B5600"/>
    <w:rsid w:val="5B2131BD"/>
    <w:rsid w:val="5B4F6759"/>
    <w:rsid w:val="5B5112BC"/>
    <w:rsid w:val="5B5F4C9C"/>
    <w:rsid w:val="5B6E095E"/>
    <w:rsid w:val="5B92449F"/>
    <w:rsid w:val="5BA5225B"/>
    <w:rsid w:val="5BBA4800"/>
    <w:rsid w:val="5BC05D52"/>
    <w:rsid w:val="5C6D3C73"/>
    <w:rsid w:val="5C7D6D34"/>
    <w:rsid w:val="5C806E9B"/>
    <w:rsid w:val="5C817DCF"/>
    <w:rsid w:val="5C8E6EF7"/>
    <w:rsid w:val="5CB3693C"/>
    <w:rsid w:val="5CC532DD"/>
    <w:rsid w:val="5CDC6220"/>
    <w:rsid w:val="5D07039A"/>
    <w:rsid w:val="5D816FBD"/>
    <w:rsid w:val="5D953F5F"/>
    <w:rsid w:val="5D9E7743"/>
    <w:rsid w:val="5DC72CB4"/>
    <w:rsid w:val="5DD2595F"/>
    <w:rsid w:val="5E144BD9"/>
    <w:rsid w:val="5E42455D"/>
    <w:rsid w:val="5E763741"/>
    <w:rsid w:val="5EA17297"/>
    <w:rsid w:val="5EB21369"/>
    <w:rsid w:val="5F12127F"/>
    <w:rsid w:val="5F607D8F"/>
    <w:rsid w:val="5F867E99"/>
    <w:rsid w:val="5FA16801"/>
    <w:rsid w:val="5FA6521F"/>
    <w:rsid w:val="5FC24A29"/>
    <w:rsid w:val="5FD61025"/>
    <w:rsid w:val="5FEE0557"/>
    <w:rsid w:val="5FF34062"/>
    <w:rsid w:val="5FF7779B"/>
    <w:rsid w:val="60017D91"/>
    <w:rsid w:val="60194385"/>
    <w:rsid w:val="6061506F"/>
    <w:rsid w:val="606B5A8A"/>
    <w:rsid w:val="607A192E"/>
    <w:rsid w:val="607D21A3"/>
    <w:rsid w:val="60D0153A"/>
    <w:rsid w:val="60E64ED1"/>
    <w:rsid w:val="61006328"/>
    <w:rsid w:val="61013BB8"/>
    <w:rsid w:val="61023CAB"/>
    <w:rsid w:val="6113269E"/>
    <w:rsid w:val="6118702B"/>
    <w:rsid w:val="61247BB4"/>
    <w:rsid w:val="61316817"/>
    <w:rsid w:val="61532759"/>
    <w:rsid w:val="61580A04"/>
    <w:rsid w:val="61886DBF"/>
    <w:rsid w:val="61B77A93"/>
    <w:rsid w:val="61C83F69"/>
    <w:rsid w:val="61CC171A"/>
    <w:rsid w:val="61D418F5"/>
    <w:rsid w:val="61EB1B35"/>
    <w:rsid w:val="62AF07CC"/>
    <w:rsid w:val="62B671B3"/>
    <w:rsid w:val="62D41E2D"/>
    <w:rsid w:val="630514FA"/>
    <w:rsid w:val="634C0EE7"/>
    <w:rsid w:val="63A640AA"/>
    <w:rsid w:val="63C1578E"/>
    <w:rsid w:val="63C223BD"/>
    <w:rsid w:val="64307BD2"/>
    <w:rsid w:val="64487690"/>
    <w:rsid w:val="647E4527"/>
    <w:rsid w:val="647F61AA"/>
    <w:rsid w:val="64D34C5F"/>
    <w:rsid w:val="64E009B4"/>
    <w:rsid w:val="64F2178E"/>
    <w:rsid w:val="65301AFB"/>
    <w:rsid w:val="657158ED"/>
    <w:rsid w:val="65A0200F"/>
    <w:rsid w:val="65B366CB"/>
    <w:rsid w:val="65CE6998"/>
    <w:rsid w:val="660B1C26"/>
    <w:rsid w:val="66785A0B"/>
    <w:rsid w:val="667B2D14"/>
    <w:rsid w:val="66A2181C"/>
    <w:rsid w:val="66AD5293"/>
    <w:rsid w:val="66DA0269"/>
    <w:rsid w:val="66DA2ABD"/>
    <w:rsid w:val="66DA35B7"/>
    <w:rsid w:val="66F06A69"/>
    <w:rsid w:val="66F22829"/>
    <w:rsid w:val="66F51C64"/>
    <w:rsid w:val="66F71994"/>
    <w:rsid w:val="671277C0"/>
    <w:rsid w:val="67130F21"/>
    <w:rsid w:val="67687BDC"/>
    <w:rsid w:val="67691EAB"/>
    <w:rsid w:val="67895E66"/>
    <w:rsid w:val="6790146F"/>
    <w:rsid w:val="67FF43DA"/>
    <w:rsid w:val="68013073"/>
    <w:rsid w:val="680F47EA"/>
    <w:rsid w:val="684028EE"/>
    <w:rsid w:val="6887523D"/>
    <w:rsid w:val="68AB259B"/>
    <w:rsid w:val="68D42D40"/>
    <w:rsid w:val="68F96B4A"/>
    <w:rsid w:val="68FB13B4"/>
    <w:rsid w:val="690243BE"/>
    <w:rsid w:val="69071697"/>
    <w:rsid w:val="690A31E2"/>
    <w:rsid w:val="694645EB"/>
    <w:rsid w:val="695210C3"/>
    <w:rsid w:val="69626DA2"/>
    <w:rsid w:val="697A326D"/>
    <w:rsid w:val="6984509C"/>
    <w:rsid w:val="69877DB8"/>
    <w:rsid w:val="69965263"/>
    <w:rsid w:val="69BA6E8B"/>
    <w:rsid w:val="69F038E5"/>
    <w:rsid w:val="69F71A38"/>
    <w:rsid w:val="69FA57DA"/>
    <w:rsid w:val="6A0F64A5"/>
    <w:rsid w:val="6A1A3C20"/>
    <w:rsid w:val="6A4E4E4F"/>
    <w:rsid w:val="6A6A0D27"/>
    <w:rsid w:val="6A8C13B3"/>
    <w:rsid w:val="6AB73DA9"/>
    <w:rsid w:val="6AC16535"/>
    <w:rsid w:val="6AD60BE9"/>
    <w:rsid w:val="6B3C600C"/>
    <w:rsid w:val="6B650D07"/>
    <w:rsid w:val="6B655902"/>
    <w:rsid w:val="6B66564B"/>
    <w:rsid w:val="6B7F27F9"/>
    <w:rsid w:val="6B8F220C"/>
    <w:rsid w:val="6C0649CA"/>
    <w:rsid w:val="6C0E19FD"/>
    <w:rsid w:val="6C111E44"/>
    <w:rsid w:val="6C311EB8"/>
    <w:rsid w:val="6C3C4224"/>
    <w:rsid w:val="6C717D1F"/>
    <w:rsid w:val="6C90325E"/>
    <w:rsid w:val="6C9B563C"/>
    <w:rsid w:val="6CB95DDC"/>
    <w:rsid w:val="6CDB447B"/>
    <w:rsid w:val="6CDE5B86"/>
    <w:rsid w:val="6CE46F46"/>
    <w:rsid w:val="6CE47E77"/>
    <w:rsid w:val="6CF0013B"/>
    <w:rsid w:val="6CF4154E"/>
    <w:rsid w:val="6D0C14E7"/>
    <w:rsid w:val="6D4712F7"/>
    <w:rsid w:val="6D5F682E"/>
    <w:rsid w:val="6D633CFB"/>
    <w:rsid w:val="6D67055E"/>
    <w:rsid w:val="6D6C7660"/>
    <w:rsid w:val="6D922D81"/>
    <w:rsid w:val="6DA6101C"/>
    <w:rsid w:val="6DB252D0"/>
    <w:rsid w:val="6DD2293A"/>
    <w:rsid w:val="6DD34529"/>
    <w:rsid w:val="6DE1292C"/>
    <w:rsid w:val="6DE9321C"/>
    <w:rsid w:val="6DFC3D84"/>
    <w:rsid w:val="6E0B7E4C"/>
    <w:rsid w:val="6E2306C5"/>
    <w:rsid w:val="6E386F5E"/>
    <w:rsid w:val="6E5E3FA6"/>
    <w:rsid w:val="6E647C5F"/>
    <w:rsid w:val="6E892FB4"/>
    <w:rsid w:val="6E91020B"/>
    <w:rsid w:val="6E931DC6"/>
    <w:rsid w:val="6E9C469C"/>
    <w:rsid w:val="6EA41295"/>
    <w:rsid w:val="6EBA7973"/>
    <w:rsid w:val="6EC2678E"/>
    <w:rsid w:val="6EDE544F"/>
    <w:rsid w:val="6EDF7E74"/>
    <w:rsid w:val="6EED7725"/>
    <w:rsid w:val="6EF00F05"/>
    <w:rsid w:val="6F015DAB"/>
    <w:rsid w:val="6F173018"/>
    <w:rsid w:val="6F23376B"/>
    <w:rsid w:val="6F2E5621"/>
    <w:rsid w:val="6F9765EC"/>
    <w:rsid w:val="6FA37B33"/>
    <w:rsid w:val="6FA61A0B"/>
    <w:rsid w:val="6FF96BF9"/>
    <w:rsid w:val="701518E7"/>
    <w:rsid w:val="701906CC"/>
    <w:rsid w:val="703763CF"/>
    <w:rsid w:val="704257F4"/>
    <w:rsid w:val="706972C8"/>
    <w:rsid w:val="708407DE"/>
    <w:rsid w:val="709C2290"/>
    <w:rsid w:val="70CB60B6"/>
    <w:rsid w:val="70CC53D1"/>
    <w:rsid w:val="70CE5958"/>
    <w:rsid w:val="70D2369A"/>
    <w:rsid w:val="70DA6797"/>
    <w:rsid w:val="7113460D"/>
    <w:rsid w:val="712F679E"/>
    <w:rsid w:val="71AC66CB"/>
    <w:rsid w:val="71B84834"/>
    <w:rsid w:val="71C807E0"/>
    <w:rsid w:val="71D467CF"/>
    <w:rsid w:val="71E1493F"/>
    <w:rsid w:val="71F25309"/>
    <w:rsid w:val="722C3A18"/>
    <w:rsid w:val="72596DA7"/>
    <w:rsid w:val="725C0AD4"/>
    <w:rsid w:val="72823A02"/>
    <w:rsid w:val="728271D7"/>
    <w:rsid w:val="72853E0D"/>
    <w:rsid w:val="72AC3A77"/>
    <w:rsid w:val="72B20F10"/>
    <w:rsid w:val="72BB13CA"/>
    <w:rsid w:val="72C55A38"/>
    <w:rsid w:val="72D22429"/>
    <w:rsid w:val="72D27981"/>
    <w:rsid w:val="72DD58FE"/>
    <w:rsid w:val="72E0659B"/>
    <w:rsid w:val="73012CA9"/>
    <w:rsid w:val="73025106"/>
    <w:rsid w:val="73122695"/>
    <w:rsid w:val="731A4979"/>
    <w:rsid w:val="733E182E"/>
    <w:rsid w:val="73475494"/>
    <w:rsid w:val="73802136"/>
    <w:rsid w:val="73821D73"/>
    <w:rsid w:val="738E0FD8"/>
    <w:rsid w:val="73956D36"/>
    <w:rsid w:val="73B415E2"/>
    <w:rsid w:val="73C80282"/>
    <w:rsid w:val="73D8658A"/>
    <w:rsid w:val="73D96632"/>
    <w:rsid w:val="73E834E7"/>
    <w:rsid w:val="73F166A9"/>
    <w:rsid w:val="74101689"/>
    <w:rsid w:val="741373FD"/>
    <w:rsid w:val="74387BA7"/>
    <w:rsid w:val="7456733B"/>
    <w:rsid w:val="747D71BB"/>
    <w:rsid w:val="74DF7F16"/>
    <w:rsid w:val="74FE2E5B"/>
    <w:rsid w:val="752423E4"/>
    <w:rsid w:val="752F68D0"/>
    <w:rsid w:val="75366C26"/>
    <w:rsid w:val="753D2C53"/>
    <w:rsid w:val="75565845"/>
    <w:rsid w:val="7595748E"/>
    <w:rsid w:val="7597743E"/>
    <w:rsid w:val="759E05B1"/>
    <w:rsid w:val="75B90A32"/>
    <w:rsid w:val="760A7538"/>
    <w:rsid w:val="760D0CD1"/>
    <w:rsid w:val="760F43E9"/>
    <w:rsid w:val="762F0CDF"/>
    <w:rsid w:val="763B235E"/>
    <w:rsid w:val="76526F20"/>
    <w:rsid w:val="76697DBD"/>
    <w:rsid w:val="767157B1"/>
    <w:rsid w:val="769706F3"/>
    <w:rsid w:val="769E4377"/>
    <w:rsid w:val="76D72F46"/>
    <w:rsid w:val="76E22781"/>
    <w:rsid w:val="76EA5000"/>
    <w:rsid w:val="76EF74F0"/>
    <w:rsid w:val="76F70C89"/>
    <w:rsid w:val="77233EDC"/>
    <w:rsid w:val="77593271"/>
    <w:rsid w:val="77784E09"/>
    <w:rsid w:val="77A44215"/>
    <w:rsid w:val="77BD65A9"/>
    <w:rsid w:val="77D37C01"/>
    <w:rsid w:val="77F931F0"/>
    <w:rsid w:val="77FB516E"/>
    <w:rsid w:val="78013BA4"/>
    <w:rsid w:val="78330C4F"/>
    <w:rsid w:val="78457D14"/>
    <w:rsid w:val="785B2F14"/>
    <w:rsid w:val="78766D77"/>
    <w:rsid w:val="789E2238"/>
    <w:rsid w:val="78A96DFF"/>
    <w:rsid w:val="78B8599F"/>
    <w:rsid w:val="79144CC1"/>
    <w:rsid w:val="792A3948"/>
    <w:rsid w:val="79423EE5"/>
    <w:rsid w:val="79494815"/>
    <w:rsid w:val="796E3E0A"/>
    <w:rsid w:val="799A7189"/>
    <w:rsid w:val="79AA099F"/>
    <w:rsid w:val="79C066CF"/>
    <w:rsid w:val="79C20FA6"/>
    <w:rsid w:val="79DE4E5E"/>
    <w:rsid w:val="79F40EBA"/>
    <w:rsid w:val="79FD78B8"/>
    <w:rsid w:val="7A0D7C59"/>
    <w:rsid w:val="7A3F4A1F"/>
    <w:rsid w:val="7A661A3B"/>
    <w:rsid w:val="7AFC7BD2"/>
    <w:rsid w:val="7B02127D"/>
    <w:rsid w:val="7B147736"/>
    <w:rsid w:val="7B3357F9"/>
    <w:rsid w:val="7B562849"/>
    <w:rsid w:val="7B5A3F02"/>
    <w:rsid w:val="7B62666A"/>
    <w:rsid w:val="7B846711"/>
    <w:rsid w:val="7B893199"/>
    <w:rsid w:val="7BE654C1"/>
    <w:rsid w:val="7C0D1A2A"/>
    <w:rsid w:val="7C111C21"/>
    <w:rsid w:val="7C11342E"/>
    <w:rsid w:val="7C404F8C"/>
    <w:rsid w:val="7C94256C"/>
    <w:rsid w:val="7CA465F9"/>
    <w:rsid w:val="7CCD2ACE"/>
    <w:rsid w:val="7CE57820"/>
    <w:rsid w:val="7D1556DF"/>
    <w:rsid w:val="7D162DCD"/>
    <w:rsid w:val="7D4D3348"/>
    <w:rsid w:val="7DA55851"/>
    <w:rsid w:val="7DB35383"/>
    <w:rsid w:val="7DB4565D"/>
    <w:rsid w:val="7DCD2E3E"/>
    <w:rsid w:val="7DD00128"/>
    <w:rsid w:val="7DD204D8"/>
    <w:rsid w:val="7DFE7463"/>
    <w:rsid w:val="7E06522B"/>
    <w:rsid w:val="7E1A3F8B"/>
    <w:rsid w:val="7E35443E"/>
    <w:rsid w:val="7E597CD7"/>
    <w:rsid w:val="7E657FD7"/>
    <w:rsid w:val="7EC9612D"/>
    <w:rsid w:val="7ECA128F"/>
    <w:rsid w:val="7EE834B3"/>
    <w:rsid w:val="7EEE7C12"/>
    <w:rsid w:val="7F1267AB"/>
    <w:rsid w:val="7F543634"/>
    <w:rsid w:val="7F8364BF"/>
    <w:rsid w:val="7FB81459"/>
    <w:rsid w:val="7FB819E3"/>
    <w:rsid w:val="7FE725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0"/>
    <w:qFormat/>
    <w:uiPriority w:val="9"/>
    <w:pPr>
      <w:keepNext/>
      <w:keepLines/>
      <w:spacing w:before="340" w:after="330" w:line="578" w:lineRule="auto"/>
      <w:outlineLvl w:val="0"/>
    </w:pPr>
    <w:rPr>
      <w:b/>
      <w:bCs/>
      <w:kern w:val="44"/>
      <w:sz w:val="44"/>
      <w:szCs w:val="44"/>
    </w:rPr>
  </w:style>
  <w:style w:type="paragraph" w:styleId="4">
    <w:name w:val="heading 2"/>
    <w:basedOn w:val="1"/>
    <w:next w:val="5"/>
    <w:link w:val="39"/>
    <w:qFormat/>
    <w:uiPriority w:val="9"/>
    <w:pPr>
      <w:keepNext/>
      <w:ind w:left="990"/>
      <w:outlineLvl w:val="1"/>
    </w:pPr>
    <w:rPr>
      <w:sz w:val="28"/>
      <w:szCs w:val="20"/>
    </w:rPr>
  </w:style>
  <w:style w:type="paragraph" w:styleId="6">
    <w:name w:val="heading 3"/>
    <w:basedOn w:val="1"/>
    <w:next w:val="1"/>
    <w:link w:val="33"/>
    <w:qFormat/>
    <w:uiPriority w:val="9"/>
    <w:pPr>
      <w:keepNext/>
      <w:keepLines/>
      <w:spacing w:before="260" w:after="260" w:line="413" w:lineRule="auto"/>
      <w:outlineLvl w:val="2"/>
    </w:pPr>
    <w:rPr>
      <w:b/>
      <w:sz w:val="32"/>
    </w:rPr>
  </w:style>
  <w:style w:type="character" w:default="1" w:styleId="27">
    <w:name w:val="Default Paragraph Font"/>
    <w:semiHidden/>
    <w:unhideWhenUsed/>
    <w:qFormat/>
    <w:uiPriority w:val="1"/>
  </w:style>
  <w:style w:type="table" w:default="1" w:styleId="25">
    <w:name w:val="Normal Table"/>
    <w:semiHidden/>
    <w:unhideWhenUsed/>
    <w:uiPriority w:val="99"/>
    <w:tblPr>
      <w:tblCellMar>
        <w:top w:w="0" w:type="dxa"/>
        <w:left w:w="108" w:type="dxa"/>
        <w:bottom w:w="0" w:type="dxa"/>
        <w:right w:w="108" w:type="dxa"/>
      </w:tblCellMar>
    </w:tblPr>
  </w:style>
  <w:style w:type="paragraph" w:customStyle="1" w:styleId="2">
    <w:name w:val="样式1"/>
    <w:basedOn w:val="1"/>
    <w:qFormat/>
    <w:uiPriority w:val="0"/>
  </w:style>
  <w:style w:type="paragraph" w:styleId="5">
    <w:name w:val="Normal Indent"/>
    <w:basedOn w:val="1"/>
    <w:link w:val="32"/>
    <w:unhideWhenUsed/>
    <w:qFormat/>
    <w:uiPriority w:val="99"/>
    <w:pPr>
      <w:ind w:firstLine="420" w:firstLineChars="200"/>
    </w:pPr>
  </w:style>
  <w:style w:type="paragraph" w:styleId="7">
    <w:name w:val="toc 7"/>
    <w:basedOn w:val="1"/>
    <w:next w:val="1"/>
    <w:unhideWhenUsed/>
    <w:qFormat/>
    <w:uiPriority w:val="39"/>
    <w:pPr>
      <w:ind w:left="2520" w:leftChars="1200"/>
    </w:pPr>
  </w:style>
  <w:style w:type="paragraph" w:styleId="8">
    <w:name w:val="annotation text"/>
    <w:basedOn w:val="1"/>
    <w:unhideWhenUsed/>
    <w:qFormat/>
    <w:uiPriority w:val="99"/>
    <w:pPr>
      <w:jc w:val="left"/>
    </w:pPr>
  </w:style>
  <w:style w:type="paragraph" w:styleId="9">
    <w:name w:val="Body Text"/>
    <w:basedOn w:val="1"/>
    <w:next w:val="1"/>
    <w:link w:val="34"/>
    <w:unhideWhenUsed/>
    <w:qFormat/>
    <w:uiPriority w:val="99"/>
    <w:rPr>
      <w:sz w:val="28"/>
    </w:rPr>
  </w:style>
  <w:style w:type="paragraph" w:styleId="10">
    <w:name w:val="Body Text Indent"/>
    <w:basedOn w:val="1"/>
    <w:unhideWhenUsed/>
    <w:qFormat/>
    <w:uiPriority w:val="99"/>
    <w:pPr>
      <w:ind w:left="540" w:leftChars="257" w:firstLine="20" w:firstLineChars="7"/>
    </w:pPr>
    <w:rPr>
      <w:sz w:val="28"/>
    </w:rPr>
  </w:style>
  <w:style w:type="paragraph" w:styleId="11">
    <w:name w:val="toc 5"/>
    <w:basedOn w:val="1"/>
    <w:next w:val="1"/>
    <w:unhideWhenUsed/>
    <w:qFormat/>
    <w:uiPriority w:val="39"/>
    <w:pPr>
      <w:ind w:left="1680" w:leftChars="800"/>
    </w:pPr>
  </w:style>
  <w:style w:type="paragraph" w:styleId="12">
    <w:name w:val="toc 3"/>
    <w:basedOn w:val="1"/>
    <w:next w:val="1"/>
    <w:unhideWhenUsed/>
    <w:qFormat/>
    <w:uiPriority w:val="39"/>
    <w:pPr>
      <w:ind w:left="840" w:leftChars="400"/>
    </w:pPr>
  </w:style>
  <w:style w:type="paragraph" w:styleId="13">
    <w:name w:val="Plain Text"/>
    <w:basedOn w:val="1"/>
    <w:link w:val="35"/>
    <w:unhideWhenUsed/>
    <w:qFormat/>
    <w:uiPriority w:val="99"/>
    <w:rPr>
      <w:rFonts w:ascii="宋体" w:hAnsi="Courier New"/>
    </w:rPr>
  </w:style>
  <w:style w:type="paragraph" w:styleId="14">
    <w:name w:val="toc 8"/>
    <w:basedOn w:val="1"/>
    <w:next w:val="1"/>
    <w:unhideWhenUsed/>
    <w:qFormat/>
    <w:uiPriority w:val="39"/>
    <w:pPr>
      <w:ind w:left="2940" w:leftChars="1400"/>
    </w:pPr>
  </w:style>
  <w:style w:type="paragraph" w:styleId="15">
    <w:name w:val="Balloon Text"/>
    <w:basedOn w:val="1"/>
    <w:link w:val="36"/>
    <w:unhideWhenUsed/>
    <w:qFormat/>
    <w:uiPriority w:val="99"/>
    <w:rPr>
      <w:rFonts w:ascii="宋体"/>
      <w:sz w:val="18"/>
      <w:szCs w:val="18"/>
    </w:rPr>
  </w:style>
  <w:style w:type="paragraph" w:styleId="16">
    <w:name w:val="footer"/>
    <w:basedOn w:val="1"/>
    <w:link w:val="37"/>
    <w:unhideWhenUsed/>
    <w:qFormat/>
    <w:uiPriority w:val="99"/>
    <w:pPr>
      <w:tabs>
        <w:tab w:val="center" w:pos="4153"/>
        <w:tab w:val="right" w:pos="8306"/>
      </w:tabs>
      <w:snapToGrid w:val="0"/>
      <w:jc w:val="left"/>
    </w:pPr>
    <w:rPr>
      <w:sz w:val="18"/>
      <w:szCs w:val="18"/>
    </w:rPr>
  </w:style>
  <w:style w:type="paragraph" w:styleId="17">
    <w:name w:val="header"/>
    <w:basedOn w:val="1"/>
    <w:unhideWhenUsed/>
    <w:qFormat/>
    <w:uiPriority w:val="0"/>
    <w:pPr>
      <w:pBdr>
        <w:bottom w:val="single" w:color="auto" w:sz="6" w:space="1"/>
      </w:pBdr>
      <w:tabs>
        <w:tab w:val="center" w:pos="4153"/>
        <w:tab w:val="right" w:pos="8306"/>
      </w:tabs>
      <w:snapToGrid w:val="0"/>
      <w:jc w:val="center"/>
    </w:pPr>
    <w:rPr>
      <w:sz w:val="18"/>
    </w:rPr>
  </w:style>
  <w:style w:type="paragraph" w:styleId="18">
    <w:name w:val="toc 1"/>
    <w:basedOn w:val="1"/>
    <w:next w:val="1"/>
    <w:unhideWhenUsed/>
    <w:qFormat/>
    <w:uiPriority w:val="39"/>
  </w:style>
  <w:style w:type="paragraph" w:styleId="19">
    <w:name w:val="toc 4"/>
    <w:basedOn w:val="1"/>
    <w:next w:val="1"/>
    <w:unhideWhenUsed/>
    <w:qFormat/>
    <w:uiPriority w:val="39"/>
    <w:pPr>
      <w:ind w:left="1260" w:leftChars="600"/>
    </w:pPr>
  </w:style>
  <w:style w:type="paragraph" w:styleId="20">
    <w:name w:val="toc 6"/>
    <w:basedOn w:val="1"/>
    <w:next w:val="1"/>
    <w:unhideWhenUsed/>
    <w:qFormat/>
    <w:uiPriority w:val="39"/>
    <w:pPr>
      <w:ind w:left="2100" w:leftChars="1000"/>
    </w:pPr>
  </w:style>
  <w:style w:type="paragraph" w:styleId="21">
    <w:name w:val="toc 2"/>
    <w:basedOn w:val="1"/>
    <w:next w:val="1"/>
    <w:unhideWhenUsed/>
    <w:qFormat/>
    <w:uiPriority w:val="39"/>
    <w:pPr>
      <w:ind w:left="420" w:leftChars="200"/>
    </w:pPr>
  </w:style>
  <w:style w:type="paragraph" w:styleId="22">
    <w:name w:val="toc 9"/>
    <w:basedOn w:val="1"/>
    <w:next w:val="1"/>
    <w:unhideWhenUsed/>
    <w:qFormat/>
    <w:uiPriority w:val="39"/>
    <w:pPr>
      <w:ind w:left="3360" w:leftChars="1600"/>
    </w:pPr>
  </w:style>
  <w:style w:type="paragraph" w:styleId="23">
    <w:name w:val="Body Text 2"/>
    <w:basedOn w:val="1"/>
    <w:next w:val="9"/>
    <w:unhideWhenUsed/>
    <w:qFormat/>
    <w:uiPriority w:val="99"/>
    <w:pPr>
      <w:widowControl/>
      <w:numPr>
        <w:ilvl w:val="0"/>
        <w:numId w:val="1"/>
      </w:numPr>
      <w:tabs>
        <w:tab w:val="clear" w:pos="1440"/>
      </w:tabs>
      <w:spacing w:beforeLines="50" w:line="336" w:lineRule="auto"/>
      <w:ind w:left="0" w:firstLine="0"/>
    </w:pPr>
    <w:rPr>
      <w:rFonts w:eastAsia="黑体"/>
      <w:szCs w:val="20"/>
      <w:lang w:val="en-GB"/>
    </w:rPr>
  </w:style>
  <w:style w:type="paragraph" w:styleId="24">
    <w:name w:val="Normal (Web)"/>
    <w:basedOn w:val="1"/>
    <w:unhideWhenUsed/>
    <w:qFormat/>
    <w:uiPriority w:val="99"/>
    <w:pPr>
      <w:jc w:val="left"/>
    </w:pPr>
    <w:rPr>
      <w:kern w:val="0"/>
      <w:sz w:val="24"/>
    </w:rPr>
  </w:style>
  <w:style w:type="table" w:styleId="26">
    <w:name w:val="Table Grid"/>
    <w:basedOn w:val="2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page number"/>
    <w:basedOn w:val="27"/>
    <w:unhideWhenUsed/>
    <w:qFormat/>
    <w:uiPriority w:val="99"/>
  </w:style>
  <w:style w:type="character" w:styleId="29">
    <w:name w:val="Hyperlink"/>
    <w:unhideWhenUsed/>
    <w:qFormat/>
    <w:uiPriority w:val="99"/>
    <w:rPr>
      <w:color w:val="0563C1"/>
      <w:u w:val="single"/>
    </w:rPr>
  </w:style>
  <w:style w:type="character" w:customStyle="1" w:styleId="30">
    <w:name w:val="标题 1 字符1"/>
    <w:qFormat/>
    <w:uiPriority w:val="9"/>
    <w:rPr>
      <w:b/>
      <w:bCs/>
      <w:kern w:val="44"/>
      <w:sz w:val="44"/>
      <w:szCs w:val="44"/>
    </w:rPr>
  </w:style>
  <w:style w:type="character" w:customStyle="1" w:styleId="31">
    <w:name w:val="标题 2 字符"/>
    <w:qFormat/>
    <w:uiPriority w:val="0"/>
    <w:rPr>
      <w:rFonts w:ascii="宋体" w:hAnsi="Arial" w:cs="宋体"/>
      <w:sz w:val="32"/>
    </w:rPr>
  </w:style>
  <w:style w:type="character" w:customStyle="1" w:styleId="32">
    <w:name w:val="正文缩进 字符"/>
    <w:link w:val="5"/>
    <w:qFormat/>
    <w:uiPriority w:val="99"/>
  </w:style>
  <w:style w:type="character" w:customStyle="1" w:styleId="33">
    <w:name w:val="标题 3 字符"/>
    <w:link w:val="6"/>
    <w:qFormat/>
    <w:uiPriority w:val="9"/>
    <w:rPr>
      <w:b/>
      <w:sz w:val="32"/>
    </w:rPr>
  </w:style>
  <w:style w:type="character" w:customStyle="1" w:styleId="34">
    <w:name w:val="正文文本 字符"/>
    <w:link w:val="9"/>
    <w:qFormat/>
    <w:uiPriority w:val="99"/>
    <w:rPr>
      <w:kern w:val="2"/>
      <w:sz w:val="28"/>
      <w:szCs w:val="24"/>
    </w:rPr>
  </w:style>
  <w:style w:type="character" w:customStyle="1" w:styleId="35">
    <w:name w:val="纯文本 字符"/>
    <w:link w:val="13"/>
    <w:qFormat/>
    <w:uiPriority w:val="99"/>
    <w:rPr>
      <w:rFonts w:ascii="宋体" w:hAnsi="Courier New"/>
      <w:kern w:val="2"/>
      <w:sz w:val="21"/>
      <w:szCs w:val="24"/>
    </w:rPr>
  </w:style>
  <w:style w:type="character" w:customStyle="1" w:styleId="36">
    <w:name w:val="批注框文本 字符"/>
    <w:link w:val="15"/>
    <w:semiHidden/>
    <w:qFormat/>
    <w:uiPriority w:val="99"/>
    <w:rPr>
      <w:rFonts w:ascii="宋体"/>
      <w:kern w:val="2"/>
      <w:sz w:val="18"/>
      <w:szCs w:val="18"/>
    </w:rPr>
  </w:style>
  <w:style w:type="character" w:customStyle="1" w:styleId="37">
    <w:name w:val="页脚 字符"/>
    <w:link w:val="16"/>
    <w:qFormat/>
    <w:uiPriority w:val="99"/>
    <w:rPr>
      <w:kern w:val="2"/>
      <w:sz w:val="18"/>
      <w:szCs w:val="18"/>
    </w:rPr>
  </w:style>
  <w:style w:type="character" w:customStyle="1" w:styleId="38">
    <w:name w:val="标题 1 Char"/>
    <w:qFormat/>
    <w:uiPriority w:val="9"/>
    <w:rPr>
      <w:b/>
      <w:bCs/>
      <w:kern w:val="44"/>
      <w:sz w:val="44"/>
      <w:szCs w:val="44"/>
    </w:rPr>
  </w:style>
  <w:style w:type="character" w:customStyle="1" w:styleId="39">
    <w:name w:val="标题 2 字符1"/>
    <w:link w:val="4"/>
    <w:qFormat/>
    <w:uiPriority w:val="0"/>
    <w:rPr>
      <w:sz w:val="28"/>
      <w:szCs w:val="20"/>
    </w:rPr>
  </w:style>
  <w:style w:type="character" w:customStyle="1" w:styleId="40">
    <w:name w:val="标题 1 字符"/>
    <w:link w:val="3"/>
    <w:qFormat/>
    <w:uiPriority w:val="9"/>
    <w:rPr>
      <w:b/>
      <w:bCs/>
      <w:kern w:val="44"/>
      <w:sz w:val="44"/>
      <w:szCs w:val="44"/>
    </w:rPr>
  </w:style>
  <w:style w:type="paragraph" w:customStyle="1" w:styleId="41">
    <w:name w:val="1"/>
    <w:basedOn w:val="1"/>
    <w:next w:val="13"/>
    <w:qFormat/>
    <w:uiPriority w:val="0"/>
    <w:rPr>
      <w:rFonts w:ascii="宋体" w:hAnsi="Courier New"/>
    </w:rPr>
  </w:style>
  <w:style w:type="paragraph" w:customStyle="1" w:styleId="42">
    <w:name w:val="_Style 38"/>
    <w:basedOn w:val="3"/>
    <w:next w:val="1"/>
    <w:qFormat/>
    <w:uiPriority w:val="39"/>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43">
    <w:name w:val="列表段落1"/>
    <w:basedOn w:val="1"/>
    <w:unhideWhenUsed/>
    <w:qFormat/>
    <w:uiPriority w:val="99"/>
    <w:pPr>
      <w:ind w:firstLine="420" w:firstLineChars="200"/>
    </w:pPr>
  </w:style>
  <w:style w:type="paragraph" w:customStyle="1" w:styleId="44">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45">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46">
    <w:name w:val="正文（奇虎360）"/>
    <w:qFormat/>
    <w:uiPriority w:val="0"/>
    <w:pPr>
      <w:spacing w:line="300" w:lineRule="auto"/>
    </w:pPr>
    <w:rPr>
      <w:rFonts w:ascii="Arial" w:hAnsi="Arial" w:eastAsia="宋体" w:cs="Times New Roman"/>
      <w:kern w:val="24"/>
      <w:sz w:val="24"/>
      <w:szCs w:val="24"/>
      <w:lang w:val="en-US" w:eastAsia="zh-CN" w:bidi="ar-SA"/>
    </w:rPr>
  </w:style>
  <w:style w:type="paragraph" w:customStyle="1" w:styleId="47">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4.png"/><Relationship Id="rId11" Type="http://schemas.openxmlformats.org/officeDocument/2006/relationships/image" Target="media/image3.jpe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98</Pages>
  <Words>33254</Words>
  <Characters>33921</Characters>
  <Lines>2120</Lines>
  <Paragraphs>1919</Paragraphs>
  <TotalTime>2</TotalTime>
  <ScaleCrop>false</ScaleCrop>
  <LinksUpToDate>false</LinksUpToDate>
  <CharactersWithSpaces>65256</CharactersWithSpaces>
  <Application>WPS Office_12.8.0.17017_F1E327BC-269C-435d-A152-05C5408002CA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2018-01-25T07:18:00Z</dcterms:created>
  <dc:creator>Chen</dc:creator>
  <cp:lastModifiedBy>钟凯平</cp:lastModifiedBy>
  <dcterms:modified xsi:type="dcterms:W3CDTF">2025-07-03T01:20:16Z</dcterms:modified>
  <dc:title>项目</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2052-12.8.0.17017</vt:lpwstr>
  </property>
  <property fmtid="{D5CDD505-2E9C-101B-9397-08002B2CF9AE}" pid="3" name="ICV">
    <vt:lpwstr>3B37E3BA727B437AA2EA42FB32CAF062_13</vt:lpwstr>
  </property>
</Properties>
</file>