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both"/>
        <w:rPr>
          <w:rFonts w:hint="eastAsia" w:ascii="宋体" w:hAnsi="宋体" w:eastAsia="宋体" w:cs="宋体"/>
          <w:b/>
          <w:bCs/>
          <w:color w:val="auto"/>
          <w:sz w:val="72"/>
          <w:szCs w:val="72"/>
          <w:highlight w:val="none"/>
          <w:lang w:val="en-US" w:eastAsia="zh-CN"/>
        </w:rPr>
      </w:pPr>
      <w:bookmarkStart w:id="0" w:name="_Toc13985"/>
    </w:p>
    <w:p>
      <w:pPr>
        <w:spacing w:line="360" w:lineRule="auto"/>
        <w:jc w:val="center"/>
        <w:rPr>
          <w:rFonts w:hint="eastAsia" w:ascii="宋体" w:hAnsi="宋体" w:cs="宋体"/>
          <w:b/>
          <w:bCs/>
          <w:color w:val="auto"/>
          <w:sz w:val="72"/>
          <w:szCs w:val="72"/>
          <w:highlight w:val="none"/>
        </w:rPr>
      </w:pPr>
      <w:bookmarkStart w:id="682" w:name="_GoBack"/>
      <w:bookmarkEnd w:id="682"/>
      <w:r>
        <w:rPr>
          <w:rFonts w:hint="eastAsia" w:ascii="宋体" w:hAnsi="宋体" w:cs="宋体"/>
          <w:b/>
          <w:bCs/>
          <w:color w:val="auto"/>
          <w:sz w:val="72"/>
          <w:szCs w:val="72"/>
          <w:highlight w:val="none"/>
        </w:rPr>
        <w:t>招标文件</w:t>
      </w:r>
      <w:bookmarkEnd w:id="0"/>
    </w:p>
    <w:p>
      <w:pPr>
        <w:spacing w:line="360" w:lineRule="auto"/>
        <w:rPr>
          <w:rFonts w:hint="eastAsia" w:ascii="宋体" w:hAnsi="宋体" w:cs="宋体"/>
          <w:color w:val="auto"/>
          <w:highlight w:val="none"/>
        </w:rPr>
      </w:pPr>
    </w:p>
    <w:p>
      <w:pPr>
        <w:spacing w:line="360" w:lineRule="auto"/>
        <w:rPr>
          <w:rFonts w:hint="eastAsia" w:ascii="宋体" w:hAnsi="宋体" w:cs="宋体"/>
          <w:color w:val="auto"/>
          <w:highlight w:val="none"/>
        </w:rPr>
      </w:pPr>
    </w:p>
    <w:p>
      <w:pPr>
        <w:spacing w:line="360" w:lineRule="auto"/>
        <w:rPr>
          <w:rFonts w:hint="eastAsia" w:ascii="宋体" w:hAnsi="宋体" w:cs="宋体"/>
          <w:color w:val="auto"/>
          <w:highlight w:val="none"/>
        </w:rPr>
      </w:pPr>
    </w:p>
    <w:p>
      <w:pPr>
        <w:spacing w:line="360" w:lineRule="auto"/>
        <w:rPr>
          <w:rFonts w:hint="eastAsia" w:ascii="宋体" w:hAnsi="宋体" w:cs="宋体"/>
          <w:color w:val="auto"/>
          <w:highlight w:val="none"/>
        </w:rPr>
      </w:pPr>
    </w:p>
    <w:p>
      <w:pPr>
        <w:spacing w:line="360" w:lineRule="auto"/>
        <w:rPr>
          <w:rFonts w:hint="eastAsia" w:ascii="宋体" w:hAnsi="宋体" w:cs="宋体"/>
          <w:color w:val="auto"/>
          <w:sz w:val="32"/>
          <w:szCs w:val="32"/>
          <w:highlight w:val="none"/>
        </w:rPr>
      </w:pPr>
      <w:bookmarkStart w:id="1" w:name="ProjectCode0"/>
    </w:p>
    <w:p>
      <w:pPr>
        <w:spacing w:line="360" w:lineRule="auto"/>
        <w:rPr>
          <w:rFonts w:hint="eastAsia" w:ascii="宋体" w:hAnsi="宋体" w:cs="宋体"/>
          <w:color w:val="auto"/>
          <w:sz w:val="32"/>
          <w:szCs w:val="32"/>
          <w:highlight w:val="none"/>
        </w:rPr>
      </w:pPr>
    </w:p>
    <w:p>
      <w:pPr>
        <w:spacing w:line="360" w:lineRule="auto"/>
        <w:rPr>
          <w:rFonts w:hint="eastAsia" w:ascii="宋体" w:hAnsi="宋体" w:cs="宋体"/>
          <w:color w:val="auto"/>
          <w:sz w:val="32"/>
          <w:highlight w:val="none"/>
        </w:rPr>
      </w:pPr>
    </w:p>
    <w:p>
      <w:pPr>
        <w:spacing w:line="360" w:lineRule="auto"/>
        <w:rPr>
          <w:rFonts w:hint="eastAsia" w:ascii="宋体" w:hAnsi="宋体" w:cs="宋体"/>
          <w:color w:val="auto"/>
          <w:sz w:val="32"/>
          <w:szCs w:val="32"/>
          <w:highlight w:val="none"/>
        </w:rPr>
      </w:pPr>
    </w:p>
    <w:bookmarkEnd w:id="1"/>
    <w:p>
      <w:pPr>
        <w:spacing w:line="360" w:lineRule="auto"/>
        <w:ind w:firstLine="960" w:firstLineChars="300"/>
        <w:rPr>
          <w:rFonts w:hint="eastAsia" w:ascii="宋体" w:hAnsi="宋体" w:eastAsia="宋体" w:cs="宋体"/>
          <w:color w:val="auto"/>
          <w:sz w:val="32"/>
          <w:szCs w:val="32"/>
          <w:highlight w:val="none"/>
        </w:rPr>
      </w:pPr>
      <w:r>
        <w:rPr>
          <w:rFonts w:hint="eastAsia" w:ascii="宋体" w:hAnsi="宋体" w:cs="宋体"/>
          <w:color w:val="auto"/>
          <w:sz w:val="32"/>
          <w:szCs w:val="32"/>
          <w:highlight w:val="none"/>
        </w:rPr>
        <w:t>招标项目名称：</w:t>
      </w:r>
      <w:r>
        <w:rPr>
          <w:rFonts w:hint="eastAsia" w:ascii="宋体" w:hAnsi="宋体" w:cs="宋体"/>
          <w:color w:val="auto"/>
          <w:sz w:val="32"/>
          <w:szCs w:val="32"/>
          <w:highlight w:val="none"/>
          <w:lang w:eastAsia="zh-CN"/>
        </w:rPr>
        <w:t>南航</w:t>
      </w:r>
      <w:r>
        <w:rPr>
          <w:rFonts w:hint="eastAsia" w:ascii="宋体" w:hAnsi="宋体" w:eastAsia="宋体" w:cs="宋体"/>
          <w:color w:val="auto"/>
          <w:sz w:val="32"/>
          <w:szCs w:val="32"/>
          <w:highlight w:val="none"/>
          <w:lang w:val="en-US" w:eastAsia="zh-CN"/>
        </w:rPr>
        <w:t>综合保障部</w:t>
      </w:r>
      <w:r>
        <w:rPr>
          <w:rFonts w:hint="eastAsia" w:ascii="宋体" w:hAnsi="宋体" w:cs="宋体"/>
          <w:color w:val="auto"/>
          <w:sz w:val="32"/>
          <w:szCs w:val="32"/>
          <w:highlight w:val="none"/>
          <w:lang w:val="en-US" w:eastAsia="zh-CN"/>
        </w:rPr>
        <w:t>【】年度丝袜系列采购</w:t>
      </w:r>
      <w:r>
        <w:rPr>
          <w:rFonts w:hint="eastAsia" w:ascii="宋体" w:hAnsi="宋体" w:eastAsia="宋体" w:cs="宋体"/>
          <w:color w:val="auto"/>
          <w:sz w:val="32"/>
          <w:szCs w:val="32"/>
          <w:highlight w:val="none"/>
        </w:rPr>
        <w:t>项目</w:t>
      </w:r>
    </w:p>
    <w:p>
      <w:pPr>
        <w:spacing w:line="360" w:lineRule="auto"/>
        <w:ind w:firstLine="960" w:firstLineChars="300"/>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招  标 编 号：</w:t>
      </w: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 xml:space="preserve">               </w:t>
      </w:r>
      <w:r>
        <w:rPr>
          <w:rFonts w:hint="eastAsia" w:ascii="宋体" w:hAnsi="宋体" w:eastAsia="宋体" w:cs="宋体"/>
          <w:color w:val="auto"/>
          <w:sz w:val="32"/>
          <w:szCs w:val="32"/>
          <w:highlight w:val="none"/>
          <w:lang w:val="en-US" w:eastAsia="zh-CN"/>
        </w:rPr>
        <w:t xml:space="preserve">               </w:t>
      </w:r>
    </w:p>
    <w:p>
      <w:pPr>
        <w:spacing w:line="360" w:lineRule="auto"/>
        <w:ind w:firstLine="960" w:firstLineChars="300"/>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招   标   人：中国南方航空股份有限公司</w:t>
      </w:r>
      <w:r>
        <w:rPr>
          <w:rFonts w:hint="eastAsia" w:ascii="宋体" w:hAnsi="宋体" w:cs="宋体"/>
          <w:color w:val="auto"/>
          <w:sz w:val="32"/>
          <w:szCs w:val="32"/>
          <w:highlight w:val="none"/>
          <w:lang w:val="en-US" w:eastAsia="zh-CN"/>
        </w:rPr>
        <w:t>综合保障部</w:t>
      </w:r>
    </w:p>
    <w:p>
      <w:pPr>
        <w:spacing w:line="360" w:lineRule="auto"/>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招标代理机构：中国南航集团进出口贸易有限公司                               </w:t>
      </w:r>
    </w:p>
    <w:p>
      <w:pPr>
        <w:spacing w:line="360" w:lineRule="auto"/>
        <w:ind w:right="879" w:firstLine="800" w:firstLineChars="250"/>
        <w:rPr>
          <w:rFonts w:hint="eastAsia" w:ascii="宋体" w:hAnsi="宋体" w:cs="宋体"/>
          <w:color w:val="auto"/>
          <w:sz w:val="32"/>
          <w:szCs w:val="32"/>
          <w:highlight w:val="none"/>
        </w:rPr>
      </w:pPr>
    </w:p>
    <w:p>
      <w:pPr>
        <w:spacing w:line="360" w:lineRule="auto"/>
        <w:ind w:right="879" w:firstLine="800" w:firstLineChars="250"/>
        <w:rPr>
          <w:rFonts w:hint="eastAsia" w:ascii="宋体" w:hAnsi="宋体" w:cs="宋体"/>
          <w:color w:val="auto"/>
          <w:sz w:val="32"/>
          <w:szCs w:val="32"/>
          <w:highlight w:val="none"/>
        </w:rPr>
      </w:pPr>
    </w:p>
    <w:p>
      <w:pPr>
        <w:spacing w:line="360" w:lineRule="auto"/>
        <w:ind w:right="879" w:firstLine="800" w:firstLineChars="250"/>
        <w:rPr>
          <w:rFonts w:hint="eastAsia" w:ascii="宋体" w:hAnsi="宋体" w:cs="宋体"/>
          <w:color w:val="auto"/>
          <w:sz w:val="32"/>
          <w:szCs w:val="32"/>
          <w:highlight w:val="none"/>
        </w:rPr>
      </w:pPr>
    </w:p>
    <w:p>
      <w:pPr>
        <w:spacing w:line="360" w:lineRule="auto"/>
        <w:ind w:right="879"/>
        <w:jc w:val="center"/>
        <w:rPr>
          <w:rFonts w:hint="eastAsia" w:ascii="宋体" w:hAnsi="宋体" w:cs="宋体"/>
          <w:color w:val="auto"/>
          <w:sz w:val="32"/>
          <w:szCs w:val="32"/>
          <w:highlight w:val="none"/>
          <w:lang w:val="en-US" w:eastAsia="zh-CN"/>
        </w:rPr>
      </w:pPr>
    </w:p>
    <w:p>
      <w:pPr>
        <w:spacing w:line="360" w:lineRule="auto"/>
        <w:ind w:right="879" w:firstLine="640"/>
        <w:jc w:val="center"/>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20【】</w:t>
      </w:r>
      <w:r>
        <w:rPr>
          <w:rFonts w:hint="eastAsia" w:ascii="宋体" w:hAnsi="宋体" w:cs="宋体"/>
          <w:color w:val="auto"/>
          <w:sz w:val="32"/>
          <w:szCs w:val="32"/>
          <w:highlight w:val="none"/>
        </w:rPr>
        <w:t>年</w:t>
      </w:r>
      <w:r>
        <w:rPr>
          <w:rFonts w:hint="eastAsia" w:ascii="宋体" w:hAnsi="宋体" w:cs="宋体"/>
          <w:color w:val="auto"/>
          <w:sz w:val="32"/>
          <w:szCs w:val="32"/>
          <w:highlight w:val="none"/>
          <w:lang w:val="en-US" w:eastAsia="zh-CN"/>
        </w:rPr>
        <w:t>【】</w:t>
      </w:r>
      <w:r>
        <w:rPr>
          <w:rFonts w:hint="eastAsia" w:ascii="宋体" w:hAnsi="宋体" w:cs="宋体"/>
          <w:color w:val="auto"/>
          <w:sz w:val="32"/>
          <w:szCs w:val="32"/>
          <w:highlight w:val="none"/>
        </w:rPr>
        <w:t>月</w:t>
      </w:r>
    </w:p>
    <w:p>
      <w:pPr>
        <w:pStyle w:val="20"/>
        <w:ind w:firstLine="640"/>
        <w:rPr>
          <w:rFonts w:hint="eastAsia"/>
        </w:rPr>
      </w:pPr>
    </w:p>
    <w:p>
      <w:pPr>
        <w:rPr>
          <w:rFonts w:hint="eastAsia"/>
          <w:color w:val="auto"/>
          <w:highlight w:val="none"/>
          <w:lang w:val="zh-CN"/>
        </w:rPr>
      </w:pPr>
      <w:bookmarkStart w:id="2" w:name="_Toc2660"/>
      <w:bookmarkStart w:id="3" w:name="_Toc30839"/>
      <w:bookmarkStart w:id="4" w:name="_Toc24072"/>
      <w:bookmarkStart w:id="5" w:name="_Toc11309"/>
      <w:bookmarkStart w:id="6" w:name="_Toc13550"/>
      <w:bookmarkStart w:id="7" w:name="_Toc15339"/>
      <w:bookmarkStart w:id="8" w:name="_Toc173"/>
      <w:bookmarkStart w:id="9" w:name="_Toc21191"/>
      <w:bookmarkStart w:id="10" w:name="_Toc3617"/>
      <w:bookmarkStart w:id="11" w:name="_Toc21564"/>
    </w:p>
    <w:p>
      <w:pPr>
        <w:pStyle w:val="20"/>
        <w:rPr>
          <w:rFonts w:hint="eastAsia"/>
          <w:color w:val="auto"/>
          <w:highlight w:val="none"/>
          <w:lang w:val="zh-CN"/>
        </w:rPr>
      </w:pPr>
    </w:p>
    <w:p>
      <w:pPr>
        <w:keepNext/>
        <w:keepLines/>
        <w:widowControl/>
        <w:tabs>
          <w:tab w:val="left" w:pos="815"/>
        </w:tabs>
        <w:spacing w:before="240" w:line="360" w:lineRule="auto"/>
        <w:jc w:val="center"/>
        <w:outlineLvl w:val="9"/>
        <w:rPr>
          <w:rFonts w:ascii="宋体" w:hAnsi="宋体" w:eastAsia="宋体" w:cs="宋体"/>
          <w:b/>
          <w:bCs w:val="0"/>
          <w:color w:val="auto"/>
          <w:kern w:val="0"/>
          <w:sz w:val="44"/>
          <w:szCs w:val="44"/>
          <w:highlight w:val="none"/>
          <w:lang w:val="en-US" w:eastAsia="zh-CN" w:bidi="ar-SA"/>
        </w:rPr>
      </w:pPr>
      <w:r>
        <w:rPr>
          <w:rFonts w:hint="eastAsia" w:ascii="宋体" w:hAnsi="宋体" w:eastAsia="宋体" w:cs="宋体"/>
          <w:b w:val="0"/>
          <w:bCs w:val="0"/>
          <w:color w:val="auto"/>
          <w:kern w:val="0"/>
          <w:sz w:val="44"/>
          <w:szCs w:val="44"/>
          <w:highlight w:val="none"/>
          <w:lang w:val="zh-CN" w:eastAsia="zh-CN" w:bidi="ar-SA"/>
        </w:rPr>
        <w:t>目  录</w:t>
      </w:r>
    </w:p>
    <w:p>
      <w:pPr>
        <w:pStyle w:val="20"/>
        <w:tabs>
          <w:tab w:val="right" w:leader="dot" w:pos="9638"/>
        </w:tabs>
      </w:pPr>
      <w:r>
        <w:rPr>
          <w:rFonts w:hint="eastAsia" w:ascii="宋体" w:hAnsi="宋体" w:eastAsia="宋体" w:cs="宋体"/>
          <w:b/>
          <w:color w:val="auto"/>
          <w:kern w:val="2"/>
          <w:sz w:val="44"/>
          <w:szCs w:val="44"/>
          <w:highlight w:val="none"/>
          <w:lang w:val="en-US" w:eastAsia="zh-CN" w:bidi="ar-SA"/>
        </w:rPr>
        <w:fldChar w:fldCharType="begin"/>
      </w:r>
      <w:r>
        <w:rPr>
          <w:rFonts w:hint="eastAsia" w:ascii="宋体" w:hAnsi="宋体" w:eastAsia="宋体" w:cs="宋体"/>
          <w:b/>
          <w:color w:val="auto"/>
          <w:kern w:val="2"/>
          <w:sz w:val="44"/>
          <w:szCs w:val="44"/>
          <w:highlight w:val="none"/>
          <w:lang w:val="en-US" w:eastAsia="zh-CN" w:bidi="ar-SA"/>
        </w:rPr>
        <w:instrText xml:space="preserve">TOC \o "1-2" \h \u </w:instrText>
      </w:r>
      <w:r>
        <w:rPr>
          <w:rFonts w:hint="eastAsia" w:ascii="宋体" w:hAnsi="宋体" w:eastAsia="宋体" w:cs="宋体"/>
          <w:b/>
          <w:color w:val="auto"/>
          <w:kern w:val="2"/>
          <w:sz w:val="44"/>
          <w:szCs w:val="44"/>
          <w:highlight w:val="none"/>
          <w:lang w:val="en-US" w:eastAsia="zh-CN" w:bidi="ar-SA"/>
        </w:rPr>
        <w:fldChar w:fldCharType="separate"/>
      </w:r>
      <w:r>
        <w:rPr>
          <w:rFonts w:hint="eastAsia" w:ascii="宋体" w:hAnsi="宋体" w:eastAsia="宋体" w:cs="宋体"/>
          <w:color w:val="auto"/>
          <w:kern w:val="2"/>
          <w:szCs w:val="44"/>
          <w:highlight w:val="none"/>
          <w:lang w:val="en-US" w:eastAsia="zh-CN" w:bidi="ar-SA"/>
        </w:rPr>
        <w:fldChar w:fldCharType="begin"/>
      </w:r>
      <w:r>
        <w:rPr>
          <w:rFonts w:hint="eastAsia" w:ascii="宋体" w:hAnsi="宋体" w:eastAsia="宋体" w:cs="宋体"/>
          <w:kern w:val="2"/>
          <w:szCs w:val="44"/>
          <w:highlight w:val="none"/>
          <w:lang w:val="en-US" w:eastAsia="zh-CN" w:bidi="ar-SA"/>
        </w:rPr>
        <w:instrText xml:space="preserve"> HYPERLINK \l _Toc1727827238 </w:instrText>
      </w:r>
      <w:r>
        <w:rPr>
          <w:rFonts w:hint="eastAsia" w:ascii="宋体" w:hAnsi="宋体" w:eastAsia="宋体" w:cs="宋体"/>
          <w:kern w:val="2"/>
          <w:szCs w:val="44"/>
          <w:highlight w:val="none"/>
          <w:lang w:val="en-US" w:eastAsia="zh-CN" w:bidi="ar-SA"/>
        </w:rPr>
        <w:fldChar w:fldCharType="separate"/>
      </w:r>
      <w:r>
        <w:rPr>
          <w:rFonts w:hint="eastAsia" w:ascii="宋体" w:hAnsi="宋体" w:cs="宋体"/>
          <w:bCs/>
          <w:szCs w:val="44"/>
          <w:highlight w:val="none"/>
        </w:rPr>
        <w:t>温馨提示</w:t>
      </w:r>
      <w:r>
        <w:tab/>
      </w:r>
      <w:r>
        <w:fldChar w:fldCharType="begin"/>
      </w:r>
      <w:r>
        <w:instrText xml:space="preserve"> PAGEREF _Toc1727827238 \h </w:instrText>
      </w:r>
      <w:r>
        <w:fldChar w:fldCharType="separate"/>
      </w:r>
      <w:r>
        <w:t>3</w:t>
      </w:r>
      <w:r>
        <w:fldChar w:fldCharType="end"/>
      </w:r>
      <w:r>
        <w:rPr>
          <w:rFonts w:hint="eastAsia" w:ascii="宋体" w:hAnsi="宋体" w:eastAsia="宋体" w:cs="宋体"/>
          <w:color w:val="auto"/>
          <w:kern w:val="2"/>
          <w:szCs w:val="44"/>
          <w:highlight w:val="none"/>
          <w:lang w:val="en-US" w:eastAsia="zh-CN" w:bidi="ar-SA"/>
        </w:rPr>
        <w:fldChar w:fldCharType="end"/>
      </w:r>
    </w:p>
    <w:p>
      <w:pPr>
        <w:pStyle w:val="20"/>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_Toc64662326 </w:instrText>
      </w:r>
      <w:r>
        <w:rPr>
          <w:rFonts w:hint="eastAsia" w:ascii="宋体" w:hAnsi="宋体" w:eastAsia="宋体" w:cs="宋体"/>
          <w:szCs w:val="44"/>
          <w:highlight w:val="none"/>
        </w:rPr>
        <w:fldChar w:fldCharType="separate"/>
      </w:r>
      <w:r>
        <w:rPr>
          <w:rFonts w:hint="eastAsia" w:ascii="宋体" w:hAnsi="宋体" w:cs="宋体"/>
          <w:highlight w:val="none"/>
        </w:rPr>
        <w:t>第一章  招标公告</w:t>
      </w:r>
      <w:r>
        <w:tab/>
      </w:r>
      <w:r>
        <w:fldChar w:fldCharType="begin"/>
      </w:r>
      <w:r>
        <w:instrText xml:space="preserve"> PAGEREF _Toc64662326 \h </w:instrText>
      </w:r>
      <w:r>
        <w:fldChar w:fldCharType="separate"/>
      </w:r>
      <w:r>
        <w:t>4</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_Toc1523135020 </w:instrText>
      </w:r>
      <w:r>
        <w:rPr>
          <w:rFonts w:hint="eastAsia" w:ascii="宋体" w:hAnsi="宋体" w:eastAsia="宋体" w:cs="宋体"/>
          <w:szCs w:val="44"/>
          <w:highlight w:val="none"/>
        </w:rPr>
        <w:fldChar w:fldCharType="separate"/>
      </w:r>
      <w:r>
        <w:rPr>
          <w:rFonts w:hint="eastAsia" w:ascii="宋体" w:hAnsi="宋体" w:cs="宋体"/>
          <w:highlight w:val="none"/>
        </w:rPr>
        <w:t>1、招标项目简介</w:t>
      </w:r>
      <w:r>
        <w:tab/>
      </w:r>
      <w:r>
        <w:fldChar w:fldCharType="begin"/>
      </w:r>
      <w:r>
        <w:instrText xml:space="preserve"> PAGEREF _Toc1523135020 \h </w:instrText>
      </w:r>
      <w:r>
        <w:fldChar w:fldCharType="separate"/>
      </w:r>
      <w:r>
        <w:t>4</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_Toc1394945536 </w:instrText>
      </w:r>
      <w:r>
        <w:rPr>
          <w:rFonts w:hint="eastAsia" w:ascii="宋体" w:hAnsi="宋体" w:eastAsia="宋体" w:cs="宋体"/>
          <w:szCs w:val="44"/>
          <w:highlight w:val="none"/>
        </w:rPr>
        <w:fldChar w:fldCharType="separate"/>
      </w:r>
      <w:r>
        <w:rPr>
          <w:rFonts w:hint="eastAsia" w:ascii="宋体" w:hAnsi="宋体" w:cs="宋体"/>
          <w:highlight w:val="none"/>
        </w:rPr>
        <w:t>2、投标人资格要求</w:t>
      </w:r>
      <w:r>
        <w:tab/>
      </w:r>
      <w:r>
        <w:fldChar w:fldCharType="begin"/>
      </w:r>
      <w:r>
        <w:instrText xml:space="preserve"> PAGEREF _Toc1394945536 \h </w:instrText>
      </w:r>
      <w:r>
        <w:fldChar w:fldCharType="separate"/>
      </w:r>
      <w:r>
        <w:t>5</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_Toc658011127 </w:instrText>
      </w:r>
      <w:r>
        <w:rPr>
          <w:rFonts w:hint="eastAsia" w:ascii="宋体" w:hAnsi="宋体" w:eastAsia="宋体" w:cs="宋体"/>
          <w:szCs w:val="44"/>
          <w:highlight w:val="none"/>
        </w:rPr>
        <w:fldChar w:fldCharType="separate"/>
      </w:r>
      <w:r>
        <w:rPr>
          <w:rFonts w:hint="eastAsia" w:ascii="宋体" w:hAnsi="宋体" w:cs="宋体"/>
          <w:highlight w:val="none"/>
        </w:rPr>
        <w:t>3、招标文件的获取</w:t>
      </w:r>
      <w:r>
        <w:tab/>
      </w:r>
      <w:r>
        <w:fldChar w:fldCharType="begin"/>
      </w:r>
      <w:r>
        <w:instrText xml:space="preserve"> PAGEREF _Toc658011127 \h </w:instrText>
      </w:r>
      <w:r>
        <w:fldChar w:fldCharType="separate"/>
      </w:r>
      <w:r>
        <w:t>6</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_Toc1347539135 </w:instrText>
      </w:r>
      <w:r>
        <w:rPr>
          <w:rFonts w:hint="eastAsia" w:ascii="宋体" w:hAnsi="宋体" w:eastAsia="宋体" w:cs="宋体"/>
          <w:szCs w:val="44"/>
          <w:highlight w:val="none"/>
        </w:rPr>
        <w:fldChar w:fldCharType="separate"/>
      </w:r>
      <w:r>
        <w:rPr>
          <w:rFonts w:hint="eastAsia" w:ascii="宋体" w:hAnsi="宋体" w:cs="宋体"/>
          <w:bCs/>
          <w:highlight w:val="none"/>
        </w:rPr>
        <w:t>4、CA证书办理及绑定</w:t>
      </w:r>
      <w:r>
        <w:tab/>
      </w:r>
      <w:r>
        <w:fldChar w:fldCharType="begin"/>
      </w:r>
      <w:r>
        <w:instrText xml:space="preserve"> PAGEREF _Toc1347539135 \h </w:instrText>
      </w:r>
      <w:r>
        <w:fldChar w:fldCharType="separate"/>
      </w:r>
      <w:r>
        <w:t>6</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_Toc1828197854 </w:instrText>
      </w:r>
      <w:r>
        <w:rPr>
          <w:rFonts w:hint="eastAsia" w:ascii="宋体" w:hAnsi="宋体" w:eastAsia="宋体" w:cs="宋体"/>
          <w:szCs w:val="44"/>
          <w:highlight w:val="none"/>
        </w:rPr>
        <w:fldChar w:fldCharType="separate"/>
      </w:r>
      <w:r>
        <w:rPr>
          <w:rFonts w:hint="eastAsia" w:ascii="宋体" w:hAnsi="宋体" w:cs="宋体"/>
          <w:highlight w:val="none"/>
        </w:rPr>
        <w:t>5、投标文件的递交及解密</w:t>
      </w:r>
      <w:r>
        <w:tab/>
      </w:r>
      <w:r>
        <w:fldChar w:fldCharType="begin"/>
      </w:r>
      <w:r>
        <w:instrText xml:space="preserve"> PAGEREF _Toc1828197854 \h </w:instrText>
      </w:r>
      <w:r>
        <w:fldChar w:fldCharType="separate"/>
      </w:r>
      <w:r>
        <w:t>7</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_Toc1226810101 </w:instrText>
      </w:r>
      <w:r>
        <w:rPr>
          <w:rFonts w:hint="eastAsia" w:ascii="宋体" w:hAnsi="宋体" w:eastAsia="宋体" w:cs="宋体"/>
          <w:szCs w:val="44"/>
          <w:highlight w:val="none"/>
        </w:rPr>
        <w:fldChar w:fldCharType="separate"/>
      </w:r>
      <w:r>
        <w:rPr>
          <w:rFonts w:hint="eastAsia" w:ascii="宋体" w:hAnsi="宋体" w:cs="宋体"/>
          <w:highlight w:val="none"/>
        </w:rPr>
        <w:t>6、发布公告及结果的媒介</w:t>
      </w:r>
      <w:r>
        <w:tab/>
      </w:r>
      <w:r>
        <w:fldChar w:fldCharType="begin"/>
      </w:r>
      <w:r>
        <w:instrText xml:space="preserve"> PAGEREF _Toc1226810101 \h </w:instrText>
      </w:r>
      <w:r>
        <w:fldChar w:fldCharType="separate"/>
      </w:r>
      <w:r>
        <w:t>7</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_Toc1876090339 </w:instrText>
      </w:r>
      <w:r>
        <w:rPr>
          <w:rFonts w:hint="eastAsia" w:ascii="宋体" w:hAnsi="宋体" w:eastAsia="宋体" w:cs="宋体"/>
          <w:szCs w:val="44"/>
          <w:highlight w:val="none"/>
        </w:rPr>
        <w:fldChar w:fldCharType="separate"/>
      </w:r>
      <w:r>
        <w:rPr>
          <w:rFonts w:hint="eastAsia" w:ascii="宋体" w:hAnsi="宋体" w:cs="宋体"/>
          <w:highlight w:val="none"/>
        </w:rPr>
        <w:t>7、招标程序终止说明</w:t>
      </w:r>
      <w:r>
        <w:tab/>
      </w:r>
      <w:r>
        <w:fldChar w:fldCharType="begin"/>
      </w:r>
      <w:r>
        <w:instrText xml:space="preserve"> PAGEREF _Toc1876090339 \h </w:instrText>
      </w:r>
      <w:r>
        <w:fldChar w:fldCharType="separate"/>
      </w:r>
      <w:r>
        <w:t>8</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_Toc1312463152 </w:instrText>
      </w:r>
      <w:r>
        <w:rPr>
          <w:rFonts w:hint="eastAsia" w:ascii="宋体" w:hAnsi="宋体" w:eastAsia="宋体" w:cs="宋体"/>
          <w:szCs w:val="44"/>
          <w:highlight w:val="none"/>
        </w:rPr>
        <w:fldChar w:fldCharType="separate"/>
      </w:r>
      <w:r>
        <w:rPr>
          <w:rFonts w:hint="eastAsia" w:ascii="宋体" w:hAnsi="宋体" w:cs="宋体"/>
          <w:highlight w:val="none"/>
        </w:rPr>
        <w:t>8、联系方式</w:t>
      </w:r>
      <w:r>
        <w:tab/>
      </w:r>
      <w:r>
        <w:fldChar w:fldCharType="begin"/>
      </w:r>
      <w:r>
        <w:instrText xml:space="preserve"> PAGEREF _Toc1312463152 \h </w:instrText>
      </w:r>
      <w:r>
        <w:fldChar w:fldCharType="separate"/>
      </w:r>
      <w:r>
        <w:t>8</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_Toc619898405 </w:instrText>
      </w:r>
      <w:r>
        <w:rPr>
          <w:rFonts w:hint="eastAsia" w:ascii="宋体" w:hAnsi="宋体" w:eastAsia="宋体" w:cs="宋体"/>
          <w:szCs w:val="44"/>
          <w:highlight w:val="none"/>
        </w:rPr>
        <w:fldChar w:fldCharType="separate"/>
      </w:r>
      <w:r>
        <w:rPr>
          <w:rFonts w:hint="eastAsia" w:ascii="宋体" w:hAnsi="宋体" w:cs="宋体"/>
          <w:highlight w:val="none"/>
        </w:rPr>
        <w:t>9、异议、投诉反馈路径</w:t>
      </w:r>
      <w:r>
        <w:tab/>
      </w:r>
      <w:r>
        <w:fldChar w:fldCharType="begin"/>
      </w:r>
      <w:r>
        <w:instrText xml:space="preserve"> PAGEREF _Toc619898405 \h </w:instrText>
      </w:r>
      <w:r>
        <w:fldChar w:fldCharType="separate"/>
      </w:r>
      <w:r>
        <w:t>8</w:t>
      </w:r>
      <w:r>
        <w:fldChar w:fldCharType="end"/>
      </w:r>
      <w:r>
        <w:rPr>
          <w:rFonts w:hint="eastAsia" w:ascii="宋体" w:hAnsi="宋体" w:eastAsia="宋体" w:cs="宋体"/>
          <w:color w:val="auto"/>
          <w:szCs w:val="44"/>
          <w:highlight w:val="none"/>
        </w:rPr>
        <w:fldChar w:fldCharType="end"/>
      </w:r>
    </w:p>
    <w:p>
      <w:pPr>
        <w:pStyle w:val="20"/>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_Toc1124914586 </w:instrText>
      </w:r>
      <w:r>
        <w:rPr>
          <w:rFonts w:hint="eastAsia" w:ascii="宋体" w:hAnsi="宋体" w:eastAsia="宋体" w:cs="宋体"/>
          <w:szCs w:val="44"/>
          <w:highlight w:val="none"/>
        </w:rPr>
        <w:fldChar w:fldCharType="separate"/>
      </w:r>
      <w:r>
        <w:rPr>
          <w:rFonts w:hint="eastAsia" w:ascii="宋体" w:hAnsi="宋体" w:cs="宋体"/>
        </w:rPr>
        <w:t xml:space="preserve">第二章 </w:t>
      </w:r>
      <w:r>
        <w:rPr>
          <w:rFonts w:hint="eastAsia" w:ascii="宋体" w:hAnsi="宋体" w:cs="宋体"/>
          <w:highlight w:val="none"/>
        </w:rPr>
        <w:t>投标人须知及前附表</w:t>
      </w:r>
      <w:r>
        <w:tab/>
      </w:r>
      <w:r>
        <w:fldChar w:fldCharType="begin"/>
      </w:r>
      <w:r>
        <w:instrText xml:space="preserve"> PAGEREF _Toc1124914586 \h </w:instrText>
      </w:r>
      <w:r>
        <w:fldChar w:fldCharType="separate"/>
      </w:r>
      <w:r>
        <w:t>10</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_Toc398732558 </w:instrText>
      </w:r>
      <w:r>
        <w:rPr>
          <w:rFonts w:hint="eastAsia" w:ascii="宋体" w:hAnsi="宋体" w:eastAsia="宋体" w:cs="宋体"/>
          <w:szCs w:val="44"/>
          <w:highlight w:val="none"/>
        </w:rPr>
        <w:fldChar w:fldCharType="separate"/>
      </w:r>
      <w:r>
        <w:rPr>
          <w:rFonts w:hint="eastAsia" w:ascii="宋体" w:hAnsi="宋体" w:cs="宋体"/>
          <w:bCs/>
          <w:highlight w:val="none"/>
        </w:rPr>
        <w:t>一、投标人须知前附表</w:t>
      </w:r>
      <w:r>
        <w:tab/>
      </w:r>
      <w:r>
        <w:fldChar w:fldCharType="begin"/>
      </w:r>
      <w:r>
        <w:instrText xml:space="preserve"> PAGEREF _Toc398732558 \h </w:instrText>
      </w:r>
      <w:r>
        <w:fldChar w:fldCharType="separate"/>
      </w:r>
      <w:r>
        <w:t>10</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_Toc371659784 </w:instrText>
      </w:r>
      <w:r>
        <w:rPr>
          <w:rFonts w:hint="eastAsia" w:ascii="宋体" w:hAnsi="宋体" w:eastAsia="宋体" w:cs="宋体"/>
          <w:szCs w:val="44"/>
          <w:highlight w:val="none"/>
        </w:rPr>
        <w:fldChar w:fldCharType="separate"/>
      </w:r>
      <w:r>
        <w:rPr>
          <w:rFonts w:hint="eastAsia" w:ascii="宋体" w:hAnsi="宋体" w:cs="宋体"/>
          <w:szCs w:val="28"/>
          <w:highlight w:val="none"/>
        </w:rPr>
        <w:t>二、投标人须知</w:t>
      </w:r>
      <w:r>
        <w:tab/>
      </w:r>
      <w:r>
        <w:fldChar w:fldCharType="begin"/>
      </w:r>
      <w:r>
        <w:instrText xml:space="preserve"> PAGEREF _Toc371659784 \h </w:instrText>
      </w:r>
      <w:r>
        <w:fldChar w:fldCharType="separate"/>
      </w:r>
      <w:r>
        <w:t>15</w:t>
      </w:r>
      <w:r>
        <w:fldChar w:fldCharType="end"/>
      </w:r>
      <w:r>
        <w:rPr>
          <w:rFonts w:hint="eastAsia" w:ascii="宋体" w:hAnsi="宋体" w:eastAsia="宋体" w:cs="宋体"/>
          <w:color w:val="auto"/>
          <w:szCs w:val="44"/>
          <w:highlight w:val="none"/>
        </w:rPr>
        <w:fldChar w:fldCharType="end"/>
      </w:r>
    </w:p>
    <w:p>
      <w:pPr>
        <w:pStyle w:val="20"/>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_Toc1640306082 </w:instrText>
      </w:r>
      <w:r>
        <w:rPr>
          <w:rFonts w:hint="eastAsia" w:ascii="宋体" w:hAnsi="宋体" w:eastAsia="宋体" w:cs="宋体"/>
          <w:szCs w:val="44"/>
          <w:highlight w:val="none"/>
        </w:rPr>
        <w:fldChar w:fldCharType="separate"/>
      </w:r>
      <w:r>
        <w:rPr>
          <w:rFonts w:hint="eastAsia" w:ascii="宋体" w:hAnsi="宋体" w:cs="宋体"/>
          <w:highlight w:val="none"/>
        </w:rPr>
        <w:t>第三章 评标办法（综合评分法）</w:t>
      </w:r>
      <w:r>
        <w:tab/>
      </w:r>
      <w:r>
        <w:fldChar w:fldCharType="begin"/>
      </w:r>
      <w:r>
        <w:instrText xml:space="preserve"> PAGEREF _Toc1640306082 \h </w:instrText>
      </w:r>
      <w:r>
        <w:fldChar w:fldCharType="separate"/>
      </w:r>
      <w:r>
        <w:t>25</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_Toc263139081 </w:instrText>
      </w:r>
      <w:r>
        <w:rPr>
          <w:rFonts w:hint="eastAsia" w:ascii="宋体" w:hAnsi="宋体" w:eastAsia="宋体" w:cs="宋体"/>
          <w:szCs w:val="44"/>
          <w:highlight w:val="none"/>
        </w:rPr>
        <w:fldChar w:fldCharType="separate"/>
      </w:r>
      <w:r>
        <w:rPr>
          <w:rFonts w:hint="eastAsia" w:ascii="宋体" w:hAnsi="宋体" w:cs="宋体"/>
          <w:highlight w:val="none"/>
        </w:rPr>
        <w:t>1、评标方法</w:t>
      </w:r>
      <w:r>
        <w:tab/>
      </w:r>
      <w:r>
        <w:fldChar w:fldCharType="begin"/>
      </w:r>
      <w:r>
        <w:instrText xml:space="preserve"> PAGEREF _Toc263139081 \h </w:instrText>
      </w:r>
      <w:r>
        <w:fldChar w:fldCharType="separate"/>
      </w:r>
      <w:r>
        <w:t>25</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_Toc1361367516 </w:instrText>
      </w:r>
      <w:r>
        <w:rPr>
          <w:rFonts w:hint="eastAsia" w:ascii="宋体" w:hAnsi="宋体" w:eastAsia="宋体" w:cs="宋体"/>
          <w:szCs w:val="44"/>
          <w:highlight w:val="none"/>
        </w:rPr>
        <w:fldChar w:fldCharType="separate"/>
      </w:r>
      <w:r>
        <w:rPr>
          <w:rFonts w:hint="eastAsia" w:ascii="宋体" w:hAnsi="宋体" w:cs="宋体"/>
          <w:highlight w:val="none"/>
        </w:rPr>
        <w:t>2、评标程序</w:t>
      </w:r>
      <w:r>
        <w:tab/>
      </w:r>
      <w:r>
        <w:fldChar w:fldCharType="begin"/>
      </w:r>
      <w:r>
        <w:instrText xml:space="preserve"> PAGEREF _Toc1361367516 \h </w:instrText>
      </w:r>
      <w:r>
        <w:fldChar w:fldCharType="separate"/>
      </w:r>
      <w:r>
        <w:t>25</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_Toc1670393615 </w:instrText>
      </w:r>
      <w:r>
        <w:rPr>
          <w:rFonts w:hint="eastAsia" w:ascii="宋体" w:hAnsi="宋体" w:eastAsia="宋体" w:cs="宋体"/>
          <w:szCs w:val="44"/>
          <w:highlight w:val="none"/>
        </w:rPr>
        <w:fldChar w:fldCharType="separate"/>
      </w:r>
      <w:r>
        <w:rPr>
          <w:rFonts w:hint="eastAsia" w:ascii="宋体" w:hAnsi="宋体" w:cs="宋体"/>
          <w:highlight w:val="none"/>
        </w:rPr>
        <w:t>3、评标报告</w:t>
      </w:r>
      <w:r>
        <w:tab/>
      </w:r>
      <w:r>
        <w:fldChar w:fldCharType="begin"/>
      </w:r>
      <w:r>
        <w:instrText xml:space="preserve"> PAGEREF _Toc1670393615 \h </w:instrText>
      </w:r>
      <w:r>
        <w:fldChar w:fldCharType="separate"/>
      </w:r>
      <w:r>
        <w:t>26</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_Toc795114452 </w:instrText>
      </w:r>
      <w:r>
        <w:rPr>
          <w:rFonts w:hint="eastAsia" w:ascii="宋体" w:hAnsi="宋体" w:eastAsia="宋体" w:cs="宋体"/>
          <w:szCs w:val="44"/>
          <w:highlight w:val="none"/>
        </w:rPr>
        <w:fldChar w:fldCharType="separate"/>
      </w:r>
      <w:r>
        <w:rPr>
          <w:rFonts w:hint="eastAsia" w:ascii="宋体" w:hAnsi="宋体" w:cs="宋体"/>
          <w:highlight w:val="none"/>
        </w:rPr>
        <w:t>4、评标细则</w:t>
      </w:r>
      <w:r>
        <w:tab/>
      </w:r>
      <w:r>
        <w:fldChar w:fldCharType="begin"/>
      </w:r>
      <w:r>
        <w:instrText xml:space="preserve"> PAGEREF _Toc795114452 \h </w:instrText>
      </w:r>
      <w:r>
        <w:fldChar w:fldCharType="separate"/>
      </w:r>
      <w:r>
        <w:t>26</w:t>
      </w:r>
      <w:r>
        <w:fldChar w:fldCharType="end"/>
      </w:r>
      <w:r>
        <w:rPr>
          <w:rFonts w:hint="eastAsia" w:ascii="宋体" w:hAnsi="宋体" w:eastAsia="宋体" w:cs="宋体"/>
          <w:color w:val="auto"/>
          <w:szCs w:val="44"/>
          <w:highlight w:val="none"/>
        </w:rPr>
        <w:fldChar w:fldCharType="end"/>
      </w:r>
    </w:p>
    <w:p>
      <w:pPr>
        <w:pStyle w:val="20"/>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_Toc1978353103 </w:instrText>
      </w:r>
      <w:r>
        <w:rPr>
          <w:rFonts w:hint="eastAsia" w:ascii="宋体" w:hAnsi="宋体" w:eastAsia="宋体" w:cs="宋体"/>
          <w:szCs w:val="44"/>
          <w:highlight w:val="none"/>
        </w:rPr>
        <w:fldChar w:fldCharType="separate"/>
      </w:r>
      <w:r>
        <w:rPr>
          <w:rFonts w:hint="eastAsia" w:ascii="宋体" w:hAnsi="宋体" w:eastAsia="宋体" w:cs="宋体"/>
          <w:szCs w:val="44"/>
          <w:highlight w:val="none"/>
        </w:rPr>
        <w:t>第四章</w:t>
      </w:r>
      <w:r>
        <w:rPr>
          <w:rFonts w:hint="eastAsia" w:ascii="宋体" w:hAnsi="宋体" w:eastAsia="宋体" w:cs="宋体"/>
          <w:szCs w:val="44"/>
          <w:highlight w:val="none"/>
          <w:lang w:val="en-US"/>
        </w:rPr>
        <w:t xml:space="preserve"> </w:t>
      </w:r>
      <w:r>
        <w:rPr>
          <w:rFonts w:hint="eastAsia" w:ascii="宋体" w:hAnsi="宋体" w:eastAsia="宋体" w:cs="宋体"/>
          <w:szCs w:val="44"/>
          <w:highlight w:val="none"/>
        </w:rPr>
        <w:t>用户需求</w:t>
      </w:r>
      <w:r>
        <w:tab/>
      </w:r>
      <w:r>
        <w:fldChar w:fldCharType="begin"/>
      </w:r>
      <w:r>
        <w:instrText xml:space="preserve"> PAGEREF _Toc1978353103 \h </w:instrText>
      </w:r>
      <w:r>
        <w:fldChar w:fldCharType="separate"/>
      </w:r>
      <w:r>
        <w:t>32</w:t>
      </w:r>
      <w:r>
        <w:fldChar w:fldCharType="end"/>
      </w:r>
      <w:r>
        <w:rPr>
          <w:rFonts w:hint="eastAsia" w:ascii="宋体" w:hAnsi="宋体" w:eastAsia="宋体" w:cs="宋体"/>
          <w:color w:val="auto"/>
          <w:szCs w:val="44"/>
          <w:highlight w:val="none"/>
        </w:rPr>
        <w:fldChar w:fldCharType="end"/>
      </w:r>
    </w:p>
    <w:p>
      <w:pPr>
        <w:pStyle w:val="20"/>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_Toc151131358 </w:instrText>
      </w:r>
      <w:r>
        <w:rPr>
          <w:rFonts w:hint="eastAsia" w:ascii="宋体" w:hAnsi="宋体" w:eastAsia="宋体" w:cs="宋体"/>
          <w:szCs w:val="44"/>
          <w:highlight w:val="none"/>
        </w:rPr>
        <w:fldChar w:fldCharType="separate"/>
      </w:r>
      <w:r>
        <w:rPr>
          <w:rFonts w:hint="eastAsia" w:ascii="宋体" w:hAnsi="宋体" w:cs="宋体"/>
          <w:highlight w:val="none"/>
        </w:rPr>
        <w:t>第五章  合同条款及格式</w:t>
      </w:r>
      <w:r>
        <w:tab/>
      </w:r>
      <w:r>
        <w:fldChar w:fldCharType="begin"/>
      </w:r>
      <w:r>
        <w:instrText xml:space="preserve"> PAGEREF _Toc151131358 \h </w:instrText>
      </w:r>
      <w:r>
        <w:fldChar w:fldCharType="separate"/>
      </w:r>
      <w:r>
        <w:t>36</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_Toc939913913 </w:instrText>
      </w:r>
      <w:r>
        <w:rPr>
          <w:rFonts w:hint="eastAsia" w:ascii="宋体" w:hAnsi="宋体" w:eastAsia="宋体" w:cs="宋体"/>
          <w:szCs w:val="44"/>
          <w:highlight w:val="none"/>
        </w:rPr>
        <w:fldChar w:fldCharType="separate"/>
      </w:r>
      <w:r>
        <w:rPr>
          <w:rFonts w:hint="eastAsia" w:ascii="宋体" w:hAnsi="宋体" w:cs="宋体"/>
          <w:bCs/>
          <w:highlight w:val="none"/>
        </w:rPr>
        <w:t>格式一、投标文件封面</w:t>
      </w:r>
      <w:r>
        <w:tab/>
      </w:r>
      <w:r>
        <w:fldChar w:fldCharType="begin"/>
      </w:r>
      <w:r>
        <w:instrText xml:space="preserve"> PAGEREF _Toc939913913 \h </w:instrText>
      </w:r>
      <w:r>
        <w:fldChar w:fldCharType="separate"/>
      </w:r>
      <w:r>
        <w:t>55</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_Toc2083350025 </w:instrText>
      </w:r>
      <w:r>
        <w:rPr>
          <w:rFonts w:hint="eastAsia" w:ascii="宋体" w:hAnsi="宋体" w:eastAsia="宋体" w:cs="宋体"/>
          <w:szCs w:val="44"/>
          <w:highlight w:val="none"/>
        </w:rPr>
        <w:fldChar w:fldCharType="separate"/>
      </w:r>
      <w:r>
        <w:rPr>
          <w:rFonts w:hint="eastAsia" w:ascii="宋体" w:hAnsi="宋体" w:cs="宋体"/>
          <w:bCs/>
          <w:highlight w:val="none"/>
        </w:rPr>
        <w:t>格式二、电子开标一览表格式</w:t>
      </w:r>
      <w:r>
        <w:tab/>
      </w:r>
      <w:r>
        <w:fldChar w:fldCharType="begin"/>
      </w:r>
      <w:r>
        <w:instrText xml:space="preserve"> PAGEREF _Toc2083350025 \h </w:instrText>
      </w:r>
      <w:r>
        <w:fldChar w:fldCharType="separate"/>
      </w:r>
      <w:r>
        <w:t>57</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_Toc700487746 </w:instrText>
      </w:r>
      <w:r>
        <w:rPr>
          <w:rFonts w:hint="eastAsia" w:ascii="宋体" w:hAnsi="宋体" w:eastAsia="宋体" w:cs="宋体"/>
          <w:szCs w:val="44"/>
          <w:highlight w:val="none"/>
        </w:rPr>
        <w:fldChar w:fldCharType="separate"/>
      </w:r>
      <w:r>
        <w:rPr>
          <w:rFonts w:hint="eastAsia" w:ascii="宋体" w:hAnsi="宋体" w:cs="宋体"/>
          <w:highlight w:val="none"/>
        </w:rPr>
        <w:t>格式三、分项报价表</w:t>
      </w:r>
      <w:r>
        <w:tab/>
      </w:r>
      <w:r>
        <w:fldChar w:fldCharType="begin"/>
      </w:r>
      <w:r>
        <w:instrText xml:space="preserve"> PAGEREF _Toc700487746 \h </w:instrText>
      </w:r>
      <w:r>
        <w:fldChar w:fldCharType="separate"/>
      </w:r>
      <w:r>
        <w:t>58</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_Toc205544765 </w:instrText>
      </w:r>
      <w:r>
        <w:rPr>
          <w:rFonts w:hint="eastAsia" w:ascii="宋体" w:hAnsi="宋体" w:eastAsia="宋体" w:cs="宋体"/>
          <w:szCs w:val="44"/>
          <w:highlight w:val="none"/>
        </w:rPr>
        <w:fldChar w:fldCharType="separate"/>
      </w:r>
      <w:r>
        <w:rPr>
          <w:rFonts w:hint="eastAsia" w:ascii="宋体" w:hAnsi="宋体" w:cs="宋体"/>
          <w:highlight w:val="none"/>
        </w:rPr>
        <w:t>格式四、投标函</w:t>
      </w:r>
      <w:r>
        <w:tab/>
      </w:r>
      <w:r>
        <w:fldChar w:fldCharType="begin"/>
      </w:r>
      <w:r>
        <w:instrText xml:space="preserve"> PAGEREF _Toc205544765 \h </w:instrText>
      </w:r>
      <w:r>
        <w:fldChar w:fldCharType="separate"/>
      </w:r>
      <w:r>
        <w:t>59</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_Toc1487860872 </w:instrText>
      </w:r>
      <w:r>
        <w:rPr>
          <w:rFonts w:hint="eastAsia" w:ascii="宋体" w:hAnsi="宋体" w:eastAsia="宋体" w:cs="宋体"/>
          <w:szCs w:val="44"/>
          <w:highlight w:val="none"/>
        </w:rPr>
        <w:fldChar w:fldCharType="separate"/>
      </w:r>
      <w:r>
        <w:rPr>
          <w:rFonts w:hint="eastAsia" w:ascii="宋体" w:hAnsi="宋体" w:cs="宋体"/>
          <w:highlight w:val="none"/>
        </w:rPr>
        <w:t>格式五、法定代表人证明书</w:t>
      </w:r>
      <w:r>
        <w:tab/>
      </w:r>
      <w:r>
        <w:fldChar w:fldCharType="begin"/>
      </w:r>
      <w:r>
        <w:instrText xml:space="preserve"> PAGEREF _Toc1487860872 \h </w:instrText>
      </w:r>
      <w:r>
        <w:fldChar w:fldCharType="separate"/>
      </w:r>
      <w:r>
        <w:t>61</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_Toc603937275 </w:instrText>
      </w:r>
      <w:r>
        <w:rPr>
          <w:rFonts w:hint="eastAsia" w:ascii="宋体" w:hAnsi="宋体" w:eastAsia="宋体" w:cs="宋体"/>
          <w:szCs w:val="44"/>
          <w:highlight w:val="none"/>
        </w:rPr>
        <w:fldChar w:fldCharType="separate"/>
      </w:r>
      <w:r>
        <w:rPr>
          <w:rFonts w:hint="eastAsia" w:ascii="宋体" w:hAnsi="宋体" w:cs="宋体"/>
          <w:highlight w:val="none"/>
        </w:rPr>
        <w:t>格式六、授权委托证明书</w:t>
      </w:r>
      <w:r>
        <w:tab/>
      </w:r>
      <w:r>
        <w:fldChar w:fldCharType="begin"/>
      </w:r>
      <w:r>
        <w:instrText xml:space="preserve"> PAGEREF _Toc603937275 \h </w:instrText>
      </w:r>
      <w:r>
        <w:fldChar w:fldCharType="separate"/>
      </w:r>
      <w:r>
        <w:t>62</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_Toc2073987841 </w:instrText>
      </w:r>
      <w:r>
        <w:rPr>
          <w:rFonts w:hint="eastAsia" w:ascii="宋体" w:hAnsi="宋体" w:eastAsia="宋体" w:cs="宋体"/>
          <w:szCs w:val="44"/>
          <w:highlight w:val="none"/>
        </w:rPr>
        <w:fldChar w:fldCharType="separate"/>
      </w:r>
      <w:r>
        <w:rPr>
          <w:rFonts w:hint="eastAsia" w:ascii="宋体" w:hAnsi="宋体" w:cs="宋体"/>
          <w:highlight w:val="none"/>
        </w:rPr>
        <w:t>格式七、投标保证金</w:t>
      </w:r>
      <w:r>
        <w:tab/>
      </w:r>
      <w:r>
        <w:fldChar w:fldCharType="begin"/>
      </w:r>
      <w:r>
        <w:instrText xml:space="preserve"> PAGEREF _Toc2073987841 \h </w:instrText>
      </w:r>
      <w:r>
        <w:fldChar w:fldCharType="separate"/>
      </w:r>
      <w:r>
        <w:t>63</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_Toc21636944 </w:instrText>
      </w:r>
      <w:r>
        <w:rPr>
          <w:rFonts w:hint="eastAsia" w:ascii="宋体" w:hAnsi="宋体" w:eastAsia="宋体" w:cs="宋体"/>
          <w:szCs w:val="44"/>
          <w:highlight w:val="none"/>
        </w:rPr>
        <w:fldChar w:fldCharType="separate"/>
      </w:r>
      <w:r>
        <w:rPr>
          <w:rFonts w:hint="eastAsia" w:ascii="宋体" w:hAnsi="宋体" w:cs="宋体"/>
          <w:highlight w:val="none"/>
        </w:rPr>
        <w:t>格式八、符合性审查自查表</w:t>
      </w:r>
      <w:r>
        <w:tab/>
      </w:r>
      <w:r>
        <w:fldChar w:fldCharType="begin"/>
      </w:r>
      <w:r>
        <w:instrText xml:space="preserve"> PAGEREF _Toc21636944 \h </w:instrText>
      </w:r>
      <w:r>
        <w:fldChar w:fldCharType="separate"/>
      </w:r>
      <w:r>
        <w:t>64</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_Toc2138650167 </w:instrText>
      </w:r>
      <w:r>
        <w:rPr>
          <w:rFonts w:hint="eastAsia" w:ascii="宋体" w:hAnsi="宋体" w:eastAsia="宋体" w:cs="宋体"/>
          <w:szCs w:val="44"/>
          <w:highlight w:val="none"/>
        </w:rPr>
        <w:fldChar w:fldCharType="separate"/>
      </w:r>
      <w:r>
        <w:rPr>
          <w:rFonts w:hint="eastAsia" w:ascii="宋体" w:hAnsi="宋体" w:cs="宋体"/>
          <w:highlight w:val="none"/>
        </w:rPr>
        <w:t>格式九、商务评分索引表（对应商务评审表）</w:t>
      </w:r>
      <w:r>
        <w:tab/>
      </w:r>
      <w:r>
        <w:fldChar w:fldCharType="begin"/>
      </w:r>
      <w:r>
        <w:instrText xml:space="preserve"> PAGEREF _Toc2138650167 \h </w:instrText>
      </w:r>
      <w:r>
        <w:fldChar w:fldCharType="separate"/>
      </w:r>
      <w:r>
        <w:t>66</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_Toc1544771964 </w:instrText>
      </w:r>
      <w:r>
        <w:rPr>
          <w:rFonts w:hint="eastAsia" w:ascii="宋体" w:hAnsi="宋体" w:eastAsia="宋体" w:cs="宋体"/>
          <w:szCs w:val="44"/>
          <w:highlight w:val="none"/>
        </w:rPr>
        <w:fldChar w:fldCharType="separate"/>
      </w:r>
      <w:r>
        <w:rPr>
          <w:rFonts w:hint="eastAsia" w:ascii="宋体" w:hAnsi="宋体" w:cs="宋体"/>
          <w:highlight w:val="none"/>
        </w:rPr>
        <w:t>格式十、技术评分索引表（对应技术评审表）</w:t>
      </w:r>
      <w:r>
        <w:tab/>
      </w:r>
      <w:r>
        <w:fldChar w:fldCharType="begin"/>
      </w:r>
      <w:r>
        <w:instrText xml:space="preserve"> PAGEREF _Toc1544771964 \h </w:instrText>
      </w:r>
      <w:r>
        <w:fldChar w:fldCharType="separate"/>
      </w:r>
      <w:r>
        <w:t>68</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_Toc1579226401 </w:instrText>
      </w:r>
      <w:r>
        <w:rPr>
          <w:rFonts w:hint="eastAsia" w:ascii="宋体" w:hAnsi="宋体" w:eastAsia="宋体" w:cs="宋体"/>
          <w:szCs w:val="44"/>
          <w:highlight w:val="none"/>
        </w:rPr>
        <w:fldChar w:fldCharType="separate"/>
      </w:r>
      <w:r>
        <w:rPr>
          <w:rFonts w:hint="eastAsia" w:ascii="宋体" w:hAnsi="宋体" w:cs="宋体"/>
          <w:highlight w:val="none"/>
        </w:rPr>
        <w:t>格式十一、用户需求响应表</w:t>
      </w:r>
      <w:r>
        <w:tab/>
      </w:r>
      <w:r>
        <w:fldChar w:fldCharType="begin"/>
      </w:r>
      <w:r>
        <w:instrText xml:space="preserve"> PAGEREF _Toc1579226401 \h </w:instrText>
      </w:r>
      <w:r>
        <w:fldChar w:fldCharType="separate"/>
      </w:r>
      <w:r>
        <w:t>69</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_Toc649177646 </w:instrText>
      </w:r>
      <w:r>
        <w:rPr>
          <w:rFonts w:hint="eastAsia" w:ascii="宋体" w:hAnsi="宋体" w:eastAsia="宋体" w:cs="宋体"/>
          <w:szCs w:val="44"/>
          <w:highlight w:val="none"/>
        </w:rPr>
        <w:fldChar w:fldCharType="separate"/>
      </w:r>
      <w:r>
        <w:rPr>
          <w:rFonts w:hint="eastAsia" w:ascii="宋体" w:hAnsi="宋体" w:cs="宋体"/>
          <w:highlight w:val="none"/>
        </w:rPr>
        <w:t>格式十二、合同响应表</w:t>
      </w:r>
      <w:r>
        <w:tab/>
      </w:r>
      <w:r>
        <w:fldChar w:fldCharType="begin"/>
      </w:r>
      <w:r>
        <w:instrText xml:space="preserve"> PAGEREF _Toc649177646 \h </w:instrText>
      </w:r>
      <w:r>
        <w:fldChar w:fldCharType="separate"/>
      </w:r>
      <w:r>
        <w:t>70</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_Toc744827452 </w:instrText>
      </w:r>
      <w:r>
        <w:rPr>
          <w:rFonts w:hint="eastAsia" w:ascii="宋体" w:hAnsi="宋体" w:eastAsia="宋体" w:cs="宋体"/>
          <w:szCs w:val="44"/>
          <w:highlight w:val="none"/>
        </w:rPr>
        <w:fldChar w:fldCharType="separate"/>
      </w:r>
      <w:r>
        <w:rPr>
          <w:rFonts w:hint="eastAsia" w:ascii="宋体" w:hAnsi="宋体" w:cs="宋体"/>
          <w:highlight w:val="none"/>
        </w:rPr>
        <w:t>格式十三、投标人异议/投诉承诺及程序指引</w:t>
      </w:r>
      <w:r>
        <w:tab/>
      </w:r>
      <w:r>
        <w:fldChar w:fldCharType="begin"/>
      </w:r>
      <w:r>
        <w:instrText xml:space="preserve"> PAGEREF _Toc744827452 \h </w:instrText>
      </w:r>
      <w:r>
        <w:fldChar w:fldCharType="separate"/>
      </w:r>
      <w:r>
        <w:t>71</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_Toc1259940607 </w:instrText>
      </w:r>
      <w:r>
        <w:rPr>
          <w:rFonts w:hint="eastAsia" w:ascii="宋体" w:hAnsi="宋体" w:eastAsia="宋体" w:cs="宋体"/>
          <w:szCs w:val="44"/>
          <w:highlight w:val="none"/>
        </w:rPr>
        <w:fldChar w:fldCharType="separate"/>
      </w:r>
      <w:r>
        <w:rPr>
          <w:rFonts w:hint="eastAsia" w:ascii="宋体" w:hAnsi="宋体" w:cs="宋体"/>
          <w:highlight w:val="none"/>
        </w:rPr>
        <w:t>格式十四、限制交易供应商名单制度告知书</w:t>
      </w:r>
      <w:r>
        <w:tab/>
      </w:r>
      <w:r>
        <w:fldChar w:fldCharType="begin"/>
      </w:r>
      <w:r>
        <w:instrText xml:space="preserve"> PAGEREF _Toc1259940607 \h </w:instrText>
      </w:r>
      <w:r>
        <w:fldChar w:fldCharType="separate"/>
      </w:r>
      <w:r>
        <w:t>75</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_Toc1875987747 </w:instrText>
      </w:r>
      <w:r>
        <w:rPr>
          <w:rFonts w:hint="eastAsia" w:ascii="宋体" w:hAnsi="宋体" w:eastAsia="宋体" w:cs="宋体"/>
          <w:szCs w:val="44"/>
          <w:highlight w:val="none"/>
        </w:rPr>
        <w:fldChar w:fldCharType="separate"/>
      </w:r>
      <w:r>
        <w:rPr>
          <w:rFonts w:hint="eastAsia" w:ascii="宋体" w:hAnsi="宋体" w:cs="宋体"/>
          <w:highlight w:val="none"/>
        </w:rPr>
        <w:t>格式十五、投标人廉洁承诺书</w:t>
      </w:r>
      <w:r>
        <w:tab/>
      </w:r>
      <w:r>
        <w:fldChar w:fldCharType="begin"/>
      </w:r>
      <w:r>
        <w:instrText xml:space="preserve"> PAGEREF _Toc1875987747 \h </w:instrText>
      </w:r>
      <w:r>
        <w:fldChar w:fldCharType="separate"/>
      </w:r>
      <w:r>
        <w:t>78</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_Toc473434143 </w:instrText>
      </w:r>
      <w:r>
        <w:rPr>
          <w:rFonts w:hint="eastAsia" w:ascii="宋体" w:hAnsi="宋体" w:eastAsia="宋体" w:cs="宋体"/>
          <w:szCs w:val="44"/>
          <w:highlight w:val="none"/>
        </w:rPr>
        <w:fldChar w:fldCharType="separate"/>
      </w:r>
      <w:r>
        <w:rPr>
          <w:rFonts w:hint="eastAsia" w:ascii="宋体" w:hAnsi="宋体" w:cs="宋体"/>
          <w:highlight w:val="none"/>
        </w:rPr>
        <w:t>格式十六、采购项目样品寄存承诺函</w:t>
      </w:r>
      <w:r>
        <w:tab/>
      </w:r>
      <w:r>
        <w:fldChar w:fldCharType="begin"/>
      </w:r>
      <w:r>
        <w:instrText xml:space="preserve"> PAGEREF _Toc473434143 \h </w:instrText>
      </w:r>
      <w:r>
        <w:fldChar w:fldCharType="separate"/>
      </w:r>
      <w:r>
        <w:t>79</w:t>
      </w:r>
      <w:r>
        <w:fldChar w:fldCharType="end"/>
      </w:r>
      <w:r>
        <w:rPr>
          <w:rFonts w:hint="eastAsia" w:ascii="宋体" w:hAnsi="宋体" w:eastAsia="宋体" w:cs="宋体"/>
          <w:color w:val="auto"/>
          <w:szCs w:val="44"/>
          <w:highlight w:val="none"/>
        </w:rPr>
        <w:fldChar w:fldCharType="end"/>
      </w:r>
    </w:p>
    <w:p>
      <w:pPr>
        <w:pStyle w:val="23"/>
        <w:tabs>
          <w:tab w:val="right" w:leader="dot" w:pos="9638"/>
        </w:tabs>
      </w:pPr>
      <w:r>
        <w:rPr>
          <w:rFonts w:hint="eastAsia" w:ascii="宋体" w:hAnsi="宋体" w:eastAsia="宋体" w:cs="宋体"/>
          <w:color w:val="auto"/>
          <w:szCs w:val="44"/>
          <w:highlight w:val="none"/>
        </w:rPr>
        <w:fldChar w:fldCharType="begin"/>
      </w:r>
      <w:r>
        <w:rPr>
          <w:rFonts w:hint="eastAsia" w:ascii="宋体" w:hAnsi="宋体" w:eastAsia="宋体" w:cs="宋体"/>
          <w:szCs w:val="44"/>
          <w:highlight w:val="none"/>
        </w:rPr>
        <w:instrText xml:space="preserve"> HYPERLINK \l _Toc424920111 </w:instrText>
      </w:r>
      <w:r>
        <w:rPr>
          <w:rFonts w:hint="eastAsia" w:ascii="宋体" w:hAnsi="宋体" w:eastAsia="宋体" w:cs="宋体"/>
          <w:szCs w:val="44"/>
          <w:highlight w:val="none"/>
        </w:rPr>
        <w:fldChar w:fldCharType="separate"/>
      </w:r>
      <w:r>
        <w:rPr>
          <w:rFonts w:hint="eastAsia" w:ascii="宋体" w:hAnsi="宋体" w:cs="宋体"/>
          <w:bCs/>
          <w:highlight w:val="none"/>
        </w:rPr>
        <w:t>格式十七、采购项目样品清单</w:t>
      </w:r>
      <w:r>
        <w:tab/>
      </w:r>
      <w:r>
        <w:fldChar w:fldCharType="begin"/>
      </w:r>
      <w:r>
        <w:instrText xml:space="preserve"> PAGEREF _Toc424920111 \h </w:instrText>
      </w:r>
      <w:r>
        <w:fldChar w:fldCharType="separate"/>
      </w:r>
      <w:r>
        <w:t>80</w:t>
      </w:r>
      <w:r>
        <w:fldChar w:fldCharType="end"/>
      </w:r>
      <w:r>
        <w:rPr>
          <w:rFonts w:hint="eastAsia" w:ascii="宋体" w:hAnsi="宋体" w:eastAsia="宋体" w:cs="宋体"/>
          <w:color w:val="auto"/>
          <w:szCs w:val="44"/>
          <w:highlight w:val="none"/>
        </w:rPr>
        <w:fldChar w:fldCharType="end"/>
      </w:r>
    </w:p>
    <w:p>
      <w:pPr>
        <w:rPr>
          <w:rFonts w:hint="eastAsia"/>
          <w:color w:val="auto"/>
          <w:highlight w:val="none"/>
          <w:lang w:val="zh-CN"/>
        </w:rPr>
      </w:pPr>
      <w:r>
        <w:rPr>
          <w:rFonts w:hint="eastAsia" w:ascii="宋体" w:hAnsi="宋体" w:eastAsia="宋体" w:cs="宋体"/>
          <w:color w:val="auto"/>
          <w:szCs w:val="44"/>
          <w:highlight w:val="none"/>
        </w:rPr>
        <w:fldChar w:fldCharType="end"/>
      </w:r>
    </w:p>
    <w:bookmarkEnd w:id="2"/>
    <w:bookmarkEnd w:id="3"/>
    <w:bookmarkEnd w:id="4"/>
    <w:bookmarkEnd w:id="5"/>
    <w:bookmarkEnd w:id="6"/>
    <w:bookmarkEnd w:id="7"/>
    <w:bookmarkEnd w:id="8"/>
    <w:bookmarkEnd w:id="9"/>
    <w:bookmarkEnd w:id="10"/>
    <w:bookmarkEnd w:id="11"/>
    <w:p>
      <w:pPr>
        <w:pageBreakBefore/>
        <w:spacing w:before="120" w:beforeLines="50" w:after="120" w:afterLines="50" w:line="360" w:lineRule="auto"/>
        <w:jc w:val="center"/>
        <w:outlineLvl w:val="0"/>
        <w:rPr>
          <w:rFonts w:hint="eastAsia" w:ascii="宋体" w:hAnsi="宋体" w:cs="宋体"/>
          <w:b/>
          <w:bCs/>
          <w:color w:val="auto"/>
          <w:sz w:val="44"/>
          <w:szCs w:val="44"/>
          <w:highlight w:val="none"/>
        </w:rPr>
      </w:pPr>
      <w:bookmarkStart w:id="12" w:name="_Toc28006"/>
      <w:bookmarkStart w:id="13" w:name="_Toc34645987"/>
      <w:bookmarkStart w:id="14" w:name="_Toc971525183"/>
      <w:bookmarkStart w:id="15" w:name="_Toc12286"/>
      <w:bookmarkStart w:id="16" w:name="_Toc1960"/>
      <w:bookmarkStart w:id="17" w:name="_Toc996322804"/>
      <w:bookmarkStart w:id="18" w:name="_Toc1727827238"/>
      <w:bookmarkStart w:id="19" w:name="_Toc504657600"/>
      <w:r>
        <w:rPr>
          <w:rFonts w:hint="eastAsia" w:ascii="宋体" w:hAnsi="宋体" w:cs="宋体"/>
          <w:b/>
          <w:bCs/>
          <w:color w:val="auto"/>
          <w:sz w:val="44"/>
          <w:szCs w:val="44"/>
          <w:highlight w:val="none"/>
        </w:rPr>
        <w:t>温馨提示</w:t>
      </w:r>
      <w:bookmarkEnd w:id="12"/>
      <w:bookmarkEnd w:id="13"/>
      <w:bookmarkEnd w:id="14"/>
      <w:bookmarkEnd w:id="15"/>
      <w:bookmarkEnd w:id="16"/>
      <w:bookmarkEnd w:id="17"/>
      <w:bookmarkEnd w:id="18"/>
    </w:p>
    <w:p>
      <w:pPr>
        <w:spacing w:line="360" w:lineRule="auto"/>
        <w:ind w:firstLine="472" w:firstLineChars="225"/>
        <w:rPr>
          <w:rFonts w:hint="eastAsia" w:ascii="宋体" w:hAnsi="宋体" w:cs="宋体"/>
          <w:color w:val="auto"/>
          <w:szCs w:val="21"/>
          <w:highlight w:val="none"/>
        </w:rPr>
      </w:pPr>
      <w:r>
        <w:rPr>
          <w:rFonts w:hint="eastAsia" w:ascii="宋体" w:hAnsi="宋体" w:cs="宋体"/>
          <w:color w:val="auto"/>
          <w:szCs w:val="21"/>
          <w:highlight w:val="none"/>
        </w:rPr>
        <w:t>本项目为全流程线上电子化招标投标。电子化流程与传统的线下招投标方式相似而不同，为了保证您能成功投标，请务必仔细阅读本段内容，并按以下的要求及时做好每一环节工作。</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1、整体流程图</w:t>
      </w:r>
    </w:p>
    <w:p>
      <w:pPr>
        <w:spacing w:line="360" w:lineRule="auto"/>
        <w:jc w:val="center"/>
        <w:rPr>
          <w:rFonts w:hint="eastAsia" w:ascii="宋体" w:hAnsi="宋体" w:cs="宋体"/>
          <w:color w:val="auto"/>
          <w:highlight w:val="none"/>
        </w:rPr>
      </w:pPr>
      <w:r>
        <w:rPr>
          <w:rFonts w:hint="eastAsia" w:ascii="宋体" w:hAnsi="宋体" w:cs="宋体"/>
          <w:color w:val="auto"/>
          <w:highlight w:val="none"/>
        </w:rPr>
        <w:drawing>
          <wp:inline distT="0" distB="0" distL="114300" distR="114300">
            <wp:extent cx="5868670" cy="2243455"/>
            <wp:effectExtent l="0" t="0" r="17780" b="4445"/>
            <wp:docPr id="12" name="图片 4" descr="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流程图"/>
                    <pic:cNvPicPr>
                      <a:picLocks noChangeAspect="1"/>
                    </pic:cNvPicPr>
                  </pic:nvPicPr>
                  <pic:blipFill>
                    <a:blip r:embed="rId8"/>
                    <a:stretch>
                      <a:fillRect/>
                    </a:stretch>
                  </pic:blipFill>
                  <pic:spPr>
                    <a:xfrm>
                      <a:off x="0" y="0"/>
                      <a:ext cx="5868670" cy="2243455"/>
                    </a:xfrm>
                    <a:prstGeom prst="rect">
                      <a:avLst/>
                    </a:prstGeom>
                    <a:noFill/>
                    <a:ln>
                      <a:noFill/>
                    </a:ln>
                  </pic:spPr>
                </pic:pic>
              </a:graphicData>
            </a:graphic>
          </wp:inline>
        </w:drawing>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2、操作手册及教学视频</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采购平台提供了操作指引手册、下载软件及教学视频。请进入</w:t>
      </w:r>
      <w:r>
        <w:rPr>
          <w:rFonts w:ascii="宋体" w:hAnsi="宋体" w:cs="宋体"/>
          <w:color w:val="auto"/>
          <w:szCs w:val="21"/>
          <w:highlight w:val="none"/>
        </w:rPr>
        <w:fldChar w:fldCharType="begin"/>
      </w:r>
      <w:r>
        <w:rPr>
          <w:rFonts w:ascii="宋体" w:hAnsi="宋体" w:cs="宋体"/>
          <w:color w:val="auto"/>
          <w:szCs w:val="21"/>
          <w:highlight w:val="none"/>
        </w:rPr>
        <w:instrText xml:space="preserve"> HYPERLINK "http://</w:instrText>
      </w:r>
      <w:r>
        <w:rPr>
          <w:rFonts w:hint="eastAsia" w:ascii="宋体" w:hAnsi="宋体" w:cs="宋体"/>
          <w:color w:val="auto"/>
          <w:szCs w:val="21"/>
          <w:highlight w:val="none"/>
        </w:rPr>
        <w:instrText xml:space="preserve">www.csbidding.com</w:instrText>
      </w:r>
      <w:r>
        <w:rPr>
          <w:rFonts w:ascii="宋体" w:hAnsi="宋体" w:cs="宋体"/>
          <w:color w:val="auto"/>
          <w:szCs w:val="21"/>
          <w:highlight w:val="none"/>
        </w:rPr>
        <w:instrText xml:space="preserve">" </w:instrText>
      </w:r>
      <w:r>
        <w:rPr>
          <w:rFonts w:ascii="宋体" w:hAnsi="宋体" w:cs="宋体"/>
          <w:color w:val="auto"/>
          <w:szCs w:val="21"/>
          <w:highlight w:val="none"/>
        </w:rPr>
        <w:fldChar w:fldCharType="separate"/>
      </w:r>
      <w:r>
        <w:rPr>
          <w:rStyle w:val="31"/>
          <w:rFonts w:hint="eastAsia" w:ascii="宋体" w:hAnsi="宋体" w:cs="宋体"/>
          <w:color w:val="auto"/>
          <w:szCs w:val="21"/>
          <w:highlight w:val="none"/>
        </w:rPr>
        <w:t>www.csbidding.com</w:t>
      </w:r>
      <w:r>
        <w:rPr>
          <w:rFonts w:ascii="宋体" w:hAnsi="宋体" w:cs="宋体"/>
          <w:color w:val="auto"/>
          <w:szCs w:val="21"/>
          <w:highlight w:val="none"/>
        </w:rPr>
        <w:fldChar w:fldCharType="end"/>
      </w:r>
      <w:r>
        <w:rPr>
          <w:rFonts w:hint="eastAsia" w:ascii="宋体" w:hAnsi="宋体" w:cs="宋体"/>
          <w:color w:val="auto"/>
          <w:szCs w:val="21"/>
          <w:highlight w:val="none"/>
        </w:rPr>
        <w:t>的“供应商登录”平台系统后，在右上方“常用文件”栏目内可下载《操作手册》、CA数字证书办理指南、《投标人常见问题及处理办法》、教学视频以及需要安装的软件。</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3、电脑要求</w:t>
      </w:r>
    </w:p>
    <w:p>
      <w:pPr>
        <w:pStyle w:val="20"/>
        <w:spacing w:line="360" w:lineRule="auto"/>
        <w:rPr>
          <w:rFonts w:hint="eastAsia"/>
          <w:color w:val="auto"/>
          <w:highlight w:val="none"/>
        </w:rPr>
      </w:pPr>
      <w:r>
        <w:rPr>
          <w:rFonts w:hint="eastAsia" w:ascii="宋体" w:hAnsi="宋体" w:cs="宋体"/>
          <w:color w:val="auto"/>
          <w:szCs w:val="21"/>
          <w:highlight w:val="none"/>
        </w:rPr>
        <w:t>　　请进入www.csbidding.com首页，在网站上方“操作指南”栏目内可下载《供应商招标项目操作手册》，供应商按要求进行平台系统的操作。</w:t>
      </w:r>
    </w:p>
    <w:p>
      <w:pPr>
        <w:spacing w:line="360" w:lineRule="auto"/>
        <w:ind w:right="-8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4、技术支持</w:t>
      </w:r>
    </w:p>
    <w:p>
      <w:pPr>
        <w:spacing w:line="360" w:lineRule="auto"/>
        <w:ind w:right="-82" w:firstLine="420" w:firstLineChars="200"/>
        <w:rPr>
          <w:rFonts w:hint="eastAsia" w:ascii="宋体" w:hAnsi="宋体" w:cs="宋体"/>
          <w:color w:val="auto"/>
          <w:highlight w:val="none"/>
        </w:rPr>
      </w:pPr>
      <w:r>
        <w:rPr>
          <w:rFonts w:hint="eastAsia" w:ascii="宋体" w:hAnsi="宋体" w:cs="宋体"/>
          <w:color w:val="auto"/>
          <w:highlight w:val="none"/>
        </w:rPr>
        <w:t>本项目为南航采购平台电子化招投标系统试运行项目，供应商在操作过程中如有疑问，请按下列联系方式咨询：工作时间：8:30-12:00，14:00-17:30；</w:t>
      </w:r>
    </w:p>
    <w:p>
      <w:pPr>
        <w:spacing w:line="360" w:lineRule="auto"/>
        <w:ind w:right="-82" w:firstLine="421" w:firstLineChars="200"/>
        <w:rPr>
          <w:rFonts w:hint="eastAsia" w:ascii="宋体" w:hAnsi="宋体" w:cs="宋体"/>
          <w:b/>
          <w:bCs/>
          <w:color w:val="auto"/>
          <w:highlight w:val="none"/>
        </w:rPr>
      </w:pPr>
      <w:r>
        <w:rPr>
          <w:rFonts w:hint="eastAsia" w:ascii="宋体" w:hAnsi="宋体" w:cs="宋体"/>
          <w:b/>
          <w:bCs/>
          <w:color w:val="auto"/>
          <w:highlight w:val="none"/>
        </w:rPr>
        <w:t>客服电话：</w:t>
      </w:r>
      <w:r>
        <w:rPr>
          <w:rFonts w:hint="eastAsia" w:ascii="宋体" w:hAnsi="宋体" w:cs="宋体"/>
          <w:color w:val="auto"/>
          <w:szCs w:val="21"/>
          <w:highlight w:val="none"/>
        </w:rPr>
        <w:t xml:space="preserve">020-86138881 </w:t>
      </w:r>
    </w:p>
    <w:p>
      <w:pPr>
        <w:spacing w:line="360" w:lineRule="auto"/>
        <w:rPr>
          <w:rFonts w:hint="eastAsia" w:ascii="宋体" w:hAnsi="宋体" w:cs="宋体"/>
          <w:color w:val="auto"/>
          <w:highlight w:val="none"/>
        </w:rPr>
      </w:pPr>
    </w:p>
    <w:p>
      <w:pPr>
        <w:spacing w:line="360" w:lineRule="auto"/>
        <w:rPr>
          <w:rFonts w:hint="eastAsia" w:ascii="宋体" w:hAnsi="宋体" w:cs="宋体"/>
          <w:b/>
          <w:color w:val="auto"/>
          <w:sz w:val="44"/>
          <w:highlight w:val="none"/>
        </w:rPr>
      </w:pPr>
    </w:p>
    <w:p>
      <w:pPr>
        <w:pStyle w:val="3"/>
        <w:pageBreakBefore/>
        <w:spacing w:before="120" w:beforeLines="50" w:after="120" w:afterLines="50" w:line="360" w:lineRule="auto"/>
        <w:jc w:val="center"/>
        <w:rPr>
          <w:rFonts w:hint="eastAsia" w:ascii="宋体" w:hAnsi="宋体" w:cs="宋体"/>
          <w:color w:val="auto"/>
          <w:highlight w:val="none"/>
        </w:rPr>
      </w:pPr>
      <w:bookmarkStart w:id="20" w:name="_Toc64662326"/>
      <w:bookmarkStart w:id="21" w:name="_Toc22257"/>
      <w:bookmarkStart w:id="22" w:name="_Toc34645988"/>
      <w:bookmarkStart w:id="23" w:name="_Toc13903"/>
      <w:bookmarkStart w:id="24" w:name="_Toc8519"/>
      <w:bookmarkStart w:id="25" w:name="_Toc8513"/>
      <w:bookmarkStart w:id="26" w:name="_Toc163609603"/>
      <w:bookmarkStart w:id="27" w:name="_Toc445712758"/>
      <w:bookmarkStart w:id="28" w:name="_Toc25462"/>
      <w:bookmarkStart w:id="29" w:name="_Toc10604"/>
      <w:bookmarkStart w:id="30" w:name="_Toc30477"/>
      <w:bookmarkStart w:id="31" w:name="_Toc19060"/>
      <w:bookmarkStart w:id="32" w:name="_Toc8785"/>
      <w:r>
        <w:rPr>
          <w:rFonts w:hint="eastAsia" w:ascii="宋体" w:hAnsi="宋体" w:cs="宋体"/>
          <w:color w:val="auto"/>
          <w:highlight w:val="none"/>
        </w:rPr>
        <w:t>第一章  招标公告</w:t>
      </w:r>
      <w:bookmarkEnd w:id="19"/>
      <w:bookmarkEnd w:id="20"/>
      <w:bookmarkEnd w:id="21"/>
      <w:bookmarkEnd w:id="22"/>
      <w:bookmarkEnd w:id="23"/>
      <w:bookmarkEnd w:id="24"/>
      <w:bookmarkEnd w:id="25"/>
      <w:bookmarkEnd w:id="26"/>
      <w:bookmarkEnd w:id="27"/>
      <w:bookmarkEnd w:id="28"/>
      <w:bookmarkEnd w:id="29"/>
      <w:bookmarkEnd w:id="30"/>
      <w:bookmarkEnd w:id="31"/>
      <w:bookmarkEnd w:id="32"/>
    </w:p>
    <w:p>
      <w:pPr>
        <w:spacing w:line="360" w:lineRule="auto"/>
        <w:ind w:firstLine="630" w:firstLineChars="300"/>
        <w:rPr>
          <w:rFonts w:hint="eastAsia" w:ascii="宋体" w:hAnsi="宋体" w:cs="宋体"/>
          <w:color w:val="auto"/>
          <w:highlight w:val="none"/>
        </w:rPr>
      </w:pPr>
      <w:r>
        <w:rPr>
          <w:rFonts w:hint="eastAsia" w:ascii="宋体" w:hAnsi="宋体" w:cs="宋体"/>
          <w:color w:val="auto"/>
          <w:highlight w:val="none"/>
        </w:rPr>
        <w:t>中国南航集团进出口贸易有限公司（以下简称“招标代理机构”）受</w:t>
      </w:r>
      <w:r>
        <w:rPr>
          <w:rFonts w:hint="eastAsia" w:ascii="宋体" w:hAnsi="宋体" w:eastAsia="宋体" w:cs="宋体"/>
          <w:color w:val="auto"/>
          <w:sz w:val="21"/>
          <w:szCs w:val="21"/>
          <w:highlight w:val="none"/>
          <w:lang w:val="en-US" w:eastAsia="zh-CN"/>
        </w:rPr>
        <w:t>中国南方航空股份有限公司</w:t>
      </w:r>
      <w:r>
        <w:rPr>
          <w:rFonts w:hint="eastAsia" w:ascii="宋体" w:hAnsi="宋体" w:eastAsia="宋体" w:cs="宋体"/>
          <w:color w:val="auto"/>
          <w:highlight w:val="none"/>
          <w:lang w:val="en-US" w:eastAsia="zh-CN"/>
        </w:rPr>
        <w:t>综合保障部</w:t>
      </w:r>
      <w:r>
        <w:rPr>
          <w:rFonts w:hint="eastAsia" w:ascii="宋体" w:hAnsi="宋体" w:cs="宋体"/>
          <w:color w:val="auto"/>
          <w:highlight w:val="none"/>
        </w:rPr>
        <w:t>（以下简称“招标人”）的委托，现对</w:t>
      </w:r>
      <w:r>
        <w:rPr>
          <w:rFonts w:hint="eastAsia" w:ascii="宋体" w:hAnsi="宋体" w:eastAsia="宋体" w:cs="宋体"/>
          <w:color w:val="auto"/>
          <w:highlight w:val="none"/>
          <w:u w:val="single"/>
          <w:lang w:eastAsia="zh-CN"/>
        </w:rPr>
        <w:t>南航</w:t>
      </w:r>
      <w:r>
        <w:rPr>
          <w:rFonts w:hint="eastAsia" w:ascii="宋体" w:hAnsi="宋体" w:cs="宋体"/>
          <w:color w:val="auto"/>
          <w:highlight w:val="none"/>
          <w:u w:val="single"/>
          <w:lang w:eastAsia="zh-CN"/>
        </w:rPr>
        <w:t>综合保障部</w:t>
      </w:r>
      <w:r>
        <w:rPr>
          <w:rFonts w:hint="eastAsia" w:ascii="宋体" w:hAnsi="宋体" w:cs="宋体"/>
          <w:color w:val="auto"/>
          <w:highlight w:val="none"/>
          <w:u w:val="single"/>
          <w:lang w:val="en-US" w:eastAsia="zh-CN"/>
        </w:rPr>
        <w:t>【】</w:t>
      </w:r>
      <w:r>
        <w:rPr>
          <w:rFonts w:hint="eastAsia" w:ascii="宋体" w:hAnsi="宋体" w:eastAsia="宋体" w:cs="宋体"/>
          <w:color w:val="auto"/>
          <w:highlight w:val="none"/>
          <w:u w:val="single"/>
          <w:lang w:val="en-US" w:eastAsia="zh-CN"/>
        </w:rPr>
        <w:t>年度丝袜系列采购</w:t>
      </w:r>
      <w:r>
        <w:rPr>
          <w:rFonts w:hint="eastAsia" w:ascii="宋体" w:hAnsi="宋体" w:eastAsia="宋体" w:cs="宋体"/>
          <w:color w:val="auto"/>
          <w:highlight w:val="none"/>
          <w:u w:val="single"/>
        </w:rPr>
        <w:t>项目</w:t>
      </w:r>
      <w:r>
        <w:rPr>
          <w:rFonts w:hint="eastAsia" w:ascii="宋体" w:hAnsi="宋体" w:cs="宋体"/>
          <w:color w:val="auto"/>
          <w:highlight w:val="none"/>
        </w:rPr>
        <w:t>进行公开招标。</w:t>
      </w:r>
    </w:p>
    <w:p>
      <w:pPr>
        <w:pStyle w:val="4"/>
        <w:spacing w:line="360" w:lineRule="auto"/>
        <w:ind w:left="0"/>
        <w:rPr>
          <w:rFonts w:hint="eastAsia" w:ascii="宋体" w:hAnsi="宋体" w:cs="宋体"/>
          <w:b/>
          <w:color w:val="auto"/>
          <w:highlight w:val="none"/>
        </w:rPr>
      </w:pPr>
      <w:bookmarkStart w:id="33" w:name="_Toc1691315559"/>
      <w:bookmarkStart w:id="34" w:name="_Toc17503"/>
      <w:bookmarkStart w:id="35" w:name="_Toc3211"/>
      <w:bookmarkStart w:id="36" w:name="_Toc20290"/>
      <w:bookmarkStart w:id="37" w:name="_Toc22789"/>
      <w:bookmarkStart w:id="38" w:name="_Toc1523135020"/>
      <w:bookmarkStart w:id="39" w:name="_Toc13081"/>
      <w:bookmarkStart w:id="40" w:name="_Toc34645989"/>
      <w:bookmarkStart w:id="41" w:name="_Toc5418"/>
      <w:bookmarkStart w:id="42" w:name="_Toc11436"/>
      <w:bookmarkStart w:id="43" w:name="_Toc550991128"/>
      <w:bookmarkStart w:id="44" w:name="_Toc13737"/>
      <w:bookmarkStart w:id="45" w:name="_Toc504657601"/>
      <w:bookmarkStart w:id="46" w:name="_Toc25672"/>
      <w:r>
        <w:rPr>
          <w:rFonts w:hint="eastAsia" w:ascii="宋体" w:hAnsi="宋体" w:cs="宋体"/>
          <w:b/>
          <w:color w:val="auto"/>
          <w:highlight w:val="none"/>
        </w:rPr>
        <w:t>1、招标项目简介</w:t>
      </w:r>
      <w:bookmarkEnd w:id="33"/>
      <w:bookmarkEnd w:id="34"/>
      <w:bookmarkEnd w:id="35"/>
      <w:bookmarkEnd w:id="36"/>
      <w:bookmarkEnd w:id="37"/>
      <w:bookmarkEnd w:id="38"/>
      <w:bookmarkEnd w:id="39"/>
      <w:bookmarkEnd w:id="40"/>
      <w:bookmarkEnd w:id="41"/>
      <w:bookmarkEnd w:id="42"/>
      <w:bookmarkEnd w:id="43"/>
      <w:bookmarkEnd w:id="44"/>
      <w:bookmarkEnd w:id="45"/>
      <w:bookmarkEnd w:id="46"/>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1.1 </w:t>
      </w:r>
      <w:r>
        <w:rPr>
          <w:rFonts w:hint="eastAsia" w:ascii="宋体" w:hAnsi="宋体" w:cs="宋体"/>
          <w:color w:val="auto"/>
          <w:szCs w:val="21"/>
          <w:highlight w:val="none"/>
        </w:rPr>
        <w:t>招标项目名称：</w:t>
      </w:r>
      <w:r>
        <w:rPr>
          <w:rFonts w:hint="eastAsia" w:ascii="宋体" w:hAnsi="宋体" w:eastAsia="宋体" w:cs="宋体"/>
          <w:color w:val="auto"/>
          <w:highlight w:val="none"/>
          <w:lang w:eastAsia="zh-CN"/>
        </w:rPr>
        <w:t>南航</w:t>
      </w:r>
      <w:r>
        <w:rPr>
          <w:rFonts w:hint="eastAsia" w:ascii="宋体" w:hAnsi="宋体" w:eastAsia="宋体" w:cs="宋体"/>
          <w:color w:val="auto"/>
          <w:szCs w:val="21"/>
          <w:highlight w:val="none"/>
          <w:lang w:val="en-US" w:eastAsia="zh-CN"/>
        </w:rPr>
        <w:t>综合保障部</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年度丝袜系列采购</w:t>
      </w:r>
      <w:r>
        <w:rPr>
          <w:rFonts w:hint="eastAsia" w:ascii="宋体" w:hAnsi="宋体" w:eastAsia="宋体" w:cs="宋体"/>
          <w:color w:val="auto"/>
          <w:highlight w:val="none"/>
        </w:rPr>
        <w:t>项目</w:t>
      </w:r>
      <w:r>
        <w:rPr>
          <w:rFonts w:hint="eastAsia" w:ascii="宋体" w:hAnsi="宋体" w:cs="宋体"/>
          <w:color w:val="auto"/>
          <w:szCs w:val="21"/>
          <w:highlight w:val="none"/>
        </w:rPr>
        <w:t>。</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 xml:space="preserve">1.2 </w:t>
      </w:r>
      <w:r>
        <w:rPr>
          <w:rFonts w:hint="eastAsia" w:ascii="宋体" w:hAnsi="宋体" w:cs="宋体"/>
          <w:b w:val="0"/>
          <w:bCs/>
          <w:color w:val="auto"/>
          <w:szCs w:val="21"/>
          <w:highlight w:val="none"/>
          <w:lang w:val="en-US" w:eastAsia="zh-CN"/>
        </w:rPr>
        <w:t>项目</w:t>
      </w:r>
      <w:r>
        <w:rPr>
          <w:rFonts w:hint="eastAsia" w:ascii="宋体" w:hAnsi="宋体" w:cs="宋体"/>
          <w:b w:val="0"/>
          <w:bCs/>
          <w:color w:val="auto"/>
          <w:szCs w:val="21"/>
          <w:highlight w:val="none"/>
        </w:rPr>
        <w:t>编号：</w:t>
      </w:r>
      <w:r>
        <w:rPr>
          <w:rFonts w:hint="eastAsia" w:ascii="宋体" w:hAnsi="宋体" w:cs="宋体"/>
          <w:b w:val="0"/>
          <w:bCs/>
          <w:color w:val="auto"/>
          <w:szCs w:val="21"/>
          <w:highlight w:val="none"/>
          <w:lang w:val="en-US" w:eastAsia="zh-CN"/>
        </w:rPr>
        <w:t>【】</w:t>
      </w:r>
    </w:p>
    <w:p>
      <w:pPr>
        <w:spacing w:line="360" w:lineRule="auto"/>
        <w:ind w:firstLine="421" w:firstLineChars="200"/>
        <w:rPr>
          <w:rFonts w:hint="eastAsia" w:ascii="宋体" w:hAnsi="宋体" w:cs="宋体"/>
          <w:b w:val="0"/>
          <w:bCs/>
          <w:color w:val="auto"/>
          <w:szCs w:val="21"/>
          <w:highlight w:val="none"/>
        </w:rPr>
      </w:pPr>
      <w:r>
        <w:rPr>
          <w:rFonts w:hint="eastAsia" w:ascii="宋体" w:hAnsi="宋体" w:cs="宋体"/>
          <w:b/>
          <w:color w:val="auto"/>
          <w:szCs w:val="21"/>
          <w:highlight w:val="none"/>
        </w:rPr>
        <w:t xml:space="preserve">1.3 </w:t>
      </w:r>
      <w:r>
        <w:rPr>
          <w:rFonts w:hint="eastAsia" w:ascii="宋体" w:hAnsi="宋体" w:cs="宋体"/>
          <w:b w:val="0"/>
          <w:bCs/>
          <w:color w:val="auto"/>
          <w:szCs w:val="21"/>
          <w:highlight w:val="none"/>
        </w:rPr>
        <w:t>项目类别：</w:t>
      </w:r>
      <w:r>
        <w:rPr>
          <w:rFonts w:hint="eastAsia" w:ascii="宋体" w:hAnsi="宋体" w:cs="宋体"/>
          <w:b w:val="0"/>
          <w:bCs/>
          <w:color w:val="auto"/>
          <w:szCs w:val="21"/>
          <w:highlight w:val="none"/>
          <w:lang w:eastAsia="zh-CN"/>
        </w:rPr>
        <w:t>货物</w:t>
      </w:r>
      <w:r>
        <w:rPr>
          <w:rFonts w:hint="eastAsia" w:ascii="宋体" w:hAnsi="宋体" w:cs="宋体"/>
          <w:b w:val="0"/>
          <w:bCs/>
          <w:color w:val="auto"/>
          <w:szCs w:val="21"/>
          <w:highlight w:val="none"/>
        </w:rPr>
        <w:t>类。</w:t>
      </w:r>
    </w:p>
    <w:p>
      <w:pPr>
        <w:spacing w:line="360" w:lineRule="auto"/>
        <w:ind w:firstLine="421" w:firstLineChars="200"/>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1.4 </w:t>
      </w:r>
      <w:r>
        <w:rPr>
          <w:rFonts w:hint="eastAsia" w:ascii="宋体" w:hAnsi="宋体" w:cs="宋体"/>
          <w:color w:val="auto"/>
          <w:szCs w:val="21"/>
          <w:highlight w:val="none"/>
        </w:rPr>
        <w:t>资金来源：企业自筹资金</w:t>
      </w:r>
      <w:r>
        <w:rPr>
          <w:rFonts w:hint="eastAsia" w:ascii="宋体" w:hAnsi="宋体" w:cs="宋体"/>
          <w:color w:val="auto"/>
          <w:szCs w:val="21"/>
          <w:highlight w:val="none"/>
          <w:lang w:eastAsia="zh-CN"/>
        </w:rPr>
        <w:t>。</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1.5 </w:t>
      </w:r>
      <w:r>
        <w:rPr>
          <w:rFonts w:hint="eastAsia" w:ascii="宋体" w:hAnsi="宋体" w:cs="宋体"/>
          <w:color w:val="auto"/>
          <w:szCs w:val="21"/>
          <w:highlight w:val="none"/>
        </w:rPr>
        <w:t>招标内容、数量、限价或预算：</w:t>
      </w:r>
    </w:p>
    <w:tbl>
      <w:tblPr>
        <w:tblStyle w:val="2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5"/>
        <w:gridCol w:w="1834"/>
        <w:gridCol w:w="1470"/>
        <w:gridCol w:w="2180"/>
        <w:gridCol w:w="23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1"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kern w:val="0"/>
                <w:sz w:val="21"/>
                <w:szCs w:val="21"/>
                <w:highlight w:val="none"/>
                <w:lang w:bidi="ar"/>
              </w:rPr>
              <w:t>序号</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采购内容</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采购数量</w:t>
            </w:r>
          </w:p>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（单位：</w:t>
            </w:r>
            <w:r>
              <w:rPr>
                <w:rFonts w:hint="eastAsia" w:ascii="宋体" w:hAnsi="宋体" w:eastAsia="宋体" w:cs="宋体"/>
                <w:b/>
                <w:bCs w:val="0"/>
                <w:color w:val="auto"/>
                <w:sz w:val="21"/>
                <w:szCs w:val="21"/>
                <w:highlight w:val="none"/>
                <w:lang w:eastAsia="zh-CN"/>
              </w:rPr>
              <w:t>包</w:t>
            </w:r>
            <w:r>
              <w:rPr>
                <w:rFonts w:hint="eastAsia" w:ascii="宋体" w:hAnsi="宋体" w:eastAsia="宋体" w:cs="宋体"/>
                <w:b/>
                <w:bCs w:val="0"/>
                <w:color w:val="auto"/>
                <w:sz w:val="21"/>
                <w:szCs w:val="21"/>
                <w:highlight w:val="none"/>
              </w:rPr>
              <w:t>）</w:t>
            </w:r>
          </w:p>
        </w:tc>
        <w:tc>
          <w:tcPr>
            <w:tcW w:w="2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单价限价</w:t>
            </w:r>
          </w:p>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（单位：</w:t>
            </w:r>
            <w:r>
              <w:rPr>
                <w:rFonts w:hint="eastAsia" w:ascii="宋体" w:hAnsi="宋体" w:eastAsia="宋体" w:cs="宋体"/>
                <w:b/>
                <w:bCs w:val="0"/>
                <w:color w:val="auto"/>
                <w:sz w:val="21"/>
                <w:szCs w:val="21"/>
                <w:highlight w:val="none"/>
                <w:lang w:eastAsia="zh-CN"/>
              </w:rPr>
              <w:t>包</w:t>
            </w:r>
            <w:r>
              <w:rPr>
                <w:rFonts w:hint="eastAsia" w:ascii="宋体" w:hAnsi="宋体" w:eastAsia="宋体" w:cs="宋体"/>
                <w:b/>
                <w:bCs w:val="0"/>
                <w:color w:val="auto"/>
                <w:sz w:val="21"/>
                <w:szCs w:val="21"/>
                <w:highlight w:val="none"/>
                <w:lang w:val="en-US" w:eastAsia="zh-CN"/>
              </w:rPr>
              <w:t>/</w:t>
            </w:r>
            <w:r>
              <w:rPr>
                <w:rFonts w:hint="eastAsia" w:ascii="宋体" w:hAnsi="宋体" w:eastAsia="宋体" w:cs="宋体"/>
                <w:b/>
                <w:bCs w:val="0"/>
                <w:color w:val="auto"/>
                <w:kern w:val="0"/>
                <w:sz w:val="21"/>
                <w:szCs w:val="21"/>
                <w:highlight w:val="none"/>
                <w:lang w:eastAsia="zh-CN" w:bidi="ar"/>
              </w:rPr>
              <w:t>元</w:t>
            </w:r>
            <w:r>
              <w:rPr>
                <w:rFonts w:hint="eastAsia" w:ascii="宋体" w:hAnsi="宋体" w:eastAsia="宋体" w:cs="宋体"/>
                <w:b/>
                <w:bCs w:val="0"/>
                <w:color w:val="auto"/>
                <w:kern w:val="0"/>
                <w:sz w:val="21"/>
                <w:szCs w:val="21"/>
                <w:highlight w:val="none"/>
                <w:lang w:bidi="ar"/>
              </w:rPr>
              <w:t>，人民币</w:t>
            </w:r>
            <w:r>
              <w:rPr>
                <w:rFonts w:hint="eastAsia" w:ascii="宋体" w:hAnsi="宋体" w:eastAsia="宋体" w:cs="宋体"/>
                <w:b/>
                <w:bCs w:val="0"/>
                <w:color w:val="auto"/>
                <w:sz w:val="21"/>
                <w:szCs w:val="21"/>
                <w:highlight w:val="none"/>
              </w:rPr>
              <w:t>）</w:t>
            </w: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总价限价</w:t>
            </w:r>
          </w:p>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（单位：</w:t>
            </w:r>
            <w:r>
              <w:rPr>
                <w:rFonts w:hint="eastAsia" w:ascii="宋体" w:hAnsi="宋体" w:eastAsia="宋体" w:cs="宋体"/>
                <w:b/>
                <w:bCs w:val="0"/>
                <w:color w:val="auto"/>
                <w:kern w:val="0"/>
                <w:sz w:val="21"/>
                <w:szCs w:val="21"/>
                <w:highlight w:val="none"/>
                <w:lang w:eastAsia="zh-CN" w:bidi="ar"/>
              </w:rPr>
              <w:t>万元</w:t>
            </w:r>
            <w:r>
              <w:rPr>
                <w:rFonts w:hint="eastAsia" w:ascii="宋体" w:hAnsi="宋体" w:eastAsia="宋体" w:cs="宋体"/>
                <w:b/>
                <w:bCs w:val="0"/>
                <w:color w:val="auto"/>
                <w:kern w:val="0"/>
                <w:sz w:val="21"/>
                <w:szCs w:val="21"/>
                <w:highlight w:val="none"/>
                <w:lang w:bidi="ar"/>
              </w:rPr>
              <w:t>，人民币</w:t>
            </w:r>
            <w:r>
              <w:rPr>
                <w:rFonts w:hint="eastAsia" w:ascii="宋体" w:hAnsi="宋体" w:eastAsia="宋体" w:cs="宋体"/>
                <w:b/>
                <w:bCs w:val="0"/>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女乘丝袜</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7"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窗口女丝袜</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2"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女乘短丝袜</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2"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窗口女短丝袜</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女乘加厚裤袜</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窗口女加厚裤袜</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6319"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kern w:val="0"/>
                <w:sz w:val="21"/>
                <w:szCs w:val="21"/>
                <w:highlight w:val="none"/>
                <w:lang w:bidi="ar"/>
              </w:rPr>
            </w:pPr>
            <w:r>
              <w:rPr>
                <w:rFonts w:hint="eastAsia" w:ascii="宋体" w:hAnsi="宋体" w:eastAsia="宋体" w:cs="宋体"/>
                <w:b/>
                <w:color w:val="auto"/>
                <w:kern w:val="0"/>
                <w:sz w:val="21"/>
                <w:szCs w:val="21"/>
                <w:highlight w:val="none"/>
                <w:lang w:bidi="ar"/>
              </w:rPr>
              <w:t>合计</w:t>
            </w: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8704" w:type="dxa"/>
            <w:gridSpan w:val="5"/>
            <w:tcBorders>
              <w:top w:val="single" w:color="auto" w:sz="4" w:space="0"/>
              <w:left w:val="single" w:color="auto" w:sz="4" w:space="0"/>
              <w:bottom w:val="single" w:color="auto" w:sz="4" w:space="0"/>
              <w:right w:val="single" w:color="auto" w:sz="4" w:space="0"/>
            </w:tcBorders>
            <w:noWrap w:val="0"/>
            <w:vAlign w:val="center"/>
          </w:tcPr>
          <w:p>
            <w:pPr>
              <w:ind w:left="632" w:hanging="632" w:hangingChars="300"/>
              <w:jc w:val="left"/>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kern w:val="0"/>
                <w:sz w:val="21"/>
                <w:szCs w:val="21"/>
                <w:highlight w:val="none"/>
                <w:lang w:val="en-US" w:eastAsia="zh-CN" w:bidi="ar"/>
              </w:rPr>
              <w:t>备注：女乘、窗口女丝袜每包6双，女乘短丝袜、窗口女短丝袜每包12双，女乘、窗口女加厚裤袜每包3双。</w:t>
            </w:r>
          </w:p>
        </w:tc>
      </w:tr>
    </w:tbl>
    <w:p>
      <w:pPr>
        <w:widowControl/>
        <w:spacing w:line="360" w:lineRule="auto"/>
        <w:ind w:firstLine="421" w:firstLineChars="200"/>
        <w:jc w:val="left"/>
        <w:rPr>
          <w:rFonts w:hint="eastAsia" w:ascii="宋体" w:hAnsi="宋体" w:cs="宋体"/>
          <w:b/>
          <w:color w:val="auto"/>
          <w:kern w:val="0"/>
          <w:szCs w:val="21"/>
          <w:highlight w:val="none"/>
        </w:rPr>
      </w:pPr>
      <w:r>
        <w:rPr>
          <w:rFonts w:hint="eastAsia" w:ascii="宋体" w:hAnsi="宋体" w:cs="宋体"/>
          <w:b/>
          <w:bCs/>
          <w:color w:val="auto"/>
          <w:szCs w:val="21"/>
          <w:highlight w:val="none"/>
        </w:rPr>
        <w:t>注</w:t>
      </w:r>
      <w:r>
        <w:rPr>
          <w:rFonts w:hint="eastAsia" w:ascii="宋体" w:hAnsi="宋体" w:cs="宋体"/>
          <w:color w:val="auto"/>
          <w:kern w:val="0"/>
          <w:szCs w:val="21"/>
          <w:highlight w:val="none"/>
        </w:rPr>
        <w:t>：1、以上均为含税价。因国家税务政策变化导致增值税率发生变化时，按新的增值税率执行，协议价=协议签订时的不含税价*(1+新税率)。协议签订时的不含税价＝(协议约定的含税价、价外费用)/(1+协议签订时适用的税率)。</w:t>
      </w:r>
    </w:p>
    <w:p>
      <w:pPr>
        <w:pStyle w:val="20"/>
        <w:spacing w:line="360" w:lineRule="auto"/>
        <w:rPr>
          <w:rFonts w:hint="default" w:eastAsia="宋体"/>
          <w:color w:val="auto"/>
          <w:highlight w:val="none"/>
          <w:lang w:val="en-US" w:eastAsia="zh-CN"/>
        </w:rPr>
      </w:pPr>
      <w:r>
        <w:rPr>
          <w:rFonts w:hint="eastAsia" w:ascii="宋体" w:hAnsi="宋体" w:cs="宋体"/>
          <w:color w:val="auto"/>
          <w:kern w:val="0"/>
          <w:szCs w:val="21"/>
          <w:highlight w:val="none"/>
          <w:lang w:val="en-US" w:eastAsia="zh-CN"/>
        </w:rPr>
        <w:t xml:space="preserve">    </w:t>
      </w:r>
      <w:r>
        <w:rPr>
          <w:rFonts w:hint="eastAsia" w:ascii="宋体" w:hAnsi="宋体" w:cs="宋体"/>
          <w:color w:val="auto"/>
          <w:kern w:val="0"/>
          <w:szCs w:val="21"/>
          <w:highlight w:val="none"/>
        </w:rPr>
        <w:t>2、本项目采用框架（无固定总金额）采购模式。投标人必须对全部内容进行报价，</w:t>
      </w:r>
      <w:r>
        <w:rPr>
          <w:rFonts w:hint="eastAsia" w:ascii="宋体" w:hAnsi="宋体" w:cs="宋体"/>
          <w:b/>
          <w:bCs/>
          <w:color w:val="auto"/>
          <w:kern w:val="0"/>
          <w:szCs w:val="21"/>
          <w:highlight w:val="none"/>
        </w:rPr>
        <w:t>如有缺漏或超过最高限价（单价）的报价，将导致投标无效。</w:t>
      </w:r>
      <w:r>
        <w:rPr>
          <w:rFonts w:hint="eastAsia" w:ascii="宋体" w:hAnsi="宋体" w:cs="宋体"/>
          <w:color w:val="auto"/>
          <w:szCs w:val="21"/>
          <w:highlight w:val="none"/>
        </w:rPr>
        <w:t>本次采购</w:t>
      </w:r>
      <w:r>
        <w:rPr>
          <w:rFonts w:hint="eastAsia" w:ascii="宋体" w:hAnsi="宋体" w:cs="宋体"/>
          <w:color w:val="auto"/>
          <w:kern w:val="0"/>
          <w:szCs w:val="21"/>
          <w:highlight w:val="none"/>
        </w:rPr>
        <w:t>数量和对应的总价仅为初步的</w:t>
      </w:r>
      <w:r>
        <w:rPr>
          <w:rFonts w:hint="eastAsia" w:ascii="宋体" w:hAnsi="宋体" w:cs="宋体"/>
          <w:color w:val="auto"/>
          <w:szCs w:val="21"/>
          <w:highlight w:val="none"/>
        </w:rPr>
        <w:t>预估上限，不视为招标人对中标人作出任何必然采购或采购金额的承诺，</w:t>
      </w:r>
      <w:r>
        <w:rPr>
          <w:rFonts w:hint="eastAsia" w:ascii="宋体" w:hAnsi="宋体" w:cs="宋体"/>
          <w:color w:val="auto"/>
          <w:kern w:val="0"/>
          <w:szCs w:val="21"/>
          <w:highlight w:val="none"/>
        </w:rPr>
        <w:t>合同期内的采购数量可能会有所增减，</w:t>
      </w:r>
      <w:r>
        <w:rPr>
          <w:rFonts w:hint="eastAsia" w:ascii="宋体" w:hAnsi="宋体" w:cs="宋体"/>
          <w:color w:val="auto"/>
          <w:szCs w:val="21"/>
          <w:highlight w:val="none"/>
        </w:rPr>
        <w:t>招标</w:t>
      </w:r>
      <w:r>
        <w:rPr>
          <w:rFonts w:hint="eastAsia" w:ascii="宋体" w:hAnsi="宋体" w:cs="宋体"/>
          <w:color w:val="auto"/>
          <w:kern w:val="0"/>
          <w:szCs w:val="21"/>
          <w:highlight w:val="none"/>
        </w:rPr>
        <w:t>人有权按实际需要调整，</w:t>
      </w:r>
      <w:r>
        <w:rPr>
          <w:rFonts w:hint="eastAsia" w:ascii="宋体" w:hAnsi="宋体" w:cs="宋体"/>
          <w:color w:val="auto"/>
          <w:szCs w:val="21"/>
          <w:highlight w:val="none"/>
        </w:rPr>
        <w:t>最终采购数量以招标人实际采购需求、订单为准，</w:t>
      </w:r>
      <w:r>
        <w:rPr>
          <w:rFonts w:hint="eastAsia" w:ascii="宋体" w:hAnsi="宋体" w:cs="宋体"/>
          <w:color w:val="auto"/>
          <w:kern w:val="0"/>
          <w:szCs w:val="21"/>
          <w:highlight w:val="none"/>
        </w:rPr>
        <w:t>并按实际交易数量进行结算。除符合法律、法规、政府政策等规定的以外，采购单价不再进行调整。</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1.6</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交货</w:t>
      </w:r>
      <w:r>
        <w:rPr>
          <w:rFonts w:hint="eastAsia" w:ascii="宋体" w:hAnsi="宋体" w:cs="宋体"/>
          <w:color w:val="auto"/>
          <w:szCs w:val="21"/>
          <w:highlight w:val="none"/>
        </w:rPr>
        <w:t>地点及</w:t>
      </w:r>
      <w:r>
        <w:rPr>
          <w:rFonts w:hint="eastAsia" w:ascii="宋体" w:hAnsi="宋体" w:cs="宋体"/>
          <w:color w:val="auto"/>
          <w:szCs w:val="21"/>
          <w:highlight w:val="none"/>
          <w:lang w:eastAsia="zh-CN"/>
        </w:rPr>
        <w:t>交货</w:t>
      </w:r>
      <w:r>
        <w:rPr>
          <w:rFonts w:hint="eastAsia" w:ascii="宋体" w:hAnsi="宋体" w:cs="宋体"/>
          <w:color w:val="auto"/>
          <w:szCs w:val="21"/>
          <w:highlight w:val="none"/>
        </w:rPr>
        <w:t>期限：</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569"/>
        <w:gridCol w:w="2520"/>
        <w:gridCol w:w="3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29" w:type="dxa"/>
            <w:noWrap w:val="0"/>
            <w:vAlign w:val="top"/>
          </w:tcPr>
          <w:p>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569" w:type="dxa"/>
            <w:noWrap w:val="0"/>
            <w:vAlign w:val="top"/>
          </w:tcPr>
          <w:p>
            <w:pPr>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交货</w:t>
            </w:r>
            <w:r>
              <w:rPr>
                <w:rFonts w:hint="eastAsia" w:ascii="宋体" w:hAnsi="宋体" w:cs="宋体"/>
                <w:color w:val="auto"/>
                <w:szCs w:val="21"/>
                <w:highlight w:val="none"/>
              </w:rPr>
              <w:t>内容</w:t>
            </w:r>
          </w:p>
        </w:tc>
        <w:tc>
          <w:tcPr>
            <w:tcW w:w="2520" w:type="dxa"/>
            <w:noWrap w:val="0"/>
            <w:vAlign w:val="top"/>
          </w:tcPr>
          <w:p>
            <w:pPr>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交货</w:t>
            </w:r>
            <w:r>
              <w:rPr>
                <w:rFonts w:hint="eastAsia" w:ascii="宋体" w:hAnsi="宋体" w:cs="宋体"/>
                <w:color w:val="auto"/>
                <w:szCs w:val="21"/>
                <w:highlight w:val="none"/>
              </w:rPr>
              <w:t>地点</w:t>
            </w:r>
          </w:p>
        </w:tc>
        <w:tc>
          <w:tcPr>
            <w:tcW w:w="3148" w:type="dxa"/>
            <w:noWrap w:val="0"/>
            <w:vAlign w:val="top"/>
          </w:tcPr>
          <w:p>
            <w:pPr>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交货</w:t>
            </w:r>
            <w:r>
              <w:rPr>
                <w:rFonts w:hint="eastAsia" w:ascii="宋体" w:hAnsi="宋体" w:cs="宋体"/>
                <w:color w:val="auto"/>
                <w:szCs w:val="21"/>
                <w:highlight w:val="none"/>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829" w:type="dxa"/>
            <w:noWrap w:val="0"/>
            <w:vAlign w:val="top"/>
          </w:tcPr>
          <w:p>
            <w:pPr>
              <w:ind w:firstLine="210" w:firstLineChars="100"/>
              <w:rPr>
                <w:rFonts w:hint="eastAsia" w:ascii="宋体" w:hAnsi="宋体" w:cs="宋体"/>
                <w:color w:val="auto"/>
                <w:szCs w:val="21"/>
                <w:highlight w:val="none"/>
                <w:lang w:val="en-US" w:eastAsia="zh-CN"/>
              </w:rPr>
            </w:pPr>
          </w:p>
          <w:p>
            <w:pPr>
              <w:ind w:firstLine="210" w:firstLineChars="100"/>
              <w:rPr>
                <w:rFonts w:hint="eastAsia" w:ascii="宋体" w:hAnsi="宋体" w:cs="宋体"/>
                <w:color w:val="auto"/>
                <w:szCs w:val="21"/>
                <w:highlight w:val="none"/>
                <w:lang w:val="en-US" w:eastAsia="zh-CN"/>
              </w:rPr>
            </w:pPr>
          </w:p>
          <w:p>
            <w:pPr>
              <w:ind w:firstLine="210" w:firstLineChars="100"/>
              <w:rPr>
                <w:rFonts w:hint="eastAsia" w:ascii="宋体" w:hAnsi="宋体" w:cs="宋体"/>
                <w:color w:val="auto"/>
                <w:szCs w:val="21"/>
                <w:highlight w:val="none"/>
                <w:lang w:val="en-US" w:eastAsia="zh-CN"/>
              </w:rPr>
            </w:pPr>
          </w:p>
          <w:p>
            <w:pPr>
              <w:ind w:firstLine="210" w:firstLineChars="100"/>
              <w:rPr>
                <w:rFonts w:hint="eastAsia" w:ascii="宋体" w:hAnsi="宋体" w:cs="宋体"/>
                <w:color w:val="auto"/>
                <w:szCs w:val="21"/>
                <w:highlight w:val="none"/>
                <w:lang w:val="en-US" w:eastAsia="zh-CN"/>
              </w:rPr>
            </w:pPr>
          </w:p>
          <w:p>
            <w:pPr>
              <w:ind w:firstLine="210" w:firstLineChars="1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2569" w:type="dxa"/>
            <w:noWrap w:val="0"/>
            <w:vAlign w:val="top"/>
          </w:tcPr>
          <w:p>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女乘丝袜、窗口女丝袜、女乘短丝袜、窗口女短丝袜、女乘加厚裤袜、窗口女加厚裤袜。</w:t>
            </w:r>
          </w:p>
        </w:tc>
        <w:tc>
          <w:tcPr>
            <w:tcW w:w="2520" w:type="dxa"/>
            <w:noWrap w:val="0"/>
            <w:vAlign w:val="top"/>
          </w:tcPr>
          <w:p>
            <w:pP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eastAsia="zh-CN"/>
              </w:rPr>
              <w:t>供应商需通过南航“服装e选”系统，将产品“点对点”配发至员工个人，少量机动数发至南航各单位（含分、子公司）指定地点。</w:t>
            </w:r>
          </w:p>
        </w:tc>
        <w:tc>
          <w:tcPr>
            <w:tcW w:w="3148" w:type="dxa"/>
            <w:noWrap w:val="0"/>
            <w:vAlign w:val="top"/>
          </w:tcPr>
          <w:p>
            <w:pP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eastAsia="zh-CN"/>
              </w:rPr>
              <w:t>“服装e选”系统下订单后【】</w:t>
            </w:r>
            <w:r>
              <w:rPr>
                <w:rFonts w:hint="eastAsia" w:ascii="宋体" w:hAnsi="宋体" w:cs="宋体"/>
                <w:color w:val="auto"/>
                <w:szCs w:val="21"/>
                <w:highlight w:val="none"/>
              </w:rPr>
              <w:t>天内交货</w:t>
            </w:r>
            <w:r>
              <w:rPr>
                <w:rFonts w:hint="eastAsia" w:ascii="宋体" w:hAnsi="宋体" w:cs="宋体"/>
                <w:color w:val="auto"/>
                <w:szCs w:val="21"/>
                <w:highlight w:val="none"/>
                <w:lang w:eastAsia="zh-CN"/>
              </w:rPr>
              <w:t>，新入职人员订单</w:t>
            </w:r>
            <w:r>
              <w:rPr>
                <w:rFonts w:hint="eastAsia" w:ascii="宋体" w:hAnsi="宋体" w:cs="宋体"/>
                <w:color w:val="auto"/>
                <w:szCs w:val="21"/>
                <w:highlight w:val="none"/>
                <w:lang w:val="en-US" w:eastAsia="zh-CN"/>
              </w:rPr>
              <w:t>【】天内交货。</w:t>
            </w:r>
          </w:p>
        </w:tc>
      </w:tr>
    </w:tbl>
    <w:p>
      <w:pPr>
        <w:spacing w:line="360" w:lineRule="auto"/>
        <w:ind w:firstLine="420" w:firstLineChars="200"/>
        <w:rPr>
          <w:rFonts w:hint="default" w:eastAsia="宋体"/>
          <w:color w:val="auto"/>
          <w:highlight w:val="none"/>
          <w:lang w:val="en-US" w:eastAsia="zh-CN"/>
        </w:rPr>
      </w:pPr>
      <w:r>
        <w:rPr>
          <w:rFonts w:hint="eastAsia" w:ascii="宋体" w:hAnsi="宋体" w:cs="宋体"/>
          <w:color w:val="auto"/>
          <w:szCs w:val="21"/>
          <w:highlight w:val="none"/>
        </w:rPr>
        <w:t>★</w:t>
      </w:r>
      <w:r>
        <w:rPr>
          <w:rFonts w:hint="eastAsia" w:ascii="宋体" w:hAnsi="宋体" w:cs="宋体"/>
          <w:b/>
          <w:color w:val="auto"/>
          <w:szCs w:val="21"/>
          <w:highlight w:val="none"/>
        </w:rPr>
        <w:t xml:space="preserve">1.7 </w:t>
      </w:r>
      <w:r>
        <w:rPr>
          <w:rFonts w:hint="eastAsia" w:ascii="宋体" w:hAnsi="宋体" w:cs="宋体"/>
          <w:color w:val="auto"/>
          <w:szCs w:val="21"/>
          <w:highlight w:val="none"/>
        </w:rPr>
        <w:t>合同期限： 自合同生效之日起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年，具体起始时间以双方签署合同内容为准。</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1.8 </w:t>
      </w:r>
      <w:r>
        <w:rPr>
          <w:rFonts w:hint="eastAsia" w:ascii="宋体" w:hAnsi="宋体" w:cs="宋体"/>
          <w:color w:val="auto"/>
          <w:szCs w:val="21"/>
          <w:highlight w:val="none"/>
        </w:rPr>
        <w:t>本项目只接受在中国南方航空采购招标网或招标人于本文件中指定的网站下载本招标文件的投标人投标。</w:t>
      </w:r>
    </w:p>
    <w:p>
      <w:pPr>
        <w:pStyle w:val="4"/>
        <w:spacing w:line="360" w:lineRule="auto"/>
        <w:ind w:left="0"/>
        <w:rPr>
          <w:rFonts w:hint="eastAsia" w:ascii="宋体" w:hAnsi="宋体" w:cs="宋体"/>
          <w:b/>
          <w:color w:val="auto"/>
          <w:highlight w:val="none"/>
        </w:rPr>
      </w:pPr>
      <w:bookmarkStart w:id="47" w:name="_Toc21281"/>
      <w:bookmarkStart w:id="48" w:name="_Toc1394945536"/>
      <w:bookmarkStart w:id="49" w:name="_Toc1536"/>
      <w:bookmarkStart w:id="50" w:name="_Toc428718113"/>
      <w:bookmarkStart w:id="51" w:name="_Toc22564"/>
      <w:bookmarkStart w:id="52" w:name="_Toc458"/>
      <w:bookmarkStart w:id="53" w:name="_Toc11257"/>
      <w:bookmarkStart w:id="54" w:name="_Toc25285"/>
      <w:bookmarkStart w:id="55" w:name="_Toc12721"/>
      <w:bookmarkStart w:id="56" w:name="_Toc27765"/>
      <w:bookmarkStart w:id="57" w:name="_Toc14818"/>
      <w:bookmarkStart w:id="58" w:name="_Toc504657602"/>
      <w:bookmarkStart w:id="59" w:name="_Toc34645990"/>
      <w:bookmarkStart w:id="60" w:name="_Toc1534383745"/>
      <w:r>
        <w:rPr>
          <w:rFonts w:hint="eastAsia" w:ascii="宋体" w:hAnsi="宋体" w:cs="宋体"/>
          <w:b/>
          <w:color w:val="auto"/>
          <w:highlight w:val="none"/>
        </w:rPr>
        <w:t>2、投标人资格要求</w:t>
      </w:r>
      <w:bookmarkEnd w:id="47"/>
      <w:bookmarkEnd w:id="48"/>
      <w:bookmarkEnd w:id="49"/>
      <w:bookmarkEnd w:id="50"/>
      <w:bookmarkEnd w:id="51"/>
      <w:bookmarkEnd w:id="52"/>
      <w:bookmarkEnd w:id="53"/>
      <w:bookmarkEnd w:id="54"/>
      <w:bookmarkEnd w:id="55"/>
      <w:bookmarkEnd w:id="56"/>
      <w:bookmarkEnd w:id="57"/>
      <w:bookmarkEnd w:id="58"/>
      <w:bookmarkEnd w:id="59"/>
      <w:bookmarkEnd w:id="60"/>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参加本项目投标的投标人必须符合下列要求：</w:t>
      </w:r>
    </w:p>
    <w:p>
      <w:pPr>
        <w:spacing w:line="360" w:lineRule="auto"/>
        <w:ind w:firstLine="421" w:firstLineChars="200"/>
        <w:rPr>
          <w:rFonts w:hint="eastAsia" w:ascii="宋体" w:hAnsi="宋体" w:cs="宋体"/>
          <w:color w:val="auto"/>
          <w:szCs w:val="21"/>
          <w:highlight w:val="none"/>
        </w:rPr>
      </w:pPr>
      <w:r>
        <w:rPr>
          <w:rFonts w:hint="eastAsia" w:ascii="宋体" w:hAnsi="宋体"/>
          <w:b/>
          <w:color w:val="auto"/>
          <w:szCs w:val="21"/>
          <w:highlight w:val="none"/>
        </w:rPr>
        <w:t xml:space="preserve">2.1 </w:t>
      </w:r>
      <w:r>
        <w:rPr>
          <w:rFonts w:hint="eastAsia" w:ascii="宋体" w:hAnsi="宋体"/>
          <w:bCs/>
          <w:color w:val="auto"/>
          <w:szCs w:val="21"/>
          <w:highlight w:val="none"/>
        </w:rPr>
        <w:t>投标人</w:t>
      </w:r>
      <w:r>
        <w:rPr>
          <w:rFonts w:hint="eastAsia" w:ascii="宋体" w:hAnsi="宋体" w:cs="宋体"/>
          <w:color w:val="auto"/>
          <w:szCs w:val="21"/>
          <w:highlight w:val="none"/>
        </w:rPr>
        <w:t>必须是具有独立承担民事责任能力的，在中华人民共和国境内（不含港澳台）注册的法人或其他组织</w:t>
      </w:r>
      <w:r>
        <w:rPr>
          <w:rFonts w:hint="eastAsia" w:ascii="宋体" w:hAnsi="宋体"/>
          <w:color w:val="auto"/>
          <w:szCs w:val="21"/>
          <w:highlight w:val="none"/>
        </w:rPr>
        <w:t>，</w:t>
      </w:r>
      <w:r>
        <w:rPr>
          <w:rFonts w:hint="eastAsia" w:ascii="宋体" w:hAnsi="宋体" w:cs="宋体"/>
          <w:color w:val="auto"/>
          <w:szCs w:val="21"/>
          <w:highlight w:val="none"/>
        </w:rPr>
        <w:t>具备合法有效的营业执照。（注意：须提供有效的营业执照扫描件加盖公章。）</w:t>
      </w:r>
    </w:p>
    <w:p>
      <w:pPr>
        <w:widowControl/>
        <w:spacing w:line="360" w:lineRule="auto"/>
        <w:ind w:firstLine="421" w:firstLineChars="200"/>
        <w:rPr>
          <w:rFonts w:hint="eastAsia" w:ascii="宋体" w:hAnsi="宋体" w:eastAsia="宋体" w:cs="宋体"/>
          <w:color w:val="auto"/>
          <w:highlight w:val="none"/>
          <w:lang w:eastAsia="zh-CN"/>
        </w:rPr>
      </w:pPr>
      <w:r>
        <w:rPr>
          <w:rFonts w:hint="eastAsia" w:ascii="宋体" w:hAnsi="宋体" w:cs="宋体"/>
          <w:b/>
          <w:color w:val="auto"/>
          <w:highlight w:val="none"/>
        </w:rPr>
        <w:t>2.2</w:t>
      </w:r>
      <w:r>
        <w:rPr>
          <w:rFonts w:hint="eastAsia" w:ascii="宋体" w:hAnsi="宋体" w:cs="宋体"/>
          <w:color w:val="auto"/>
          <w:szCs w:val="21"/>
          <w:highlight w:val="none"/>
        </w:rPr>
        <w:t>投标人须为本次采购标的物的合法制造厂家。（注意：须提供制造厂家的证明材料</w:t>
      </w:r>
      <w:r>
        <w:rPr>
          <w:rFonts w:hint="eastAsia" w:ascii="宋体" w:hAnsi="宋体" w:cs="宋体"/>
          <w:color w:val="auto"/>
          <w:highlight w:val="none"/>
        </w:rPr>
        <w:t>，要求能够充分证明其具有</w:t>
      </w:r>
      <w:r>
        <w:rPr>
          <w:rFonts w:hint="eastAsia" w:ascii="宋体" w:hAnsi="宋体" w:cs="宋体"/>
          <w:color w:val="auto"/>
          <w:szCs w:val="21"/>
          <w:highlight w:val="none"/>
        </w:rPr>
        <w:t>合法生产权利及生产能力（包括但不限于：国家相关行业主管部门颁发的采购标的物相关生产许可证或证明等）</w:t>
      </w:r>
      <w:r>
        <w:rPr>
          <w:rFonts w:hint="eastAsia" w:ascii="宋体" w:hAnsi="宋体" w:cs="宋体"/>
          <w:color w:val="auto"/>
          <w:szCs w:val="21"/>
          <w:highlight w:val="none"/>
          <w:lang w:eastAsia="zh-CN"/>
        </w:rPr>
        <w:t>。</w:t>
      </w:r>
    </w:p>
    <w:p>
      <w:pPr>
        <w:pStyle w:val="20"/>
        <w:rPr>
          <w:rFonts w:hint="eastAsia"/>
          <w:color w:val="auto"/>
          <w:highlight w:val="none"/>
        </w:rPr>
      </w:pPr>
    </w:p>
    <w:p>
      <w:pPr>
        <w:widowControl/>
        <w:spacing w:line="360" w:lineRule="auto"/>
        <w:ind w:firstLine="421" w:firstLineChars="200"/>
        <w:rPr>
          <w:rFonts w:hint="eastAsia" w:ascii="宋体" w:hAnsi="宋体" w:cs="宋体"/>
          <w:color w:val="auto"/>
          <w:highlight w:val="none"/>
        </w:rPr>
      </w:pPr>
      <w:r>
        <w:rPr>
          <w:rFonts w:hint="eastAsia" w:ascii="宋体" w:hAnsi="宋体" w:cs="宋体"/>
          <w:b/>
          <w:color w:val="auto"/>
          <w:highlight w:val="none"/>
        </w:rPr>
        <w:t>2.</w:t>
      </w:r>
      <w:r>
        <w:rPr>
          <w:rFonts w:hint="eastAsia" w:ascii="宋体" w:hAnsi="宋体" w:cs="宋体"/>
          <w:b/>
          <w:color w:val="auto"/>
          <w:highlight w:val="none"/>
          <w:lang w:val="en-US" w:eastAsia="zh-CN"/>
        </w:rPr>
        <w:t xml:space="preserve">3 </w:t>
      </w:r>
      <w:r>
        <w:rPr>
          <w:rFonts w:hint="eastAsia" w:ascii="宋体" w:hAnsi="宋体" w:cs="宋体"/>
          <w:color w:val="auto"/>
          <w:highlight w:val="none"/>
        </w:rPr>
        <w:t>与招标人存在利害关系可能影响招标公正性的法人、其他组织或个人，以及单位负责人为同一人或者存在控股、管理关系的不同实体，应当主动回避，不得参加本项目同一标段（已划分标段的）或本项目投标。</w:t>
      </w:r>
    </w:p>
    <w:p>
      <w:pPr>
        <w:widowControl/>
        <w:spacing w:line="360" w:lineRule="auto"/>
        <w:ind w:firstLine="421" w:firstLineChars="200"/>
        <w:rPr>
          <w:rFonts w:hint="eastAsia" w:ascii="宋体" w:hAnsi="宋体" w:cs="宋体"/>
          <w:color w:val="auto"/>
          <w:szCs w:val="21"/>
          <w:highlight w:val="none"/>
          <w:shd w:val="clear" w:color="auto" w:fill="FFFFFF"/>
        </w:rPr>
      </w:pPr>
      <w:r>
        <w:rPr>
          <w:rFonts w:hint="eastAsia" w:ascii="宋体" w:hAnsi="宋体" w:cs="宋体"/>
          <w:b/>
          <w:bCs/>
          <w:color w:val="auto"/>
          <w:highlight w:val="none"/>
        </w:rPr>
        <w:t>2.</w:t>
      </w:r>
      <w:r>
        <w:rPr>
          <w:rFonts w:hint="eastAsia" w:ascii="宋体" w:hAnsi="宋体" w:cs="宋体"/>
          <w:b/>
          <w:bCs/>
          <w:color w:val="auto"/>
          <w:highlight w:val="none"/>
          <w:lang w:val="en-US" w:eastAsia="zh-CN"/>
        </w:rPr>
        <w:t>4</w:t>
      </w:r>
      <w:r>
        <w:rPr>
          <w:rFonts w:hint="eastAsia" w:ascii="宋体" w:hAnsi="宋体" w:cs="宋体"/>
          <w:color w:val="auto"/>
          <w:highlight w:val="none"/>
        </w:rPr>
        <w:t xml:space="preserve"> 投标人在</w:t>
      </w:r>
      <w:r>
        <w:rPr>
          <w:rFonts w:hint="eastAsia" w:ascii="宋体" w:hAnsi="宋体" w:cs="宋体"/>
          <w:color w:val="auto"/>
          <w:szCs w:val="21"/>
          <w:highlight w:val="none"/>
          <w:shd w:val="clear" w:color="auto" w:fill="FFFFFF"/>
        </w:rPr>
        <w:t>参加本次采购活动前</w:t>
      </w:r>
      <w:r>
        <w:rPr>
          <w:rFonts w:hint="eastAsia" w:ascii="宋体" w:hAnsi="宋体" w:cs="宋体"/>
          <w:color w:val="auto"/>
          <w:szCs w:val="21"/>
          <w:highlight w:val="none"/>
          <w:shd w:val="clear" w:color="auto" w:fill="FFFFFF"/>
          <w:lang w:val="en-US" w:eastAsia="zh-CN"/>
        </w:rPr>
        <w:t>【】</w:t>
      </w:r>
      <w:r>
        <w:rPr>
          <w:rFonts w:hint="eastAsia" w:ascii="宋体" w:hAnsi="宋体" w:cs="宋体"/>
          <w:color w:val="auto"/>
          <w:szCs w:val="21"/>
          <w:highlight w:val="none"/>
          <w:shd w:val="clear" w:color="auto" w:fill="FFFFFF"/>
        </w:rPr>
        <w:t>年内（20</w:t>
      </w:r>
      <w:r>
        <w:rPr>
          <w:rFonts w:hint="eastAsia" w:ascii="宋体" w:hAnsi="宋体" w:cs="宋体"/>
          <w:color w:val="auto"/>
          <w:szCs w:val="21"/>
          <w:highlight w:val="none"/>
          <w:shd w:val="clear" w:color="auto" w:fill="FFFFFF"/>
          <w:lang w:val="en-US" w:eastAsia="zh-CN"/>
        </w:rPr>
        <w:t>【】</w:t>
      </w:r>
      <w:r>
        <w:rPr>
          <w:rFonts w:hint="eastAsia" w:ascii="宋体" w:hAnsi="宋体" w:cs="宋体"/>
          <w:color w:val="auto"/>
          <w:szCs w:val="21"/>
          <w:highlight w:val="none"/>
          <w:shd w:val="clear" w:color="auto" w:fill="FFFFFF"/>
        </w:rPr>
        <w:t>年</w:t>
      </w:r>
      <w:r>
        <w:rPr>
          <w:rFonts w:hint="eastAsia" w:ascii="宋体" w:hAnsi="宋体" w:cs="宋体"/>
          <w:color w:val="auto"/>
          <w:szCs w:val="21"/>
          <w:highlight w:val="none"/>
          <w:shd w:val="clear" w:color="auto" w:fill="FFFFFF"/>
          <w:lang w:val="en-US" w:eastAsia="zh-CN"/>
        </w:rPr>
        <w:t>【】</w:t>
      </w:r>
      <w:r>
        <w:rPr>
          <w:rFonts w:hint="eastAsia" w:ascii="宋体" w:hAnsi="宋体" w:cs="宋体"/>
          <w:color w:val="auto"/>
          <w:szCs w:val="21"/>
          <w:highlight w:val="none"/>
          <w:shd w:val="clear" w:color="auto" w:fill="FFFFFF"/>
        </w:rPr>
        <w:t>月</w:t>
      </w:r>
      <w:r>
        <w:rPr>
          <w:rFonts w:hint="eastAsia" w:ascii="宋体" w:hAnsi="宋体" w:cs="宋体"/>
          <w:color w:val="auto"/>
          <w:szCs w:val="21"/>
          <w:highlight w:val="none"/>
          <w:shd w:val="clear" w:color="auto" w:fill="FFFFFF"/>
          <w:lang w:val="en-US" w:eastAsia="zh-CN"/>
        </w:rPr>
        <w:t>【】</w:t>
      </w:r>
      <w:r>
        <w:rPr>
          <w:rFonts w:hint="eastAsia" w:ascii="宋体" w:hAnsi="宋体" w:cs="宋体"/>
          <w:color w:val="auto"/>
          <w:szCs w:val="21"/>
          <w:highlight w:val="none"/>
          <w:shd w:val="clear" w:color="auto" w:fill="FFFFFF"/>
        </w:rPr>
        <w:t>日至投标截止日），投标人在经营活动中无“列入严重违法失信企业名单（黑名单）信息”（</w:t>
      </w:r>
      <w:r>
        <w:rPr>
          <w:rFonts w:hint="eastAsia" w:ascii="宋体" w:hAnsi="宋体" w:cs="宋体"/>
          <w:color w:val="auto"/>
          <w:szCs w:val="21"/>
          <w:highlight w:val="none"/>
        </w:rPr>
        <w:t>注意：须</w:t>
      </w:r>
      <w:r>
        <w:rPr>
          <w:rFonts w:hint="eastAsia" w:ascii="宋体" w:hAnsi="宋体" w:cs="宋体"/>
          <w:color w:val="auto"/>
          <w:szCs w:val="21"/>
          <w:highlight w:val="none"/>
          <w:shd w:val="clear" w:color="auto" w:fill="FFFFFF"/>
        </w:rPr>
        <w:t>提供国家企业信用信息公示系统中此项完整内容截图或报告）或“严重失信主体名单”（</w:t>
      </w:r>
      <w:r>
        <w:rPr>
          <w:rFonts w:hint="eastAsia" w:ascii="宋体" w:hAnsi="宋体" w:cs="宋体"/>
          <w:color w:val="auto"/>
          <w:szCs w:val="21"/>
          <w:highlight w:val="none"/>
        </w:rPr>
        <w:t>注意：须</w:t>
      </w:r>
      <w:r>
        <w:rPr>
          <w:rFonts w:hint="eastAsia" w:ascii="宋体" w:hAnsi="宋体" w:cs="宋体"/>
          <w:color w:val="auto"/>
          <w:szCs w:val="21"/>
          <w:highlight w:val="none"/>
          <w:shd w:val="clear" w:color="auto" w:fill="FFFFFF"/>
        </w:rPr>
        <w:t>提供信用中国网站中此项完整内容截图或报告）。</w:t>
      </w:r>
      <w:r>
        <w:rPr>
          <w:rFonts w:hint="eastAsia" w:ascii="宋体" w:hAnsi="宋体" w:cs="宋体"/>
          <w:color w:val="auto"/>
          <w:szCs w:val="21"/>
          <w:highlight w:val="none"/>
        </w:rPr>
        <w:t>（注意：</w:t>
      </w:r>
      <w:r>
        <w:rPr>
          <w:rFonts w:hint="eastAsia" w:ascii="宋体" w:hAnsi="宋体" w:cs="宋体"/>
          <w:color w:val="auto"/>
          <w:szCs w:val="21"/>
          <w:highlight w:val="none"/>
          <w:shd w:val="clear" w:color="auto" w:fill="FFFFFF"/>
        </w:rPr>
        <w:t>仅以国家企业信用信息公示系统显示信息或信用中国网站为准进行形式审查并作为认定依据，其他网站或文件不作为认定依据；境外企业、港澳台地区企业及国内事业单位无需提供；在投标截止日前已被移除出名单的，</w:t>
      </w:r>
      <w:r>
        <w:rPr>
          <w:rFonts w:ascii="宋体" w:hAnsi="宋体" w:cs="宋体"/>
          <w:color w:val="auto"/>
          <w:szCs w:val="21"/>
          <w:highlight w:val="none"/>
          <w:shd w:val="clear" w:color="auto" w:fill="FFFFFF"/>
        </w:rPr>
        <w:t>符合本条资格要求</w:t>
      </w:r>
      <w:r>
        <w:rPr>
          <w:rFonts w:hint="eastAsia" w:ascii="宋体" w:hAnsi="宋体" w:cs="宋体"/>
          <w:color w:val="auto"/>
          <w:szCs w:val="21"/>
          <w:highlight w:val="none"/>
        </w:rPr>
        <w:t>（以上证明材料提供任一即可）</w:t>
      </w:r>
      <w:r>
        <w:rPr>
          <w:rFonts w:hint="eastAsia" w:ascii="宋体" w:hAnsi="宋体" w:cs="宋体"/>
          <w:color w:val="auto"/>
          <w:szCs w:val="21"/>
          <w:highlight w:val="none"/>
          <w:shd w:val="clear" w:color="auto" w:fill="FFFFFF"/>
        </w:rPr>
        <w:t>）</w:t>
      </w:r>
    </w:p>
    <w:p>
      <w:pPr>
        <w:spacing w:line="360" w:lineRule="auto"/>
        <w:ind w:firstLine="421" w:firstLineChars="200"/>
        <w:rPr>
          <w:rFonts w:hint="eastAsia" w:ascii="宋体" w:hAnsi="宋体" w:cs="宋体"/>
          <w:color w:val="auto"/>
          <w:highlight w:val="none"/>
        </w:rPr>
      </w:pPr>
      <w:r>
        <w:rPr>
          <w:rFonts w:hint="eastAsia" w:ascii="宋体" w:hAnsi="宋体" w:cs="宋体"/>
          <w:b/>
          <w:bCs/>
          <w:color w:val="auto"/>
          <w:szCs w:val="21"/>
          <w:highlight w:val="none"/>
        </w:rPr>
        <w:t>2.</w:t>
      </w: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 xml:space="preserve"> </w:t>
      </w:r>
      <w:r>
        <w:rPr>
          <w:rFonts w:hint="eastAsia" w:ascii="宋体" w:hAnsi="宋体" w:cs="宋体"/>
          <w:color w:val="auto"/>
          <w:highlight w:val="none"/>
        </w:rPr>
        <w:t>被列入南航集团“限制交易供应商名单”且仍在限制期内的法人或其他组织不得参与本次投标。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bCs/>
          <w:color w:val="auto"/>
          <w:highlight w:val="none"/>
        </w:rPr>
        <w:t>2.</w:t>
      </w:r>
      <w:r>
        <w:rPr>
          <w:rFonts w:hint="eastAsia" w:ascii="宋体" w:hAnsi="宋体" w:cs="宋体"/>
          <w:b/>
          <w:bCs/>
          <w:color w:val="auto"/>
          <w:highlight w:val="none"/>
          <w:lang w:val="en-US" w:eastAsia="zh-CN"/>
        </w:rPr>
        <w:t>6</w:t>
      </w:r>
      <w:r>
        <w:rPr>
          <w:rFonts w:hint="eastAsia" w:ascii="宋体" w:hAnsi="宋体" w:cs="宋体"/>
          <w:b/>
          <w:bCs/>
          <w:color w:val="auto"/>
          <w:highlight w:val="none"/>
        </w:rPr>
        <w:t xml:space="preserve"> </w:t>
      </w:r>
      <w:r>
        <w:rPr>
          <w:rFonts w:hint="eastAsia" w:ascii="宋体" w:hAnsi="宋体" w:cs="宋体"/>
          <w:color w:val="auto"/>
          <w:highlight w:val="none"/>
        </w:rPr>
        <w:t>被列入南航集团</w:t>
      </w:r>
      <w:r>
        <w:rPr>
          <w:rFonts w:hint="eastAsia" w:ascii="宋体" w:hAnsi="宋体" w:cs="宋体"/>
          <w:color w:val="auto"/>
          <w:szCs w:val="21"/>
          <w:highlight w:val="none"/>
        </w:rPr>
        <w:t>“禁止交易企业名单”的企业，不得参与</w:t>
      </w:r>
      <w:r>
        <w:rPr>
          <w:rFonts w:hint="eastAsia" w:ascii="宋体" w:hAnsi="宋体" w:cs="宋体"/>
          <w:color w:val="auto"/>
          <w:highlight w:val="none"/>
        </w:rPr>
        <w:t>本次</w:t>
      </w:r>
      <w:r>
        <w:rPr>
          <w:rFonts w:hint="eastAsia" w:ascii="宋体" w:hAnsi="宋体" w:cs="宋体"/>
          <w:color w:val="auto"/>
          <w:szCs w:val="21"/>
          <w:highlight w:val="none"/>
        </w:rPr>
        <w:t>投标。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bCs/>
          <w:color w:val="auto"/>
          <w:szCs w:val="21"/>
          <w:highlight w:val="none"/>
        </w:rPr>
        <w:t>2.</w:t>
      </w:r>
      <w:r>
        <w:rPr>
          <w:rFonts w:hint="eastAsia" w:ascii="宋体" w:hAnsi="宋体" w:cs="宋体"/>
          <w:b/>
          <w:bCs/>
          <w:color w:val="auto"/>
          <w:szCs w:val="21"/>
          <w:highlight w:val="none"/>
          <w:lang w:val="en-US" w:eastAsia="zh-CN"/>
        </w:rPr>
        <w:t>7</w:t>
      </w:r>
      <w:r>
        <w:rPr>
          <w:rFonts w:hint="eastAsia" w:ascii="宋体" w:hAnsi="宋体" w:cs="宋体"/>
          <w:b/>
          <w:bCs/>
          <w:color w:val="auto"/>
          <w:szCs w:val="21"/>
          <w:highlight w:val="none"/>
        </w:rPr>
        <w:t xml:space="preserve"> </w:t>
      </w:r>
      <w:r>
        <w:rPr>
          <w:rFonts w:hint="eastAsia" w:ascii="宋体" w:hAnsi="宋体" w:cs="宋体"/>
          <w:color w:val="auto"/>
          <w:szCs w:val="21"/>
          <w:highlight w:val="none"/>
        </w:rPr>
        <w:t>递交文件的供应商之间在本项目过程中登陆，购标、递标、开标解密等任何一个环节存在IP地址异常一致的，或者支付平台服务费、提交各类保证金</w:t>
      </w:r>
      <w:r>
        <w:rPr>
          <w:rFonts w:hint="eastAsia"/>
          <w:color w:val="auto"/>
          <w:highlight w:val="none"/>
        </w:rPr>
        <w:t>等付款行为</w:t>
      </w:r>
      <w:r>
        <w:rPr>
          <w:rFonts w:hint="eastAsia" w:ascii="宋体" w:hAnsi="宋体" w:cs="宋体"/>
          <w:color w:val="auto"/>
          <w:szCs w:val="21"/>
          <w:highlight w:val="none"/>
        </w:rPr>
        <w:t>的银行账户一致的，不得通过符合性审查，且采购人有权对供应商涉嫌违规的这些行为按第二章第二节《投标人须知》中第3.4.6的规定，以及依据本招标文件的其他规定和法律法规进一步审查、追究责任。</w:t>
      </w:r>
    </w:p>
    <w:p>
      <w:pPr>
        <w:spacing w:line="360" w:lineRule="auto"/>
        <w:ind w:firstLine="420" w:firstLineChars="200"/>
        <w:rPr>
          <w:rFonts w:hint="eastAsia" w:ascii="宋体" w:hAnsi="宋体"/>
          <w:bCs/>
          <w:color w:val="auto"/>
          <w:kern w:val="2"/>
          <w:szCs w:val="21"/>
          <w:highlight w:val="none"/>
          <w:lang w:eastAsia="zh-CN"/>
        </w:rPr>
      </w:pPr>
      <w:r>
        <w:rPr>
          <w:rFonts w:hint="eastAsia" w:ascii="宋体" w:hAnsi="宋体" w:eastAsia="宋体"/>
          <w:color w:val="auto"/>
          <w:highlight w:val="none"/>
          <w:lang w:val="en-US" w:eastAsia="zh-CN"/>
        </w:rPr>
        <w:t>2.8</w:t>
      </w:r>
      <w:r>
        <w:rPr>
          <w:rFonts w:hint="eastAsia" w:ascii="宋体" w:hAnsi="宋体" w:eastAsia="宋体"/>
          <w:color w:val="auto"/>
          <w:highlight w:val="none"/>
          <w:lang w:eastAsia="zh-CN"/>
        </w:rPr>
        <w:t>投标人</w:t>
      </w:r>
      <w:r>
        <w:rPr>
          <w:rFonts w:hint="eastAsia" w:ascii="宋体" w:hAnsi="宋体"/>
          <w:color w:val="auto"/>
          <w:highlight w:val="none"/>
        </w:rPr>
        <w:t>产品</w:t>
      </w:r>
      <w:r>
        <w:rPr>
          <w:rFonts w:hint="eastAsia" w:ascii="宋体" w:hAnsi="宋体" w:cs="宋体"/>
          <w:color w:val="auto"/>
          <w:kern w:val="0"/>
          <w:szCs w:val="21"/>
          <w:highlight w:val="none"/>
        </w:rPr>
        <w:t>通过ISO9001</w:t>
      </w:r>
      <w:r>
        <w:rPr>
          <w:rFonts w:hint="eastAsia" w:ascii="宋体" w:hAnsi="宋体"/>
          <w:bCs/>
          <w:color w:val="auto"/>
          <w:szCs w:val="21"/>
          <w:highlight w:val="none"/>
        </w:rPr>
        <w:t>质量管理体系</w:t>
      </w:r>
      <w:r>
        <w:rPr>
          <w:rFonts w:hint="eastAsia" w:ascii="宋体" w:hAnsi="宋体" w:cs="宋体"/>
          <w:color w:val="auto"/>
          <w:kern w:val="0"/>
          <w:szCs w:val="21"/>
          <w:highlight w:val="none"/>
        </w:rPr>
        <w:t>、</w:t>
      </w:r>
      <w:r>
        <w:rPr>
          <w:rFonts w:hint="eastAsia" w:ascii="宋体" w:hAnsi="宋体"/>
          <w:bCs/>
          <w:color w:val="auto"/>
          <w:szCs w:val="21"/>
          <w:highlight w:val="none"/>
        </w:rPr>
        <w:t>ISO</w:t>
      </w:r>
      <w:r>
        <w:rPr>
          <w:rFonts w:hint="eastAsia" w:ascii="宋体" w:hAnsi="宋体" w:cs="宋体"/>
          <w:color w:val="auto"/>
          <w:kern w:val="0"/>
          <w:szCs w:val="21"/>
          <w:highlight w:val="none"/>
        </w:rPr>
        <w:t>14001</w:t>
      </w:r>
      <w:r>
        <w:rPr>
          <w:rFonts w:hint="eastAsia" w:ascii="宋体" w:hAnsi="宋体"/>
          <w:bCs/>
          <w:color w:val="auto"/>
          <w:szCs w:val="21"/>
          <w:highlight w:val="none"/>
        </w:rPr>
        <w:t>环境管理体系</w:t>
      </w:r>
      <w:r>
        <w:rPr>
          <w:rFonts w:hint="eastAsia" w:ascii="宋体" w:hAnsi="宋体" w:cs="宋体"/>
          <w:color w:val="auto"/>
          <w:kern w:val="0"/>
          <w:szCs w:val="21"/>
          <w:highlight w:val="none"/>
        </w:rPr>
        <w:t>认证</w:t>
      </w:r>
      <w:r>
        <w:rPr>
          <w:rFonts w:hint="eastAsia" w:ascii="宋体" w:hAnsi="宋体" w:cs="Times New Roman"/>
          <w:bCs/>
          <w:color w:val="auto"/>
          <w:kern w:val="2"/>
          <w:szCs w:val="21"/>
          <w:highlight w:val="none"/>
          <w:lang w:eastAsia="zh-CN"/>
        </w:rPr>
        <w:t>和</w:t>
      </w:r>
      <w:r>
        <w:rPr>
          <w:rFonts w:hint="eastAsia" w:ascii="宋体" w:hAnsi="宋体"/>
          <w:bCs/>
          <w:color w:val="auto"/>
          <w:sz w:val="21"/>
          <w:szCs w:val="21"/>
          <w:highlight w:val="none"/>
          <w:lang w:val="en-US" w:eastAsia="zh-CN"/>
        </w:rPr>
        <w:t>ISO45001</w:t>
      </w:r>
      <w:r>
        <w:rPr>
          <w:rFonts w:hint="eastAsia" w:ascii="宋体" w:hAnsi="宋体" w:cs="Times New Roman"/>
          <w:bCs/>
          <w:color w:val="auto"/>
          <w:kern w:val="2"/>
          <w:szCs w:val="21"/>
          <w:highlight w:val="none"/>
          <w:lang w:eastAsia="zh-CN"/>
        </w:rPr>
        <w:t>职业健康安全管理体系认证证书</w:t>
      </w:r>
      <w:r>
        <w:rPr>
          <w:rFonts w:hint="eastAsia" w:ascii="宋体" w:hAnsi="宋体" w:cs="Times New Roman"/>
          <w:bCs/>
          <w:color w:val="auto"/>
          <w:kern w:val="2"/>
          <w:szCs w:val="21"/>
          <w:highlight w:val="none"/>
        </w:rPr>
        <w:t>。</w:t>
      </w:r>
      <w:r>
        <w:rPr>
          <w:rFonts w:hint="eastAsia" w:ascii="宋体" w:hAnsi="宋体"/>
          <w:bCs/>
          <w:color w:val="auto"/>
          <w:kern w:val="2"/>
          <w:szCs w:val="21"/>
          <w:highlight w:val="none"/>
          <w:lang w:eastAsia="zh-CN"/>
        </w:rPr>
        <w:t>（注意：须</w:t>
      </w:r>
      <w:r>
        <w:rPr>
          <w:rFonts w:hint="eastAsia" w:ascii="宋体" w:hAnsi="宋体"/>
          <w:bCs/>
          <w:color w:val="auto"/>
          <w:szCs w:val="21"/>
          <w:highlight w:val="none"/>
        </w:rPr>
        <w:t>提供</w:t>
      </w:r>
      <w:r>
        <w:rPr>
          <w:rFonts w:hint="eastAsia" w:ascii="宋体" w:hAnsi="宋体" w:cs="Times New Roman"/>
          <w:bCs/>
          <w:color w:val="auto"/>
          <w:kern w:val="2"/>
          <w:szCs w:val="21"/>
          <w:highlight w:val="none"/>
        </w:rPr>
        <w:t>ISO9001</w:t>
      </w:r>
      <w:r>
        <w:rPr>
          <w:rFonts w:hint="eastAsia" w:ascii="宋体" w:hAnsi="宋体"/>
          <w:bCs/>
          <w:color w:val="auto"/>
          <w:szCs w:val="21"/>
          <w:highlight w:val="none"/>
        </w:rPr>
        <w:t>质量管理体系</w:t>
      </w:r>
      <w:r>
        <w:rPr>
          <w:rFonts w:hint="eastAsia" w:ascii="宋体" w:hAnsi="宋体" w:cs="Times New Roman"/>
          <w:bCs/>
          <w:color w:val="auto"/>
          <w:kern w:val="2"/>
          <w:szCs w:val="21"/>
          <w:highlight w:val="none"/>
        </w:rPr>
        <w:t>、</w:t>
      </w:r>
      <w:r>
        <w:rPr>
          <w:rFonts w:hint="eastAsia" w:ascii="宋体" w:hAnsi="宋体"/>
          <w:bCs/>
          <w:color w:val="auto"/>
          <w:szCs w:val="21"/>
          <w:highlight w:val="none"/>
        </w:rPr>
        <w:t>ISO</w:t>
      </w:r>
      <w:r>
        <w:rPr>
          <w:rFonts w:hint="eastAsia" w:ascii="宋体" w:hAnsi="宋体" w:cs="Times New Roman"/>
          <w:bCs/>
          <w:color w:val="auto"/>
          <w:kern w:val="2"/>
          <w:szCs w:val="21"/>
          <w:highlight w:val="none"/>
        </w:rPr>
        <w:t>14001</w:t>
      </w:r>
      <w:r>
        <w:rPr>
          <w:rFonts w:hint="eastAsia" w:ascii="宋体" w:hAnsi="宋体"/>
          <w:bCs/>
          <w:color w:val="auto"/>
          <w:szCs w:val="21"/>
          <w:highlight w:val="none"/>
        </w:rPr>
        <w:t>环境管理体系</w:t>
      </w:r>
      <w:r>
        <w:rPr>
          <w:rFonts w:hint="eastAsia" w:ascii="宋体" w:hAnsi="宋体"/>
          <w:bCs/>
          <w:color w:val="auto"/>
          <w:szCs w:val="21"/>
          <w:highlight w:val="none"/>
          <w:lang w:eastAsia="zh-CN"/>
        </w:rPr>
        <w:t>和</w:t>
      </w:r>
      <w:r>
        <w:rPr>
          <w:rFonts w:hint="eastAsia" w:ascii="宋体" w:hAnsi="宋体"/>
          <w:bCs/>
          <w:color w:val="auto"/>
          <w:sz w:val="21"/>
          <w:szCs w:val="21"/>
          <w:highlight w:val="none"/>
          <w:lang w:val="en-US" w:eastAsia="zh-CN"/>
        </w:rPr>
        <w:t>ISO45001</w:t>
      </w:r>
      <w:r>
        <w:rPr>
          <w:rFonts w:hint="eastAsia" w:ascii="宋体" w:hAnsi="宋体" w:cs="Times New Roman"/>
          <w:bCs/>
          <w:color w:val="auto"/>
          <w:kern w:val="2"/>
          <w:szCs w:val="21"/>
          <w:highlight w:val="none"/>
          <w:lang w:eastAsia="zh-CN"/>
        </w:rPr>
        <w:t>职业健康安全管理体系认证证书</w:t>
      </w:r>
      <w:r>
        <w:rPr>
          <w:rFonts w:hint="eastAsia" w:ascii="宋体" w:hAnsi="宋体"/>
          <w:bCs/>
          <w:color w:val="auto"/>
          <w:szCs w:val="21"/>
          <w:highlight w:val="none"/>
          <w:lang w:eastAsia="zh-CN"/>
        </w:rPr>
        <w:t>扫描</w:t>
      </w:r>
      <w:r>
        <w:rPr>
          <w:rFonts w:hint="eastAsia" w:ascii="宋体" w:hAnsi="宋体"/>
          <w:bCs/>
          <w:color w:val="auto"/>
          <w:szCs w:val="21"/>
          <w:highlight w:val="none"/>
        </w:rPr>
        <w:t>件并</w:t>
      </w:r>
      <w:r>
        <w:rPr>
          <w:rFonts w:hint="eastAsia" w:ascii="宋体" w:hAnsi="宋体"/>
          <w:bCs/>
          <w:color w:val="auto"/>
          <w:kern w:val="2"/>
          <w:szCs w:val="21"/>
          <w:highlight w:val="none"/>
        </w:rPr>
        <w:t>加盖公章</w:t>
      </w:r>
      <w:r>
        <w:rPr>
          <w:rFonts w:hint="eastAsia" w:ascii="宋体" w:hAnsi="宋体"/>
          <w:bCs/>
          <w:color w:val="auto"/>
          <w:kern w:val="2"/>
          <w:szCs w:val="21"/>
          <w:highlight w:val="none"/>
          <w:lang w:eastAsia="zh-CN"/>
        </w:rPr>
        <w:t>）</w:t>
      </w:r>
    </w:p>
    <w:p>
      <w:pPr>
        <w:widowControl/>
        <w:spacing w:line="360" w:lineRule="auto"/>
        <w:ind w:firstLine="421" w:firstLineChars="200"/>
        <w:rPr>
          <w:rFonts w:hint="eastAsia" w:ascii="宋体" w:hAnsi="宋体" w:eastAsia="宋体" w:cs="宋体"/>
          <w:color w:val="auto"/>
          <w:highlight w:val="none"/>
          <w:lang w:val="en-US" w:eastAsia="zh-CN"/>
        </w:rPr>
      </w:pPr>
      <w:r>
        <w:rPr>
          <w:rFonts w:hint="eastAsia" w:ascii="宋体" w:hAnsi="宋体"/>
          <w:b/>
          <w:bCs w:val="0"/>
          <w:color w:val="auto"/>
          <w:kern w:val="2"/>
          <w:szCs w:val="21"/>
          <w:highlight w:val="none"/>
          <w:lang w:val="en-US" w:eastAsia="zh-CN"/>
        </w:rPr>
        <w:t>2.9</w:t>
      </w:r>
      <w:r>
        <w:rPr>
          <w:rFonts w:hint="eastAsia" w:ascii="宋体" w:hAnsi="宋体"/>
          <w:color w:val="auto"/>
          <w:kern w:val="0"/>
          <w:szCs w:val="21"/>
          <w:highlight w:val="none"/>
          <w:lang w:val="en-US" w:eastAsia="zh-CN"/>
        </w:rPr>
        <w:t>投标人应有完善的配供系统、覆盖全国的物流配货能力和及时周到的售后服务保障；须对接南航“服装e选”系统将产品“点对点”配发至员工个人，并对南航“服装e选”知识产权和系统中南航员工的个人信息等隐私保密，否则将承担相应的法律责任。（注意：1、提供投标人与物流公司签署的物流配送协议；2、提供可对接南航“服装e选”系统并将产品“点对点”配发至员工个人的响应材料，格式自拟）</w:t>
      </w:r>
    </w:p>
    <w:p>
      <w:pPr>
        <w:widowControl/>
        <w:spacing w:line="360" w:lineRule="auto"/>
        <w:ind w:firstLine="421" w:firstLineChars="200"/>
        <w:rPr>
          <w:rFonts w:hint="eastAsia" w:ascii="宋体" w:hAnsi="宋体" w:cs="宋体"/>
          <w:b/>
          <w:bCs/>
          <w:color w:val="auto"/>
          <w:highlight w:val="none"/>
        </w:rPr>
      </w:pPr>
      <w:r>
        <w:rPr>
          <w:rFonts w:hint="eastAsia" w:ascii="宋体" w:hAnsi="宋体" w:cs="宋体"/>
          <w:b/>
          <w:bCs/>
          <w:color w:val="auto"/>
          <w:szCs w:val="21"/>
          <w:highlight w:val="none"/>
        </w:rPr>
        <w:t>未通过上述资格要求审查的投标人不具备投标资格，评标委员会有权认定其不具备投标参与资格；</w:t>
      </w:r>
      <w:r>
        <w:rPr>
          <w:rFonts w:hint="eastAsia" w:ascii="宋体" w:hAnsi="宋体"/>
          <w:b/>
          <w:bCs/>
          <w:color w:val="auto"/>
          <w:highlight w:val="none"/>
        </w:rPr>
        <w:t>招标人保留审查投标文件中所提供的所有资料原件的权利</w:t>
      </w:r>
      <w:r>
        <w:rPr>
          <w:rFonts w:hint="eastAsia" w:ascii="宋体" w:hAnsi="宋体"/>
          <w:color w:val="auto"/>
          <w:highlight w:val="none"/>
        </w:rPr>
        <w:t>，</w:t>
      </w:r>
      <w:r>
        <w:rPr>
          <w:rFonts w:hint="eastAsia" w:ascii="宋体" w:hAnsi="宋体" w:cs="宋体"/>
          <w:b/>
          <w:bCs/>
          <w:color w:val="auto"/>
          <w:szCs w:val="21"/>
          <w:highlight w:val="none"/>
        </w:rPr>
        <w:t>任何时候发现投标人提交的相关文件</w:t>
      </w:r>
      <w:bookmarkStart w:id="61" w:name="OLE_LINK3"/>
      <w:r>
        <w:rPr>
          <w:rFonts w:hint="eastAsia" w:ascii="宋体" w:hAnsi="宋体" w:cs="宋体"/>
          <w:b/>
          <w:bCs/>
          <w:color w:val="auto"/>
          <w:szCs w:val="21"/>
          <w:highlight w:val="none"/>
        </w:rPr>
        <w:t>、证明材料或承诺系伪造、变造或捏造的，将取消其中标资格并列入南航集团限制交易供应商名单——视为其已主动放弃自本次投标之日起</w:t>
      </w:r>
      <w:bookmarkStart w:id="62" w:name="OLE_LINK1"/>
      <w:r>
        <w:rPr>
          <w:rFonts w:hint="eastAsia" w:ascii="宋体" w:hAnsi="宋体" w:cs="宋体"/>
          <w:b/>
          <w:bCs/>
          <w:color w:val="auto"/>
          <w:szCs w:val="21"/>
          <w:highlight w:val="none"/>
        </w:rPr>
        <w:t>3年内参加南航</w:t>
      </w:r>
      <w:bookmarkStart w:id="63" w:name="OLE_LINK2"/>
      <w:r>
        <w:rPr>
          <w:rFonts w:hint="eastAsia" w:ascii="宋体" w:hAnsi="宋体" w:cs="宋体"/>
          <w:b/>
          <w:bCs/>
          <w:color w:val="auto"/>
          <w:szCs w:val="21"/>
          <w:highlight w:val="none"/>
        </w:rPr>
        <w:t>集团任何采购方式下任何</w:t>
      </w:r>
      <w:bookmarkEnd w:id="63"/>
      <w:r>
        <w:rPr>
          <w:rFonts w:hint="eastAsia" w:ascii="宋体" w:hAnsi="宋体" w:cs="宋体"/>
          <w:b/>
          <w:bCs/>
          <w:color w:val="auto"/>
          <w:szCs w:val="21"/>
          <w:highlight w:val="none"/>
        </w:rPr>
        <w:t>项目的采购活动。</w:t>
      </w:r>
      <w:bookmarkEnd w:id="61"/>
      <w:bookmarkEnd w:id="62"/>
    </w:p>
    <w:p>
      <w:pPr>
        <w:pStyle w:val="4"/>
        <w:spacing w:line="360" w:lineRule="auto"/>
        <w:ind w:left="0"/>
        <w:rPr>
          <w:rFonts w:hint="eastAsia" w:ascii="宋体" w:hAnsi="宋体" w:cs="宋体"/>
          <w:b/>
          <w:color w:val="auto"/>
          <w:highlight w:val="none"/>
        </w:rPr>
      </w:pPr>
      <w:bookmarkStart w:id="64" w:name="_Toc27500"/>
      <w:bookmarkStart w:id="65" w:name="_Toc891705249"/>
      <w:bookmarkStart w:id="66" w:name="_Toc18763"/>
      <w:bookmarkStart w:id="67" w:name="_Toc398810556"/>
      <w:bookmarkStart w:id="68" w:name="_Toc34645991"/>
      <w:bookmarkStart w:id="69" w:name="_Toc658011127"/>
      <w:bookmarkStart w:id="70" w:name="_Toc17891"/>
      <w:bookmarkStart w:id="71" w:name="_Toc13612"/>
      <w:bookmarkStart w:id="72" w:name="_Toc6435"/>
      <w:bookmarkStart w:id="73" w:name="_Toc6061"/>
      <w:bookmarkStart w:id="74" w:name="_Toc504657603"/>
      <w:bookmarkStart w:id="75" w:name="_Toc25017"/>
      <w:bookmarkStart w:id="76" w:name="_Toc4727"/>
      <w:bookmarkStart w:id="77" w:name="_Toc13531"/>
      <w:r>
        <w:rPr>
          <w:rFonts w:hint="eastAsia" w:ascii="宋体" w:hAnsi="宋体" w:cs="宋体"/>
          <w:b/>
          <w:color w:val="auto"/>
          <w:highlight w:val="none"/>
        </w:rPr>
        <w:t>3、招标文件的获取</w:t>
      </w:r>
      <w:bookmarkEnd w:id="64"/>
      <w:bookmarkEnd w:id="65"/>
      <w:bookmarkEnd w:id="66"/>
      <w:bookmarkEnd w:id="67"/>
      <w:bookmarkEnd w:id="68"/>
      <w:bookmarkEnd w:id="69"/>
      <w:bookmarkEnd w:id="70"/>
      <w:bookmarkEnd w:id="71"/>
      <w:bookmarkEnd w:id="72"/>
      <w:bookmarkEnd w:id="73"/>
      <w:bookmarkEnd w:id="74"/>
      <w:bookmarkEnd w:id="75"/>
      <w:bookmarkEnd w:id="76"/>
      <w:bookmarkEnd w:id="77"/>
    </w:p>
    <w:p>
      <w:pPr>
        <w:tabs>
          <w:tab w:val="left" w:pos="3700"/>
        </w:tabs>
        <w:spacing w:line="360" w:lineRule="auto"/>
        <w:ind w:firstLine="421" w:firstLineChars="200"/>
        <w:rPr>
          <w:rFonts w:hint="eastAsia" w:ascii="宋体" w:hAnsi="宋体" w:cs="宋体"/>
          <w:b/>
          <w:bCs/>
          <w:color w:val="auto"/>
          <w:szCs w:val="21"/>
          <w:highlight w:val="none"/>
        </w:rPr>
      </w:pPr>
      <w:r>
        <w:rPr>
          <w:rFonts w:hint="eastAsia" w:ascii="宋体" w:hAnsi="宋体" w:cs="宋体"/>
          <w:b/>
          <w:color w:val="auto"/>
          <w:szCs w:val="21"/>
          <w:highlight w:val="none"/>
        </w:rPr>
        <w:t>3.1</w:t>
      </w:r>
      <w:r>
        <w:rPr>
          <w:rFonts w:hint="eastAsia" w:ascii="宋体" w:hAnsi="宋体" w:cs="宋体"/>
          <w:color w:val="auto"/>
          <w:szCs w:val="21"/>
          <w:highlight w:val="none"/>
        </w:rPr>
        <w:t xml:space="preserve"> 获取招标文件时间：</w:t>
      </w:r>
      <w:r>
        <w:rPr>
          <w:rFonts w:hint="eastAsia" w:ascii="宋体" w:hAnsi="宋体" w:cs="宋体"/>
          <w:color w:val="auto"/>
          <w:highlight w:val="none"/>
        </w:rPr>
        <w:t>【】</w:t>
      </w:r>
      <w:r>
        <w:rPr>
          <w:rFonts w:hint="eastAsia" w:ascii="宋体" w:hAnsi="宋体" w:cs="宋体"/>
          <w:color w:val="auto"/>
          <w:szCs w:val="21"/>
          <w:highlight w:val="none"/>
        </w:rPr>
        <w:t>年</w:t>
      </w:r>
      <w:r>
        <w:rPr>
          <w:rFonts w:hint="eastAsia" w:ascii="宋体" w:hAnsi="宋体" w:cs="宋体"/>
          <w:color w:val="auto"/>
          <w:highlight w:val="none"/>
        </w:rPr>
        <w:t>【】</w:t>
      </w:r>
      <w:r>
        <w:rPr>
          <w:rFonts w:hint="eastAsia" w:ascii="宋体" w:hAnsi="宋体" w:cs="宋体"/>
          <w:color w:val="auto"/>
          <w:szCs w:val="21"/>
          <w:highlight w:val="none"/>
        </w:rPr>
        <w:t>月</w:t>
      </w:r>
      <w:r>
        <w:rPr>
          <w:rFonts w:hint="eastAsia" w:ascii="宋体" w:hAnsi="宋体" w:cs="宋体"/>
          <w:color w:val="auto"/>
          <w:highlight w:val="none"/>
        </w:rPr>
        <w:t>【】</w:t>
      </w:r>
      <w:r>
        <w:rPr>
          <w:rFonts w:hint="eastAsia" w:ascii="宋体" w:hAnsi="宋体" w:cs="宋体"/>
          <w:color w:val="auto"/>
          <w:szCs w:val="21"/>
          <w:highlight w:val="none"/>
        </w:rPr>
        <w:t>日至</w:t>
      </w:r>
      <w:r>
        <w:rPr>
          <w:rFonts w:hint="eastAsia" w:ascii="宋体" w:hAnsi="宋体" w:cs="宋体"/>
          <w:color w:val="auto"/>
          <w:highlight w:val="none"/>
        </w:rPr>
        <w:t>【】</w:t>
      </w:r>
      <w:r>
        <w:rPr>
          <w:rFonts w:hint="eastAsia" w:ascii="宋体" w:hAnsi="宋体" w:cs="宋体"/>
          <w:color w:val="auto"/>
          <w:szCs w:val="21"/>
          <w:highlight w:val="none"/>
        </w:rPr>
        <w:t>年</w:t>
      </w:r>
      <w:r>
        <w:rPr>
          <w:rFonts w:hint="eastAsia" w:ascii="宋体" w:hAnsi="宋体" w:cs="宋体"/>
          <w:color w:val="auto"/>
          <w:highlight w:val="none"/>
        </w:rPr>
        <w:t>【】</w:t>
      </w:r>
      <w:r>
        <w:rPr>
          <w:rFonts w:hint="eastAsia" w:ascii="宋体" w:hAnsi="宋体" w:cs="宋体"/>
          <w:color w:val="auto"/>
          <w:szCs w:val="21"/>
          <w:highlight w:val="none"/>
        </w:rPr>
        <w:t>月</w:t>
      </w:r>
      <w:r>
        <w:rPr>
          <w:rFonts w:hint="eastAsia" w:ascii="宋体" w:hAnsi="宋体" w:cs="宋体"/>
          <w:color w:val="auto"/>
          <w:highlight w:val="none"/>
        </w:rPr>
        <w:t>【】</w:t>
      </w:r>
      <w:r>
        <w:rPr>
          <w:rFonts w:hint="eastAsia" w:ascii="宋体" w:hAnsi="宋体" w:cs="宋体"/>
          <w:color w:val="auto"/>
          <w:szCs w:val="21"/>
          <w:highlight w:val="none"/>
        </w:rPr>
        <w:t>日；请务必在此期间登陆“中国南方航空采购招标网”，选择招标项目下载招标文件；否则将无法投标。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3.2</w:t>
      </w:r>
      <w:r>
        <w:rPr>
          <w:rFonts w:hint="eastAsia" w:ascii="宋体" w:hAnsi="宋体" w:cs="宋体"/>
          <w:color w:val="auto"/>
          <w:szCs w:val="21"/>
          <w:highlight w:val="none"/>
        </w:rPr>
        <w:t xml:space="preserve"> 招标文件获取途径：</w:t>
      </w:r>
    </w:p>
    <w:p>
      <w:pPr>
        <w:widowControl/>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详见https://csbidding.csair.com/cms/channel/czzngys/96540.htm</w:t>
      </w:r>
    </w:p>
    <w:p>
      <w:pPr>
        <w:pStyle w:val="4"/>
        <w:spacing w:line="360" w:lineRule="auto"/>
        <w:ind w:left="0"/>
        <w:rPr>
          <w:rFonts w:hint="eastAsia" w:ascii="宋体" w:hAnsi="宋体" w:cs="宋体"/>
          <w:b/>
          <w:bCs/>
          <w:color w:val="auto"/>
          <w:highlight w:val="none"/>
        </w:rPr>
      </w:pPr>
      <w:bookmarkStart w:id="78" w:name="_Toc24844"/>
      <w:bookmarkStart w:id="79" w:name="_Toc9309"/>
      <w:bookmarkStart w:id="80" w:name="_Toc1347539135"/>
      <w:bookmarkStart w:id="81" w:name="_Toc6117"/>
      <w:bookmarkStart w:id="82" w:name="_Toc1176133009"/>
      <w:bookmarkStart w:id="83" w:name="_Toc4027"/>
      <w:bookmarkStart w:id="84" w:name="_Toc535"/>
      <w:bookmarkStart w:id="85" w:name="_Toc16944"/>
      <w:bookmarkStart w:id="86" w:name="_Toc34645992"/>
      <w:bookmarkStart w:id="87" w:name="_Toc932696570"/>
      <w:bookmarkStart w:id="88" w:name="_Toc27387"/>
      <w:bookmarkStart w:id="89" w:name="_Toc7185"/>
      <w:bookmarkStart w:id="90" w:name="_Toc30341"/>
      <w:r>
        <w:rPr>
          <w:rFonts w:hint="eastAsia" w:ascii="宋体" w:hAnsi="宋体" w:cs="宋体"/>
          <w:b/>
          <w:bCs/>
          <w:color w:val="auto"/>
          <w:highlight w:val="none"/>
        </w:rPr>
        <w:t>4、CA证书办理及绑定</w:t>
      </w:r>
      <w:bookmarkEnd w:id="78"/>
      <w:bookmarkEnd w:id="79"/>
      <w:bookmarkEnd w:id="80"/>
      <w:bookmarkEnd w:id="81"/>
      <w:bookmarkEnd w:id="82"/>
      <w:bookmarkEnd w:id="83"/>
      <w:bookmarkEnd w:id="84"/>
      <w:bookmarkEnd w:id="85"/>
      <w:bookmarkEnd w:id="86"/>
      <w:bookmarkEnd w:id="87"/>
      <w:bookmarkEnd w:id="88"/>
      <w:bookmarkEnd w:id="89"/>
      <w:bookmarkEnd w:id="90"/>
    </w:p>
    <w:p>
      <w:pPr>
        <w:widowControl/>
        <w:spacing w:line="360" w:lineRule="auto"/>
        <w:ind w:firstLine="421" w:firstLineChars="200"/>
        <w:rPr>
          <w:rFonts w:hint="eastAsia" w:ascii="宋体" w:hAnsi="宋体" w:cs="宋体"/>
          <w:bCs/>
          <w:color w:val="auto"/>
          <w:szCs w:val="21"/>
          <w:highlight w:val="none"/>
        </w:rPr>
      </w:pPr>
      <w:bookmarkStart w:id="91" w:name="_Toc504657604"/>
      <w:r>
        <w:rPr>
          <w:rFonts w:hint="eastAsia" w:ascii="宋体" w:hAnsi="宋体" w:cs="宋体"/>
          <w:b/>
          <w:color w:val="auto"/>
          <w:szCs w:val="21"/>
          <w:highlight w:val="none"/>
        </w:rPr>
        <w:t xml:space="preserve">4.1 </w:t>
      </w:r>
      <w:r>
        <w:rPr>
          <w:rFonts w:hint="eastAsia" w:ascii="宋体" w:hAnsi="宋体" w:cs="宋体"/>
          <w:bCs/>
          <w:color w:val="auto"/>
          <w:szCs w:val="21"/>
          <w:highlight w:val="none"/>
        </w:rPr>
        <w:t>CA证书的作用：CA证书用于确保电子招投标过程文件合法性及投标文件保密性。没有办理CA证书，无法加解密投标文件、无法签章，无法参加网上开标等，因此下载文件时请及时办理CA证书。</w:t>
      </w:r>
    </w:p>
    <w:p>
      <w:pPr>
        <w:widowControl/>
        <w:spacing w:line="360" w:lineRule="auto"/>
        <w:ind w:firstLine="421" w:firstLineChars="200"/>
        <w:rPr>
          <w:rFonts w:hint="eastAsia" w:ascii="宋体" w:hAnsi="宋体" w:cs="宋体"/>
          <w:bCs/>
          <w:color w:val="auto"/>
          <w:szCs w:val="21"/>
          <w:highlight w:val="none"/>
        </w:rPr>
      </w:pPr>
      <w:r>
        <w:rPr>
          <w:rFonts w:hint="eastAsia" w:ascii="宋体" w:hAnsi="宋体" w:cs="宋体"/>
          <w:b/>
          <w:color w:val="auto"/>
          <w:szCs w:val="21"/>
          <w:highlight w:val="none"/>
        </w:rPr>
        <w:t xml:space="preserve">4.2 </w:t>
      </w:r>
      <w:r>
        <w:rPr>
          <w:rFonts w:hint="eastAsia" w:ascii="宋体" w:hAnsi="宋体" w:cs="宋体"/>
          <w:bCs/>
          <w:color w:val="auto"/>
          <w:szCs w:val="21"/>
          <w:highlight w:val="none"/>
        </w:rPr>
        <w:t>CA证书颁发机构：南航采购平台由广东省电子商务认证有限公司（工信部认证的CA机构之一）颁发数字证书，CA办理及硬件出现的任何问题，请直接联系广东省电子商务认证有限公司：</w:t>
      </w:r>
    </w:p>
    <w:p>
      <w:pPr>
        <w:pStyle w:val="25"/>
        <w:widowControl/>
        <w:spacing w:line="360" w:lineRule="auto"/>
        <w:ind w:firstLine="567"/>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广东省电子商务认证有限公司服务网点：</w:t>
      </w:r>
    </w:p>
    <w:p>
      <w:pPr>
        <w:pStyle w:val="25"/>
        <w:widowControl/>
        <w:spacing w:line="360" w:lineRule="auto"/>
        <w:ind w:firstLine="567"/>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地址：广州市越秀区青龙坊38号首层101房</w:t>
      </w:r>
    </w:p>
    <w:p>
      <w:pPr>
        <w:pStyle w:val="25"/>
        <w:widowControl/>
        <w:spacing w:line="360" w:lineRule="auto"/>
        <w:ind w:firstLine="567"/>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办公时间：上午 9:00－12:00；下午 14:00－17:00</w:t>
      </w:r>
    </w:p>
    <w:p>
      <w:pPr>
        <w:pStyle w:val="25"/>
        <w:widowControl/>
        <w:spacing w:line="360" w:lineRule="auto"/>
        <w:ind w:firstLine="567"/>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星期一至星期五（法定公众节假日除外），</w:t>
      </w:r>
    </w:p>
    <w:p>
      <w:pPr>
        <w:pStyle w:val="25"/>
        <w:widowControl/>
        <w:spacing w:line="360" w:lineRule="auto"/>
        <w:ind w:firstLine="567"/>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客服电话：4008301330</w:t>
      </w:r>
    </w:p>
    <w:p>
      <w:pPr>
        <w:pStyle w:val="25"/>
        <w:widowControl/>
        <w:spacing w:line="360" w:lineRule="auto"/>
        <w:ind w:firstLine="567"/>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客服QQ号：4008301330</w:t>
      </w:r>
    </w:p>
    <w:p>
      <w:pPr>
        <w:pStyle w:val="25"/>
        <w:widowControl/>
        <w:spacing w:line="360" w:lineRule="auto"/>
        <w:ind w:firstLine="567"/>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网站：</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HYPERLINK "http://www.cnca.net/cn/index.htm" </w:instrText>
      </w:r>
      <w:r>
        <w:rPr>
          <w:rFonts w:hint="eastAsia" w:ascii="宋体" w:hAnsi="宋体" w:cs="宋体"/>
          <w:color w:val="auto"/>
          <w:sz w:val="21"/>
          <w:szCs w:val="21"/>
          <w:highlight w:val="none"/>
        </w:rPr>
        <w:fldChar w:fldCharType="separate"/>
      </w:r>
      <w:r>
        <w:rPr>
          <w:rStyle w:val="31"/>
          <w:rFonts w:hint="eastAsia" w:ascii="宋体" w:hAnsi="宋体" w:cs="宋体"/>
          <w:color w:val="auto"/>
          <w:sz w:val="21"/>
          <w:szCs w:val="21"/>
          <w:highlight w:val="none"/>
          <w:u w:val="none"/>
        </w:rPr>
        <w:t>http://www.cnca.net/cn/index.htm</w:t>
      </w:r>
      <w:r>
        <w:rPr>
          <w:rFonts w:hint="eastAsia" w:ascii="宋体" w:hAnsi="宋体" w:cs="宋体"/>
          <w:color w:val="auto"/>
          <w:sz w:val="21"/>
          <w:szCs w:val="21"/>
          <w:highlight w:val="none"/>
        </w:rPr>
        <w:fldChar w:fldCharType="end"/>
      </w:r>
    </w:p>
    <w:p>
      <w:pPr>
        <w:pStyle w:val="25"/>
        <w:widowControl/>
        <w:spacing w:line="360" w:lineRule="auto"/>
        <w:ind w:firstLine="421" w:firstLineChars="200"/>
        <w:jc w:val="both"/>
        <w:rPr>
          <w:rFonts w:hint="eastAsia" w:ascii="宋体" w:hAnsi="宋体" w:cs="宋体"/>
          <w:color w:val="auto"/>
          <w:sz w:val="21"/>
          <w:szCs w:val="21"/>
          <w:highlight w:val="none"/>
        </w:rPr>
      </w:pPr>
      <w:r>
        <w:rPr>
          <w:rFonts w:hint="eastAsia" w:ascii="宋体" w:hAnsi="宋体" w:cs="宋体"/>
          <w:b/>
          <w:color w:val="auto"/>
          <w:sz w:val="21"/>
          <w:szCs w:val="21"/>
          <w:highlight w:val="none"/>
          <w:lang w:bidi="ar"/>
        </w:rPr>
        <w:t>4.3 CA的办理方式：</w:t>
      </w:r>
    </w:p>
    <w:p>
      <w:pPr>
        <w:widowControl/>
        <w:spacing w:line="360" w:lineRule="auto"/>
        <w:ind w:firstLine="421" w:firstLineChars="200"/>
        <w:rPr>
          <w:rFonts w:hint="eastAsia" w:ascii="宋体" w:hAnsi="宋体" w:cs="宋体"/>
          <w:bCs/>
          <w:color w:val="auto"/>
          <w:szCs w:val="21"/>
          <w:highlight w:val="none"/>
        </w:rPr>
      </w:pPr>
      <w:r>
        <w:rPr>
          <w:rFonts w:hint="eastAsia" w:ascii="宋体" w:hAnsi="宋体" w:cs="宋体"/>
          <w:b/>
          <w:color w:val="auto"/>
          <w:szCs w:val="21"/>
          <w:highlight w:val="none"/>
        </w:rPr>
        <w:t>方式一、现场办理</w:t>
      </w:r>
      <w:r>
        <w:rPr>
          <w:rFonts w:hint="eastAsia" w:ascii="宋体" w:hAnsi="宋体" w:cs="宋体"/>
          <w:bCs/>
          <w:color w:val="auto"/>
          <w:szCs w:val="21"/>
          <w:highlight w:val="none"/>
        </w:rPr>
        <w:t>（办理时间短，但需到营业厅现场办理）：携带办证资料，当天营业厅排队拿号，资料审核通过后，可现场办好。办理指南详见“中国南方航空采购招标网”：“CA数字证书办理指南-线下营业厅现场办理指南”；</w:t>
      </w:r>
    </w:p>
    <w:p>
      <w:pPr>
        <w:widowControl/>
        <w:spacing w:line="360" w:lineRule="auto"/>
        <w:ind w:firstLine="421" w:firstLineChars="200"/>
        <w:rPr>
          <w:rFonts w:hint="eastAsia" w:ascii="宋体" w:hAnsi="宋体" w:cs="宋体"/>
          <w:bCs/>
          <w:color w:val="auto"/>
          <w:szCs w:val="21"/>
          <w:highlight w:val="none"/>
        </w:rPr>
      </w:pPr>
      <w:r>
        <w:rPr>
          <w:rFonts w:hint="eastAsia" w:ascii="宋体" w:hAnsi="宋体" w:cs="宋体"/>
          <w:b/>
          <w:color w:val="auto"/>
          <w:szCs w:val="21"/>
          <w:highlight w:val="none"/>
        </w:rPr>
        <w:t>方式二、网上办理</w:t>
      </w:r>
      <w:r>
        <w:rPr>
          <w:rFonts w:hint="eastAsia" w:ascii="宋体" w:hAnsi="宋体" w:cs="宋体"/>
          <w:bCs/>
          <w:color w:val="auto"/>
          <w:szCs w:val="21"/>
          <w:highlight w:val="none"/>
        </w:rPr>
        <w:t>（办理时间长，无需现场办理，网上可完成办证）：网上提交资料后，快递资料到网证通。网证通收到快递后5个工作日办好寄出（不包括快递时间）。办理指南详见“中国南方航空采购招标网”：“CA数字证书办理指南-线上远程办理指南”；</w:t>
      </w:r>
    </w:p>
    <w:p>
      <w:pPr>
        <w:widowControl/>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CA办理指南：详见“中国南方航空采购招标网”，（或登录进入平台系统后，在右上方“常用文件”栏目内可下载“CA数字证书办理指南”）。</w:t>
      </w:r>
    </w:p>
    <w:p>
      <w:pPr>
        <w:widowControl/>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办理CA证书需要时间，特别是“网上办理”（请预留办证及快递时间），请一定及早办理，建议提前在项目开展前办理，避免发生无法投标的情形。</w:t>
      </w:r>
    </w:p>
    <w:p>
      <w:pPr>
        <w:pStyle w:val="25"/>
        <w:widowControl/>
        <w:spacing w:line="360" w:lineRule="auto"/>
        <w:ind w:firstLine="421" w:firstLineChars="200"/>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4.4 CA驱动下载：</w:t>
      </w:r>
    </w:p>
    <w:p>
      <w:pPr>
        <w:widowControl/>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CA办理获取后，请进入南航采购平台电子招标投标系统，在“常用文件”或“下载中心”栏目内下载安装CA驱动程序。</w:t>
      </w:r>
    </w:p>
    <w:p>
      <w:pPr>
        <w:pStyle w:val="25"/>
        <w:widowControl/>
        <w:spacing w:line="360" w:lineRule="auto"/>
        <w:ind w:firstLine="421" w:firstLineChars="200"/>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4.5 CA证书的绑定：</w:t>
      </w:r>
    </w:p>
    <w:p>
      <w:pPr>
        <w:widowControl/>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在完成广东省电子商务认证有限公司CA证书办理及CA驱动安装后，请登录南航采购平台系统，插入CA介质，点击左侧快捷菜单“系统管理”-“绑定CA证书”，完成CA证书绑定工作。成功后，可使用CA密码登录、加密、解密投标文件、电子签章等。</w:t>
      </w:r>
    </w:p>
    <w:p>
      <w:pPr>
        <w:pStyle w:val="4"/>
        <w:spacing w:line="360" w:lineRule="auto"/>
        <w:ind w:left="0"/>
        <w:rPr>
          <w:rFonts w:hint="eastAsia" w:ascii="宋体" w:hAnsi="宋体" w:cs="宋体"/>
          <w:b/>
          <w:color w:val="auto"/>
          <w:highlight w:val="none"/>
        </w:rPr>
      </w:pPr>
      <w:bookmarkStart w:id="92" w:name="_Toc22935"/>
      <w:bookmarkStart w:id="93" w:name="_Toc15894"/>
      <w:bookmarkStart w:id="94" w:name="_Toc30998"/>
      <w:bookmarkStart w:id="95" w:name="_Toc3493"/>
      <w:bookmarkStart w:id="96" w:name="_Toc32408"/>
      <w:bookmarkStart w:id="97" w:name="_Toc879273278"/>
      <w:bookmarkStart w:id="98" w:name="_Toc19727"/>
      <w:bookmarkStart w:id="99" w:name="_Toc7075"/>
      <w:bookmarkStart w:id="100" w:name="_Toc1828197854"/>
      <w:bookmarkStart w:id="101" w:name="_Toc1767259475"/>
      <w:bookmarkStart w:id="102" w:name="_Toc25162"/>
      <w:bookmarkStart w:id="103" w:name="_Toc34645993"/>
      <w:bookmarkStart w:id="104" w:name="_Toc28039"/>
      <w:r>
        <w:rPr>
          <w:rFonts w:hint="eastAsia" w:ascii="宋体" w:hAnsi="宋体" w:cs="宋体"/>
          <w:b/>
          <w:color w:val="auto"/>
          <w:highlight w:val="none"/>
        </w:rPr>
        <w:t>5、投标文件的递交</w:t>
      </w:r>
      <w:bookmarkEnd w:id="91"/>
      <w:bookmarkEnd w:id="92"/>
      <w:bookmarkEnd w:id="93"/>
      <w:bookmarkEnd w:id="94"/>
      <w:bookmarkEnd w:id="95"/>
      <w:bookmarkEnd w:id="96"/>
      <w:r>
        <w:rPr>
          <w:rFonts w:hint="eastAsia" w:ascii="宋体" w:hAnsi="宋体" w:cs="宋体"/>
          <w:b/>
          <w:color w:val="auto"/>
          <w:highlight w:val="none"/>
        </w:rPr>
        <w:t>及解密</w:t>
      </w:r>
      <w:bookmarkEnd w:id="97"/>
      <w:bookmarkEnd w:id="98"/>
      <w:bookmarkEnd w:id="99"/>
      <w:bookmarkEnd w:id="100"/>
      <w:bookmarkEnd w:id="101"/>
      <w:bookmarkEnd w:id="102"/>
      <w:bookmarkEnd w:id="103"/>
      <w:bookmarkEnd w:id="104"/>
    </w:p>
    <w:p>
      <w:pPr>
        <w:widowControl/>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5.1</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投标文件递交的截止时间（投标截止时间）为【】年【】月【】日【】时【】分</w:t>
      </w:r>
      <w:r>
        <w:rPr>
          <w:rFonts w:hint="eastAsia" w:ascii="宋体" w:hAnsi="宋体" w:cs="宋体"/>
          <w:color w:val="auto"/>
          <w:szCs w:val="21"/>
          <w:highlight w:val="none"/>
        </w:rPr>
        <w:t>，投标人应在截止时间前通过</w:t>
      </w:r>
      <w:r>
        <w:rPr>
          <w:rFonts w:hint="eastAsia" w:ascii="宋体" w:hAnsi="宋体" w:cs="宋体"/>
          <w:b/>
          <w:bCs/>
          <w:color w:val="auto"/>
          <w:szCs w:val="21"/>
          <w:highlight w:val="none"/>
        </w:rPr>
        <w:t>电子招标投标交易平台</w:t>
      </w:r>
      <w:r>
        <w:rPr>
          <w:rFonts w:hint="eastAsia" w:ascii="宋体" w:hAnsi="宋体" w:cs="宋体"/>
          <w:color w:val="auto"/>
          <w:szCs w:val="21"/>
          <w:highlight w:val="none"/>
        </w:rPr>
        <w:t>递交电子投标文件。</w:t>
      </w:r>
    </w:p>
    <w:p>
      <w:pPr>
        <w:widowControl/>
        <w:tabs>
          <w:tab w:val="right" w:pos="9360"/>
        </w:tabs>
        <w:spacing w:line="360" w:lineRule="auto"/>
        <w:ind w:firstLine="411" w:firstLineChars="195"/>
        <w:rPr>
          <w:rFonts w:hint="eastAsia" w:ascii="宋体" w:hAnsi="宋体" w:cs="宋体"/>
          <w:color w:val="auto"/>
          <w:highlight w:val="none"/>
        </w:rPr>
      </w:pPr>
      <w:r>
        <w:rPr>
          <w:rFonts w:hint="eastAsia" w:ascii="宋体" w:hAnsi="宋体" w:cs="宋体"/>
          <w:b/>
          <w:color w:val="auto"/>
          <w:szCs w:val="21"/>
          <w:highlight w:val="none"/>
        </w:rPr>
        <w:t>5.2</w:t>
      </w:r>
      <w:r>
        <w:rPr>
          <w:rFonts w:hint="eastAsia" w:ascii="宋体" w:hAnsi="宋体" w:cs="宋体"/>
          <w:color w:val="auto"/>
          <w:szCs w:val="21"/>
          <w:highlight w:val="none"/>
        </w:rPr>
        <w:t xml:space="preserve"> </w:t>
      </w:r>
      <w:r>
        <w:rPr>
          <w:rFonts w:hint="eastAsia" w:ascii="宋体" w:hAnsi="宋体" w:cs="宋体"/>
          <w:color w:val="auto"/>
          <w:highlight w:val="none"/>
        </w:rPr>
        <w:t>逾期在电子招标投标交易平台上传的投标文件，无论上传成功与否，电子招标投标交易平台均将无条件拒收。</w:t>
      </w:r>
    </w:p>
    <w:p>
      <w:pPr>
        <w:widowControl/>
        <w:tabs>
          <w:tab w:val="right" w:pos="9360"/>
        </w:tabs>
        <w:spacing w:line="360" w:lineRule="auto"/>
        <w:ind w:firstLine="409" w:firstLineChars="195"/>
        <w:rPr>
          <w:rFonts w:hint="eastAsia" w:ascii="宋体" w:hAnsi="宋体" w:cs="宋体"/>
          <w:color w:val="auto"/>
          <w:highlight w:val="none"/>
        </w:rPr>
      </w:pPr>
      <w:r>
        <w:rPr>
          <w:rFonts w:hint="eastAsia" w:ascii="宋体" w:hAnsi="宋体" w:cs="宋体"/>
          <w:color w:val="auto"/>
          <w:highlight w:val="none"/>
        </w:rPr>
        <w:t>投标文件递交异常处理：投标人的电子投标文件出现递交异常时，招标人/招标代理机构与系统支撑团队确认，若为系统故障原因造成的，则应推迟该项目的投标截止时间（具体时间另行通知）直至该投标人完成电子投标文件递交；若非系统故障原因造成的，由该投标人自行承担相应责任。</w:t>
      </w:r>
    </w:p>
    <w:p>
      <w:pPr>
        <w:widowControl/>
        <w:tabs>
          <w:tab w:val="right" w:pos="9360"/>
        </w:tabs>
        <w:spacing w:line="360" w:lineRule="auto"/>
        <w:ind w:firstLine="409" w:firstLineChars="195"/>
        <w:rPr>
          <w:rFonts w:hint="eastAsia" w:ascii="宋体" w:hAnsi="宋体" w:cs="宋体"/>
          <w:color w:val="auto"/>
          <w:highlight w:val="none"/>
        </w:rPr>
      </w:pPr>
      <w:r>
        <w:rPr>
          <w:rFonts w:hint="eastAsia" w:ascii="宋体" w:hAnsi="宋体" w:cs="宋体"/>
          <w:color w:val="auto"/>
          <w:highlight w:val="none"/>
        </w:rPr>
        <w:t>投标文件解密异常处理：当所有投标人电子投标文件开标解密异常时，则推迟开标，直至投标文件可正常解密。当个别供应商电子投标文件开标解密异常时，经系统确认非系统原因造成的，由投标人自行承担相应责任。</w:t>
      </w:r>
    </w:p>
    <w:p>
      <w:pPr>
        <w:pStyle w:val="4"/>
        <w:spacing w:line="360" w:lineRule="auto"/>
        <w:ind w:left="0"/>
        <w:rPr>
          <w:rFonts w:hint="eastAsia" w:ascii="宋体" w:hAnsi="宋体" w:cs="宋体"/>
          <w:b/>
          <w:color w:val="auto"/>
          <w:highlight w:val="none"/>
        </w:rPr>
      </w:pPr>
      <w:bookmarkStart w:id="105" w:name="_Toc7552"/>
      <w:bookmarkStart w:id="106" w:name="_Toc6879"/>
      <w:bookmarkStart w:id="107" w:name="_Toc5630"/>
      <w:bookmarkStart w:id="108" w:name="_Toc10494"/>
      <w:bookmarkStart w:id="109" w:name="_Toc1226810101"/>
      <w:bookmarkStart w:id="110" w:name="_Toc18915"/>
      <w:bookmarkStart w:id="111" w:name="_Toc504657605"/>
      <w:bookmarkStart w:id="112" w:name="_Toc96529582"/>
      <w:bookmarkStart w:id="113" w:name="_Toc34645994"/>
      <w:bookmarkStart w:id="114" w:name="_Toc26741"/>
      <w:bookmarkStart w:id="115" w:name="_Toc395612437"/>
      <w:bookmarkStart w:id="116" w:name="_Toc19633"/>
      <w:bookmarkStart w:id="117" w:name="_Toc1186"/>
      <w:bookmarkStart w:id="118" w:name="_Toc5757"/>
      <w:r>
        <w:rPr>
          <w:rFonts w:hint="eastAsia" w:ascii="宋体" w:hAnsi="宋体" w:cs="宋体"/>
          <w:b/>
          <w:color w:val="auto"/>
          <w:highlight w:val="none"/>
        </w:rPr>
        <w:t>6、发布公告及结果的媒介</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widowControl/>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rPr>
        <w:t>6.1</w:t>
      </w:r>
      <w:r>
        <w:rPr>
          <w:rFonts w:hint="eastAsia" w:ascii="宋体" w:hAnsi="宋体" w:cs="宋体"/>
          <w:color w:val="auto"/>
          <w:szCs w:val="21"/>
          <w:highlight w:val="none"/>
        </w:rPr>
        <w:t>本项目招标公告信息（含首次及重新招标）在中国南方航空采购招标网（http://www.csbidding.</w:t>
      </w:r>
      <w:r>
        <w:rPr>
          <w:rFonts w:hint="eastAsia" w:ascii="宋体" w:hAnsi="宋体" w:cs="宋体"/>
          <w:szCs w:val="21"/>
        </w:rPr>
        <w:t>csair</w:t>
      </w:r>
      <w:r>
        <w:rPr>
          <w:rFonts w:hint="eastAsia" w:ascii="宋体" w:hAnsi="宋体" w:cs="宋体"/>
          <w:szCs w:val="21"/>
          <w:lang w:val="en-US" w:eastAsia="zh-CN"/>
        </w:rPr>
        <w:t>.</w:t>
      </w:r>
      <w:r>
        <w:rPr>
          <w:rFonts w:hint="eastAsia" w:ascii="宋体" w:hAnsi="宋体" w:cs="宋体"/>
          <w:color w:val="auto"/>
          <w:szCs w:val="21"/>
          <w:highlight w:val="none"/>
        </w:rPr>
        <w:t>com/）“招标采购”的“招标公告”栏、中国招标投标公共服务平台(</w:t>
      </w:r>
      <w:r>
        <w:rPr>
          <w:color w:val="auto"/>
          <w:highlight w:val="none"/>
        </w:rPr>
        <w:fldChar w:fldCharType="begin"/>
      </w:r>
      <w:r>
        <w:rPr>
          <w:color w:val="auto"/>
          <w:highlight w:val="none"/>
        </w:rPr>
        <w:instrText xml:space="preserve"> HYPERLINK "http://www.cebpubservice.com" </w:instrText>
      </w:r>
      <w:r>
        <w:rPr>
          <w:color w:val="auto"/>
          <w:highlight w:val="none"/>
        </w:rPr>
        <w:fldChar w:fldCharType="separate"/>
      </w:r>
      <w:r>
        <w:rPr>
          <w:rFonts w:hint="eastAsia" w:ascii="宋体" w:hAnsi="宋体" w:cs="宋体"/>
          <w:color w:val="auto"/>
          <w:szCs w:val="21"/>
          <w:highlight w:val="none"/>
        </w:rPr>
        <w:t>http://www.cebpubservice.com</w:t>
      </w:r>
      <w:r>
        <w:rPr>
          <w:rFonts w:hint="eastAsia" w:ascii="宋体" w:hAnsi="宋体" w:cs="宋体"/>
          <w:color w:val="auto"/>
          <w:szCs w:val="21"/>
          <w:highlight w:val="none"/>
        </w:rPr>
        <w:fldChar w:fldCharType="end"/>
      </w:r>
      <w:r>
        <w:rPr>
          <w:rFonts w:hint="eastAsia" w:ascii="宋体" w:hAnsi="宋体" w:cs="宋体"/>
          <w:color w:val="auto"/>
          <w:szCs w:val="21"/>
          <w:highlight w:val="none"/>
        </w:rPr>
        <w:t>）和中国采购与招标网(http://www.chinabidding.com.cn）同时发布；</w:t>
      </w:r>
    </w:p>
    <w:p>
      <w:pPr>
        <w:widowControl/>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rPr>
        <w:t>6.2</w:t>
      </w:r>
      <w:r>
        <w:rPr>
          <w:rFonts w:hint="eastAsia" w:ascii="宋体" w:hAnsi="宋体" w:cs="宋体"/>
          <w:color w:val="auto"/>
          <w:szCs w:val="21"/>
          <w:highlight w:val="none"/>
        </w:rPr>
        <w:t>本项目评标结果信息（含首次及重新招标成功）在中国南方航空采购招标网（http://www.csbidding.</w:t>
      </w:r>
      <w:r>
        <w:rPr>
          <w:rFonts w:hint="eastAsia" w:ascii="宋体" w:hAnsi="宋体" w:cs="宋体"/>
          <w:szCs w:val="21"/>
        </w:rPr>
        <w:t>csair</w:t>
      </w:r>
      <w:r>
        <w:rPr>
          <w:rFonts w:hint="eastAsia" w:ascii="宋体" w:hAnsi="宋体" w:cs="宋体"/>
          <w:szCs w:val="21"/>
          <w:lang w:val="en-US" w:eastAsia="zh-CN"/>
        </w:rPr>
        <w:t>.</w:t>
      </w:r>
      <w:r>
        <w:rPr>
          <w:rFonts w:hint="eastAsia" w:ascii="宋体" w:hAnsi="宋体" w:cs="宋体"/>
          <w:color w:val="auto"/>
          <w:szCs w:val="21"/>
          <w:highlight w:val="none"/>
        </w:rPr>
        <w:t>com/）“招标采购”的“评标公示”栏发布；</w:t>
      </w:r>
    </w:p>
    <w:p>
      <w:pPr>
        <w:widowControl/>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6.3</w:t>
      </w:r>
      <w:r>
        <w:rPr>
          <w:rFonts w:hint="eastAsia" w:ascii="宋体" w:hAnsi="宋体" w:cs="宋体"/>
          <w:color w:val="auto"/>
          <w:szCs w:val="21"/>
          <w:highlight w:val="none"/>
        </w:rPr>
        <w:t>本项目评审结果信息（重新招标后依然招标失败）在中国南方航空采购招标网（http://www.csbidding.</w:t>
      </w:r>
      <w:r>
        <w:rPr>
          <w:rFonts w:hint="eastAsia" w:ascii="宋体" w:hAnsi="宋体" w:cs="宋体"/>
          <w:szCs w:val="21"/>
        </w:rPr>
        <w:t>csair</w:t>
      </w:r>
      <w:r>
        <w:rPr>
          <w:rFonts w:hint="eastAsia" w:ascii="宋体" w:hAnsi="宋体" w:cs="宋体"/>
          <w:szCs w:val="21"/>
          <w:lang w:val="en-US" w:eastAsia="zh-CN"/>
        </w:rPr>
        <w:t>.</w:t>
      </w:r>
      <w:r>
        <w:rPr>
          <w:rFonts w:hint="eastAsia" w:ascii="宋体" w:hAnsi="宋体" w:cs="宋体"/>
          <w:color w:val="auto"/>
          <w:szCs w:val="21"/>
          <w:highlight w:val="none"/>
        </w:rPr>
        <w:t>com/）“招标采购”的“其它公告”栏发布招标失败公示；同时，该项目转为非招标采购后的评审结果信息在中国南方航空采购招标网（http://www.csbidding.</w:t>
      </w:r>
      <w:r>
        <w:rPr>
          <w:rFonts w:hint="eastAsia" w:ascii="宋体" w:hAnsi="宋体" w:cs="宋体"/>
          <w:szCs w:val="21"/>
        </w:rPr>
        <w:t>csair</w:t>
      </w:r>
      <w:r>
        <w:rPr>
          <w:rFonts w:hint="eastAsia" w:ascii="宋体" w:hAnsi="宋体" w:cs="宋体"/>
          <w:szCs w:val="21"/>
          <w:lang w:val="en-US" w:eastAsia="zh-CN"/>
        </w:rPr>
        <w:t>.</w:t>
      </w:r>
      <w:r>
        <w:rPr>
          <w:rFonts w:hint="eastAsia" w:ascii="宋体" w:hAnsi="宋体" w:cs="宋体"/>
          <w:color w:val="auto"/>
          <w:szCs w:val="21"/>
          <w:highlight w:val="none"/>
        </w:rPr>
        <w:t>com/）“非招标采购”的“采购结果”栏发布；</w:t>
      </w:r>
    </w:p>
    <w:p>
      <w:pPr>
        <w:spacing w:line="360" w:lineRule="auto"/>
        <w:ind w:firstLine="421" w:firstLineChars="200"/>
        <w:rPr>
          <w:rFonts w:hint="eastAsia" w:ascii="宋体" w:hAnsi="宋体" w:cs="宋体"/>
          <w:color w:val="auto"/>
          <w:szCs w:val="21"/>
          <w:highlight w:val="none"/>
        </w:rPr>
      </w:pPr>
      <w:bookmarkStart w:id="119" w:name="_Toc15521"/>
      <w:bookmarkStart w:id="120" w:name="_Toc15046"/>
      <w:r>
        <w:rPr>
          <w:rFonts w:hint="eastAsia" w:ascii="宋体" w:hAnsi="宋体" w:cs="宋体"/>
          <w:b/>
          <w:color w:val="auto"/>
          <w:szCs w:val="21"/>
          <w:highlight w:val="none"/>
        </w:rPr>
        <w:t xml:space="preserve">6.4  </w:t>
      </w:r>
      <w:r>
        <w:rPr>
          <w:rFonts w:hint="eastAsia" w:ascii="宋体" w:hAnsi="宋体" w:cs="宋体"/>
          <w:color w:val="auto"/>
          <w:szCs w:val="21"/>
          <w:highlight w:val="none"/>
        </w:rPr>
        <w:t>本项目信息的修改、补充，在中国南方航空采购招标网发布。本项目信息在各媒体发布的文本如有不同之处，以在中国南方航空采购招标网发布的文本为准。</w:t>
      </w:r>
      <w:bookmarkEnd w:id="119"/>
      <w:bookmarkEnd w:id="120"/>
      <w:bookmarkStart w:id="121" w:name="_Toc19469"/>
      <w:bookmarkStart w:id="122" w:name="_Toc7937"/>
      <w:bookmarkStart w:id="123" w:name="_Toc1520"/>
      <w:bookmarkStart w:id="124" w:name="_Toc18378"/>
      <w:bookmarkStart w:id="125" w:name="_Toc30757"/>
    </w:p>
    <w:p>
      <w:pPr>
        <w:pStyle w:val="4"/>
        <w:spacing w:line="360" w:lineRule="auto"/>
        <w:ind w:left="0"/>
        <w:rPr>
          <w:rFonts w:hint="eastAsia" w:ascii="宋体" w:hAnsi="宋体" w:cs="宋体"/>
          <w:b/>
          <w:color w:val="auto"/>
          <w:highlight w:val="none"/>
        </w:rPr>
      </w:pPr>
      <w:bookmarkStart w:id="126" w:name="_Toc23903"/>
      <w:bookmarkStart w:id="127" w:name="_Toc34645995"/>
      <w:bookmarkStart w:id="128" w:name="_Toc17032"/>
      <w:bookmarkStart w:id="129" w:name="_Toc455328576"/>
      <w:bookmarkStart w:id="130" w:name="_Toc32630"/>
      <w:bookmarkStart w:id="131" w:name="_Toc1876090339"/>
      <w:bookmarkStart w:id="132" w:name="_Toc20061"/>
      <w:bookmarkStart w:id="133" w:name="_Toc2036915378"/>
      <w:r>
        <w:rPr>
          <w:rFonts w:hint="eastAsia" w:ascii="宋体" w:hAnsi="宋体" w:cs="宋体"/>
          <w:b/>
          <w:color w:val="auto"/>
          <w:highlight w:val="none"/>
        </w:rPr>
        <w:t>7、招标程序终止说明</w:t>
      </w:r>
      <w:bookmarkEnd w:id="121"/>
      <w:bookmarkEnd w:id="122"/>
      <w:bookmarkEnd w:id="123"/>
      <w:bookmarkEnd w:id="124"/>
      <w:bookmarkEnd w:id="125"/>
      <w:bookmarkEnd w:id="126"/>
      <w:bookmarkEnd w:id="127"/>
      <w:bookmarkEnd w:id="128"/>
      <w:bookmarkEnd w:id="129"/>
      <w:bookmarkEnd w:id="130"/>
      <w:bookmarkEnd w:id="131"/>
      <w:bookmarkEnd w:id="132"/>
      <w:bookmarkEnd w:id="133"/>
    </w:p>
    <w:p>
      <w:pPr>
        <w:widowControl/>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本项目在执行过程中，如果出现第二次公告后合格投标人少于三家的情况，则本项目的公开招标程序终止。本项目后续开展的评审、结果公示等程序属于非招标采购流程，按南航非招标采购规则执行。</w:t>
      </w:r>
    </w:p>
    <w:p>
      <w:pPr>
        <w:pStyle w:val="4"/>
        <w:spacing w:line="360" w:lineRule="auto"/>
        <w:ind w:left="0"/>
        <w:rPr>
          <w:rFonts w:hint="eastAsia" w:ascii="宋体" w:hAnsi="宋体" w:cs="宋体"/>
          <w:b/>
          <w:color w:val="auto"/>
          <w:highlight w:val="none"/>
        </w:rPr>
      </w:pPr>
      <w:bookmarkStart w:id="134" w:name="_Toc536815150"/>
      <w:bookmarkStart w:id="135" w:name="_Toc34645996"/>
      <w:bookmarkStart w:id="136" w:name="_Toc31718"/>
      <w:bookmarkStart w:id="137" w:name="_Toc1276748873"/>
      <w:bookmarkStart w:id="138" w:name="_Toc16530"/>
      <w:bookmarkStart w:id="139" w:name="_Toc2849"/>
      <w:bookmarkStart w:id="140" w:name="_Toc22941"/>
      <w:bookmarkStart w:id="141" w:name="_Toc30121"/>
      <w:bookmarkStart w:id="142" w:name="_Toc1312463152"/>
      <w:bookmarkStart w:id="143" w:name="_Toc28110"/>
      <w:bookmarkStart w:id="144" w:name="_Toc504657606"/>
      <w:bookmarkStart w:id="145" w:name="_Toc23086"/>
      <w:bookmarkStart w:id="146" w:name="_Toc8168"/>
      <w:bookmarkStart w:id="147" w:name="_Toc28019"/>
      <w:r>
        <w:rPr>
          <w:rFonts w:hint="eastAsia" w:ascii="宋体" w:hAnsi="宋体" w:cs="宋体"/>
          <w:b/>
          <w:color w:val="auto"/>
          <w:highlight w:val="none"/>
        </w:rPr>
        <w:t>8、联系方式</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spacing w:line="360" w:lineRule="auto"/>
        <w:ind w:firstLine="449" w:firstLineChars="213"/>
        <w:jc w:val="left"/>
        <w:rPr>
          <w:rFonts w:hint="eastAsia" w:ascii="宋体" w:hAnsi="宋体" w:eastAsia="宋体" w:cs="宋体"/>
          <w:color w:val="auto"/>
          <w:szCs w:val="21"/>
          <w:highlight w:val="none"/>
        </w:rPr>
      </w:pPr>
      <w:r>
        <w:rPr>
          <w:rFonts w:hint="eastAsia" w:ascii="宋体" w:hAnsi="宋体" w:cs="宋体"/>
          <w:b/>
          <w:color w:val="auto"/>
          <w:szCs w:val="21"/>
          <w:highlight w:val="none"/>
        </w:rPr>
        <w:t xml:space="preserve">8.1 </w:t>
      </w:r>
      <w:r>
        <w:rPr>
          <w:rFonts w:hint="eastAsia" w:ascii="宋体" w:hAnsi="宋体" w:cs="宋体"/>
          <w:color w:val="auto"/>
          <w:szCs w:val="21"/>
          <w:highlight w:val="none"/>
        </w:rPr>
        <w:t>招标人：</w:t>
      </w:r>
      <w:r>
        <w:rPr>
          <w:rFonts w:hint="eastAsia" w:ascii="宋体" w:hAnsi="宋体" w:eastAsia="宋体" w:cs="宋体"/>
          <w:color w:val="auto"/>
          <w:szCs w:val="21"/>
          <w:highlight w:val="none"/>
          <w:lang w:val="en-US" w:eastAsia="zh-CN"/>
        </w:rPr>
        <w:t>中国南方航空股份有限公司</w:t>
      </w:r>
      <w:r>
        <w:rPr>
          <w:rFonts w:hint="eastAsia" w:ascii="宋体" w:hAnsi="宋体" w:cs="宋体"/>
          <w:color w:val="auto"/>
          <w:szCs w:val="21"/>
          <w:highlight w:val="none"/>
          <w:lang w:val="en-US" w:eastAsia="zh-CN"/>
        </w:rPr>
        <w:t>综合保障部</w:t>
      </w:r>
    </w:p>
    <w:p>
      <w:pPr>
        <w:spacing w:line="360" w:lineRule="auto"/>
        <w:ind w:firstLine="315" w:firstLineChars="15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     地址：</w:t>
      </w:r>
      <w:r>
        <w:rPr>
          <w:rFonts w:hint="eastAsia" w:ascii="宋体" w:hAnsi="宋体" w:eastAsia="宋体" w:cs="宋体"/>
          <w:color w:val="auto"/>
          <w:szCs w:val="21"/>
          <w:highlight w:val="none"/>
        </w:rPr>
        <w:t>广州市白云区齐心路68号</w:t>
      </w:r>
    </w:p>
    <w:p>
      <w:pPr>
        <w:spacing w:line="360" w:lineRule="auto"/>
        <w:ind w:firstLine="315" w:firstLineChars="15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     邮编：</w:t>
      </w:r>
      <w:r>
        <w:rPr>
          <w:rFonts w:hint="eastAsia" w:ascii="宋体" w:hAnsi="宋体" w:eastAsia="宋体" w:cs="宋体"/>
          <w:color w:val="auto"/>
          <w:szCs w:val="21"/>
          <w:highlight w:val="none"/>
          <w:lang w:val="en-US" w:eastAsia="zh-CN"/>
        </w:rPr>
        <w:t>510406</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联系人</w:t>
      </w:r>
      <w:r>
        <w:rPr>
          <w:rFonts w:hint="eastAsia" w:ascii="宋体" w:hAnsi="宋体" w:cs="宋体"/>
          <w:color w:val="auto"/>
          <w:szCs w:val="21"/>
          <w:highlight w:val="none"/>
          <w:lang w:eastAsia="zh-CN"/>
        </w:rPr>
        <w:t>及电话</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，020-</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rPr>
        <w:t xml:space="preserve">              </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8.2</w:t>
      </w:r>
      <w:r>
        <w:rPr>
          <w:rFonts w:hint="eastAsia" w:ascii="宋体" w:hAnsi="宋体" w:cs="宋体"/>
          <w:color w:val="auto"/>
          <w:szCs w:val="21"/>
          <w:highlight w:val="none"/>
        </w:rPr>
        <w:t xml:space="preserve"> 招标代理机构名称：中国南航集团进出口贸易有限公司</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地址：广州市机场路272号南航贸易大楼</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邮编：510405</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招标项目负责人及联系电话：【】，020-【】                             </w:t>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EMAIL：【】     </w:t>
      </w:r>
    </w:p>
    <w:p>
      <w:pPr>
        <w:pStyle w:val="4"/>
        <w:spacing w:line="360" w:lineRule="auto"/>
        <w:ind w:left="0"/>
        <w:rPr>
          <w:rFonts w:hint="eastAsia" w:ascii="宋体" w:hAnsi="宋体" w:cs="宋体"/>
          <w:b/>
          <w:color w:val="auto"/>
          <w:highlight w:val="none"/>
        </w:rPr>
      </w:pPr>
      <w:bookmarkStart w:id="148" w:name="_Toc243"/>
      <w:bookmarkStart w:id="149" w:name="_Toc19056"/>
      <w:bookmarkStart w:id="150" w:name="_Toc1824377710"/>
      <w:bookmarkStart w:id="151" w:name="_Toc29256"/>
      <w:bookmarkStart w:id="152" w:name="_Toc8534"/>
      <w:bookmarkStart w:id="153" w:name="_Toc1391802447"/>
      <w:bookmarkStart w:id="154" w:name="_Toc25759"/>
      <w:bookmarkStart w:id="155" w:name="_Toc619898405"/>
      <w:bookmarkStart w:id="156" w:name="_Toc21280"/>
      <w:bookmarkStart w:id="157" w:name="_Toc24337"/>
      <w:bookmarkStart w:id="158" w:name="_Toc13262"/>
      <w:r>
        <w:rPr>
          <w:rFonts w:hint="eastAsia" w:ascii="宋体" w:hAnsi="宋体" w:cs="宋体"/>
          <w:b/>
          <w:color w:val="auto"/>
          <w:highlight w:val="none"/>
        </w:rPr>
        <w:t>9、异议、投诉反馈路径</w:t>
      </w:r>
      <w:bookmarkEnd w:id="148"/>
      <w:bookmarkEnd w:id="149"/>
      <w:bookmarkEnd w:id="150"/>
      <w:bookmarkEnd w:id="151"/>
      <w:bookmarkEnd w:id="152"/>
      <w:bookmarkEnd w:id="153"/>
      <w:bookmarkEnd w:id="154"/>
      <w:bookmarkEnd w:id="155"/>
      <w:bookmarkEnd w:id="156"/>
      <w:bookmarkEnd w:id="157"/>
      <w:bookmarkEnd w:id="158"/>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异议/投诉人应按照规定的渠道路径维护自身合法利益，且所提供的投诉内容和相关证明材料应真实、客观、来源合法。调查过程中，若发现异议/投诉人有意捏造事实、伪造证明材料、以非法途径取得证明材料，或故意诋毁，造成不良影响的，一经查实，将按照招标人相关规定严肃处理；构成违法犯罪的，依法追究法律责任。</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如投标人对本项目招标文件有疑问的，可在异议有效期内将有效的异议材料通过书面递交至招标人。</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异议材料唯一受理地址：【】</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招标代理机构联系人及电话：【】，020-【】</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如投标人对异议回复结果不满意，或认为本次采购活动违反法律、法规或规章制度的，可在收到异议回复2个工作日内进行实名投诉。</w:t>
      </w:r>
    </w:p>
    <w:p>
      <w:pPr>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投诉材料唯一受理部门：</w:t>
      </w:r>
      <w:r>
        <w:rPr>
          <w:rFonts w:hint="eastAsia" w:ascii="宋体" w:hAnsi="宋体" w:cs="宋体"/>
          <w:color w:val="auto"/>
          <w:szCs w:val="21"/>
          <w:highlight w:val="none"/>
          <w:shd w:val="clear" w:color="auto" w:fill="FFFFFF"/>
        </w:rPr>
        <w:t>中国南方航空集团有限公司采购管理部业务管理部（法律合规部）</w:t>
      </w:r>
    </w:p>
    <w:p>
      <w:pPr>
        <w:spacing w:line="46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联系地址：</w:t>
      </w:r>
      <w:r>
        <w:rPr>
          <w:rFonts w:hint="eastAsia" w:ascii="宋体" w:hAnsi="宋体" w:cs="宋体"/>
          <w:color w:val="auto"/>
          <w:szCs w:val="21"/>
          <w:highlight w:val="none"/>
          <w:shd w:val="clear" w:color="auto" w:fill="FFFFFF"/>
        </w:rPr>
        <w:t>广州市白云区机场路272号</w:t>
      </w:r>
    </w:p>
    <w:p>
      <w:pPr>
        <w:pStyle w:val="20"/>
        <w:spacing w:line="460" w:lineRule="exact"/>
        <w:ind w:firstLine="420"/>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联 系 人：</w:t>
      </w:r>
      <w:r>
        <w:rPr>
          <w:rFonts w:hint="eastAsia" w:ascii="宋体" w:hAnsi="宋体" w:cs="宋体"/>
          <w:color w:val="auto"/>
          <w:szCs w:val="21"/>
          <w:highlight w:val="none"/>
          <w:shd w:val="clear" w:color="auto" w:fill="FFFFFF"/>
          <w:lang w:eastAsia="zh-CN"/>
        </w:rPr>
        <w:t>【】</w:t>
      </w:r>
    </w:p>
    <w:p>
      <w:pPr>
        <w:spacing w:line="460" w:lineRule="exact"/>
        <w:ind w:firstLine="420"/>
        <w:rPr>
          <w:rFonts w:hint="eastAsia" w:ascii="宋体" w:hAnsi="宋体" w:cs="宋体"/>
          <w:color w:val="auto"/>
          <w:szCs w:val="21"/>
          <w:highlight w:val="none"/>
          <w:shd w:val="clear" w:color="auto" w:fill="FFFFFF"/>
        </w:rPr>
      </w:pPr>
      <w:r>
        <w:rPr>
          <w:rFonts w:hint="eastAsia"/>
          <w:color w:val="auto"/>
          <w:highlight w:val="none"/>
        </w:rPr>
        <w:t>联系电话：</w:t>
      </w:r>
      <w:r>
        <w:rPr>
          <w:rFonts w:hint="eastAsia" w:ascii="宋体" w:hAnsi="宋体" w:cs="宋体"/>
          <w:color w:val="auto"/>
          <w:szCs w:val="21"/>
          <w:highlight w:val="none"/>
          <w:shd w:val="clear" w:color="auto" w:fill="FFFFFF"/>
        </w:rPr>
        <w:t>020-86127707</w:t>
      </w:r>
    </w:p>
    <w:p>
      <w:pPr>
        <w:rPr>
          <w:rFonts w:hint="eastAsia"/>
          <w:color w:val="auto"/>
          <w:highlight w:val="none"/>
        </w:rPr>
      </w:pPr>
    </w:p>
    <w:p>
      <w:pPr>
        <w:rPr>
          <w:rFonts w:hint="eastAsia"/>
          <w:color w:val="auto"/>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6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阶段</w:t>
            </w:r>
          </w:p>
        </w:tc>
        <w:tc>
          <w:tcPr>
            <w:tcW w:w="6294" w:type="dxa"/>
            <w:noWrap w:val="0"/>
            <w:vAlign w:val="center"/>
          </w:tcPr>
          <w:p>
            <w:pPr>
              <w:spacing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异议有效期时限要求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2"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资格预审阶段</w:t>
            </w:r>
          </w:p>
        </w:tc>
        <w:tc>
          <w:tcPr>
            <w:tcW w:w="6294"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应于资格预审申请文件递交截止日期48小时前提出异议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2" w:type="dxa"/>
            <w:vMerge w:val="restart"/>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采购文件发布阶段</w:t>
            </w:r>
          </w:p>
        </w:tc>
        <w:tc>
          <w:tcPr>
            <w:tcW w:w="6294"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（招标采购项目）应于</w:t>
            </w:r>
            <w:r>
              <w:rPr>
                <w:rFonts w:hint="eastAsia"/>
                <w:color w:val="auto"/>
                <w:highlight w:val="none"/>
              </w:rPr>
              <w:t>获取文件截止时间后48小时内</w:t>
            </w:r>
            <w:r>
              <w:rPr>
                <w:rFonts w:hint="eastAsia" w:ascii="宋体" w:hAnsi="宋体" w:cs="宋体"/>
                <w:color w:val="auto"/>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642" w:type="dxa"/>
            <w:vMerge w:val="continue"/>
            <w:noWrap w:val="0"/>
            <w:vAlign w:val="center"/>
          </w:tcPr>
          <w:p>
            <w:pPr>
              <w:spacing w:line="360" w:lineRule="auto"/>
              <w:ind w:firstLine="420" w:firstLineChars="200"/>
              <w:rPr>
                <w:rFonts w:hint="eastAsia" w:ascii="宋体" w:hAnsi="宋体" w:cs="宋体"/>
                <w:color w:val="auto"/>
                <w:szCs w:val="21"/>
                <w:highlight w:val="none"/>
              </w:rPr>
            </w:pPr>
          </w:p>
        </w:tc>
        <w:tc>
          <w:tcPr>
            <w:tcW w:w="6294"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（非招标采购项目）应于</w:t>
            </w:r>
            <w:r>
              <w:rPr>
                <w:rFonts w:hint="eastAsia"/>
                <w:color w:val="auto"/>
                <w:highlight w:val="none"/>
              </w:rPr>
              <w:t>止递交响应文件（竞价文件）24小时前</w:t>
            </w:r>
            <w:r>
              <w:rPr>
                <w:rFonts w:hint="eastAsia" w:ascii="宋体" w:hAnsi="宋体" w:cs="宋体"/>
                <w:color w:val="auto"/>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2"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评审结果公示阶段</w:t>
            </w:r>
          </w:p>
        </w:tc>
        <w:tc>
          <w:tcPr>
            <w:tcW w:w="6294"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应于招标结果公示期内提出异议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6" w:type="dxa"/>
            <w:gridSpan w:val="2"/>
            <w:noWrap w:val="0"/>
            <w:vAlign w:val="center"/>
          </w:tcPr>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（异议、投诉具体要求详见招标文件中的异议承诺及格式指引）</w:t>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p>
    <w:p>
      <w:pPr>
        <w:pStyle w:val="3"/>
        <w:pageBreakBefore/>
        <w:numPr>
          <w:ilvl w:val="0"/>
          <w:numId w:val="1"/>
        </w:numPr>
        <w:spacing w:before="120" w:beforeLines="50" w:after="120" w:afterLines="50" w:line="360" w:lineRule="auto"/>
        <w:jc w:val="center"/>
        <w:rPr>
          <w:rFonts w:hint="eastAsia" w:ascii="宋体" w:hAnsi="宋体" w:cs="宋体"/>
          <w:color w:val="auto"/>
          <w:highlight w:val="none"/>
        </w:rPr>
      </w:pPr>
      <w:bookmarkStart w:id="159" w:name="_Toc25994"/>
      <w:bookmarkStart w:id="160" w:name="_Toc19771"/>
      <w:bookmarkStart w:id="161" w:name="_Toc2568"/>
      <w:bookmarkStart w:id="162" w:name="_Toc32213"/>
      <w:bookmarkStart w:id="163" w:name="_Toc6558"/>
      <w:bookmarkStart w:id="164" w:name="_Toc303956335"/>
      <w:bookmarkStart w:id="165" w:name="_Toc19999"/>
      <w:bookmarkStart w:id="166" w:name="_Toc343702898"/>
      <w:bookmarkStart w:id="167" w:name="_Toc1124914586"/>
      <w:bookmarkStart w:id="168" w:name="_Toc28924"/>
      <w:bookmarkStart w:id="169" w:name="_Toc28558"/>
      <w:bookmarkStart w:id="170" w:name="_Toc34645997"/>
      <w:bookmarkStart w:id="171" w:name="_Toc16144"/>
      <w:bookmarkStart w:id="172" w:name="_Toc9405"/>
      <w:r>
        <w:rPr>
          <w:rFonts w:hint="eastAsia" w:ascii="宋体" w:hAnsi="宋体" w:cs="宋体"/>
          <w:color w:val="auto"/>
          <w:highlight w:val="none"/>
        </w:rPr>
        <w:t>投标人须知及前附表</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pPr>
        <w:pStyle w:val="4"/>
        <w:spacing w:line="360" w:lineRule="auto"/>
        <w:ind w:left="992" w:hanging="992" w:hangingChars="353"/>
        <w:jc w:val="center"/>
        <w:rPr>
          <w:rFonts w:hint="eastAsia" w:ascii="宋体" w:hAnsi="宋体" w:cs="宋体"/>
          <w:color w:val="auto"/>
          <w:highlight w:val="none"/>
        </w:rPr>
      </w:pPr>
      <w:bookmarkStart w:id="173" w:name="_Toc30446"/>
      <w:bookmarkStart w:id="174" w:name="_Toc21209"/>
      <w:bookmarkStart w:id="175" w:name="_Toc28867"/>
      <w:bookmarkStart w:id="176" w:name="_Toc841875300"/>
      <w:bookmarkStart w:id="177" w:name="_Toc818434903"/>
      <w:bookmarkStart w:id="178" w:name="_Toc8644"/>
      <w:bookmarkStart w:id="179" w:name="_Toc8647"/>
      <w:bookmarkStart w:id="180" w:name="_Toc2095"/>
      <w:bookmarkStart w:id="181" w:name="_Toc1263"/>
      <w:bookmarkStart w:id="182" w:name="_Toc23503"/>
      <w:bookmarkStart w:id="183" w:name="_Toc34645998"/>
      <w:bookmarkStart w:id="184" w:name="_Toc398732558"/>
      <w:bookmarkStart w:id="185" w:name="_Toc19351"/>
      <w:r>
        <w:rPr>
          <w:rFonts w:hint="eastAsia" w:ascii="宋体" w:hAnsi="宋体" w:cs="宋体"/>
          <w:b/>
          <w:bCs/>
          <w:color w:val="auto"/>
          <w:highlight w:val="none"/>
        </w:rPr>
        <w:t>一、投标人须知前附表</w:t>
      </w:r>
      <w:bookmarkEnd w:id="173"/>
      <w:bookmarkEnd w:id="174"/>
      <w:bookmarkEnd w:id="175"/>
      <w:bookmarkEnd w:id="176"/>
      <w:bookmarkEnd w:id="177"/>
      <w:bookmarkEnd w:id="178"/>
      <w:bookmarkEnd w:id="179"/>
      <w:bookmarkEnd w:id="180"/>
      <w:bookmarkEnd w:id="181"/>
      <w:bookmarkEnd w:id="182"/>
      <w:bookmarkEnd w:id="183"/>
      <w:bookmarkEnd w:id="184"/>
      <w:bookmarkEnd w:id="185"/>
    </w:p>
    <w:p>
      <w:pPr>
        <w:spacing w:line="360" w:lineRule="auto"/>
        <w:ind w:firstLine="632" w:firstLineChars="300"/>
        <w:rPr>
          <w:rFonts w:hint="eastAsia" w:ascii="宋体" w:hAnsi="宋体" w:cs="宋体"/>
          <w:b/>
          <w:bCs/>
          <w:color w:val="auto"/>
          <w:szCs w:val="21"/>
          <w:highlight w:val="none"/>
        </w:rPr>
      </w:pPr>
      <w:r>
        <w:rPr>
          <w:rFonts w:hint="eastAsia" w:ascii="宋体" w:hAnsi="宋体" w:cs="宋体"/>
          <w:b/>
          <w:bCs/>
          <w:color w:val="auto"/>
          <w:szCs w:val="21"/>
          <w:highlight w:val="none"/>
        </w:rPr>
        <w:t>本表是关于招标人采购的货物和服务的具体资料，是对投标人须知的具体补充和修改，如果与招标文件其他任何部分的描述有矛盾，应以本表为准。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4"/>
        <w:gridCol w:w="3224"/>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jc w:val="center"/>
              <w:rPr>
                <w:rFonts w:hint="eastAsia" w:ascii="宋体" w:hAnsi="宋体" w:cs="宋体"/>
                <w:color w:val="auto"/>
                <w:szCs w:val="21"/>
                <w:highlight w:val="none"/>
              </w:rPr>
            </w:pPr>
            <w:r>
              <w:rPr>
                <w:rFonts w:hint="eastAsia" w:ascii="宋体" w:hAnsi="宋体" w:cs="宋体"/>
                <w:b/>
                <w:color w:val="auto"/>
                <w:szCs w:val="21"/>
                <w:highlight w:val="none"/>
              </w:rPr>
              <w:t>条款号</w:t>
            </w:r>
          </w:p>
        </w:tc>
        <w:tc>
          <w:tcPr>
            <w:tcW w:w="3224" w:type="dxa"/>
            <w:noWrap w:val="0"/>
            <w:vAlign w:val="center"/>
          </w:tcPr>
          <w:p>
            <w:pPr>
              <w:spacing w:line="360" w:lineRule="auto"/>
              <w:jc w:val="center"/>
              <w:rPr>
                <w:rFonts w:hint="eastAsia" w:ascii="宋体" w:hAnsi="宋体" w:cs="宋体"/>
                <w:color w:val="auto"/>
                <w:szCs w:val="21"/>
                <w:highlight w:val="none"/>
              </w:rPr>
            </w:pPr>
            <w:r>
              <w:rPr>
                <w:rFonts w:hint="eastAsia" w:ascii="宋体" w:hAnsi="宋体" w:cs="宋体"/>
                <w:b/>
                <w:color w:val="auto"/>
                <w:szCs w:val="21"/>
                <w:highlight w:val="none"/>
              </w:rPr>
              <w:t>条款名称</w:t>
            </w:r>
          </w:p>
        </w:tc>
        <w:tc>
          <w:tcPr>
            <w:tcW w:w="4536" w:type="dxa"/>
            <w:noWrap w:val="0"/>
            <w:vAlign w:val="center"/>
          </w:tcPr>
          <w:p>
            <w:pPr>
              <w:spacing w:line="360" w:lineRule="auto"/>
              <w:jc w:val="center"/>
              <w:rPr>
                <w:rFonts w:hint="eastAsia" w:ascii="宋体" w:hAnsi="宋体" w:cs="宋体"/>
                <w:color w:val="auto"/>
                <w:szCs w:val="21"/>
                <w:highlight w:val="none"/>
              </w:rPr>
            </w:pPr>
            <w:r>
              <w:rPr>
                <w:rFonts w:hint="eastAsia" w:ascii="宋体" w:hAnsi="宋体" w:cs="宋体"/>
                <w:b/>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1.4.1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投标人资格要求</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见招标公告“投标人资格要求”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1.4.1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highlight w:val="none"/>
              </w:rPr>
              <w:t>货物类投标人是否允许为代理经销商</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允许，投标人应满足下列资质要求：详见第一章招标公告</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不允许</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1.4.2</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是否接受联合体投标</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不接受</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□接受，应满足下列要求：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1.9.1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投标预备会</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不召开</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□召开，召开时间：</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1.9.2</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投标人在投标预备会前提出问题</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时间：在【】年【】月【】日【】时前提交。</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形式：进入中国南方航空采购招标网招标项目提问区域，输入疑问内容。</w:t>
            </w:r>
            <w:r>
              <w:rPr>
                <w:rFonts w:hint="eastAsia" w:ascii="宋体" w:hAnsi="宋体" w:cs="宋体"/>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1.9.3</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招标文件澄清发出的形式</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在中国南方航空采购招标网站“招标文件澄清”栏目发布。澄清一经在中国南方航空采购招标网站发布，视作已以书面形式发放给所有投标人。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1.9.4</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现场踏勘</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不踏勘</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□踏勘，踏勘时间：</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踏勘地点：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1.10</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不允许</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1.11.1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实质性要求和条件</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见第四章用户需求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1.11.4</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其他可以被接受的技术支持资料</w:t>
            </w:r>
          </w:p>
        </w:tc>
        <w:tc>
          <w:tcPr>
            <w:tcW w:w="4536" w:type="dxa"/>
            <w:noWrap w:val="0"/>
            <w:vAlign w:val="center"/>
          </w:tcPr>
          <w:p>
            <w:pPr>
              <w:spacing w:line="360" w:lineRule="auto"/>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1.11.5</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偏差</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不允许</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□允许。偏差范围、是否扣分：详见《评分细则》及《用户需求》</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2.1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构成招标文件的其他资料</w:t>
            </w:r>
          </w:p>
        </w:tc>
        <w:tc>
          <w:tcPr>
            <w:tcW w:w="4536" w:type="dxa"/>
            <w:noWrap w:val="0"/>
            <w:vAlign w:val="center"/>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【采购人提供招标样品：投标人在【】年【】月【】日前可派技术人员到招标中心看样品，并拍照测量数据，招标样品不可带走。】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2.2.1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投标人提出疑问</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形式：在标书获取期内进入中国南方航空采购招标网招标项目提问区域，输入疑问内容，同时以书面形式列明所提疑问内容，加盖公章并扫描后上传做为附件。在报价截止时间/【】年【】月【】日</w:t>
            </w:r>
            <w:r>
              <w:rPr>
                <w:rFonts w:hint="eastAsia" w:ascii="宋体" w:hAnsi="宋体" w:cs="宋体"/>
                <w:color w:val="auto"/>
                <w:highlight w:val="none"/>
              </w:rPr>
              <w:t>前</w:t>
            </w:r>
            <w:r>
              <w:rPr>
                <w:rFonts w:hint="eastAsia" w:ascii="宋体" w:hAnsi="宋体" w:cs="宋体"/>
                <w:color w:val="auto"/>
                <w:szCs w:val="21"/>
                <w:highlight w:val="none"/>
              </w:rPr>
              <w:t>提交。</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疑问答复时间：【】年【】月【】日</w:t>
            </w:r>
            <w:r>
              <w:rPr>
                <w:rFonts w:hint="eastAsia" w:ascii="宋体" w:hAnsi="宋体" w:cs="宋体"/>
                <w:color w:val="auto"/>
                <w:highlight w:val="none"/>
              </w:rPr>
              <w:t>前。</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疑问答复形式：在中国南方航空采购招标网站“招标文件澄清”栏目发布。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2.2.3</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投标人接收招标文件澄清</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招标答疑纪要一经在中国南方航空采购招标网站发布，视作已发放给所有投标人。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3.2.3</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最高投标限价</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见第一章招标公告第1.5条，</w:t>
            </w:r>
            <w:r>
              <w:rPr>
                <w:rFonts w:hint="eastAsia" w:ascii="宋体" w:hAnsi="宋体" w:cs="宋体"/>
                <w:b/>
                <w:bCs/>
                <w:color w:val="auto"/>
                <w:szCs w:val="21"/>
                <w:highlight w:val="none"/>
              </w:rPr>
              <w:t>超过最高投标限价（单价或总价）将导致投标无效</w:t>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3.2.4</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投标报价的其他要求</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3.3.1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3.4.1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投标保证金</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投标保证金的金额：</w:t>
            </w:r>
            <w:r>
              <w:rPr>
                <w:rFonts w:hint="eastAsia" w:ascii="宋体" w:hAnsi="宋体" w:cs="宋体"/>
                <w:color w:val="auto"/>
                <w:szCs w:val="21"/>
                <w:highlight w:val="none"/>
                <w:lang w:val="en-US" w:eastAsia="zh-CN"/>
              </w:rPr>
              <w:t>万</w:t>
            </w:r>
            <w:r>
              <w:rPr>
                <w:rFonts w:hint="eastAsia" w:ascii="宋体" w:hAnsi="宋体" w:cs="宋体"/>
                <w:color w:val="auto"/>
                <w:szCs w:val="21"/>
                <w:highlight w:val="none"/>
              </w:rPr>
              <w:t>元人民币</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保证金接收银行：广发银行。</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保证金递交方式：汇款或合法有效的金融机构保函；投标保证金可以金融机构保函形式递交，所递交的保函类型应为无条件、不可撤销、见索即付的，且受益人应与本项目【招标人/采购人】一致，有效期应当与投标有效期一致。如未按要求递交投标保证金的将作为无效投标！</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注意：</w:t>
            </w:r>
          </w:p>
          <w:p>
            <w:pP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1、</w:t>
            </w:r>
            <w:r>
              <w:rPr>
                <w:rFonts w:hint="eastAsia" w:ascii="宋体" w:hAnsi="宋体" w:cs="宋体"/>
                <w:b/>
                <w:bCs/>
                <w:color w:val="auto"/>
                <w:szCs w:val="21"/>
                <w:highlight w:val="none"/>
              </w:rPr>
              <w:t>参与的每个招标项目，单独分配一个银行附属账户。注意：投标人同时参与的不同项目，其保证金账号不同，每个独立的标包都有独立账号，请注意不要打错账号；</w:t>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2、仅接受人民币币种缴纳投标保证金；</w:t>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3、</w:t>
            </w:r>
            <w:r>
              <w:rPr>
                <w:rFonts w:hint="eastAsia" w:ascii="宋体" w:hAnsi="宋体" w:cs="宋体"/>
                <w:b/>
                <w:bCs/>
                <w:szCs w:val="21"/>
                <w:lang w:eastAsia="zh-CN"/>
              </w:rPr>
              <w:t>如提交保函的</w:t>
            </w:r>
            <w:r>
              <w:rPr>
                <w:rFonts w:hint="eastAsia" w:ascii="宋体" w:hAnsi="宋体" w:cs="宋体"/>
                <w:b/>
                <w:bCs/>
                <w:color w:val="auto"/>
                <w:szCs w:val="21"/>
                <w:highlight w:val="none"/>
              </w:rPr>
              <w:t>投标人须在响应文件递交的截止时间前</w:t>
            </w:r>
            <w:r>
              <w:rPr>
                <w:rFonts w:hint="eastAsia" w:ascii="宋体" w:hAnsi="宋体" w:cs="宋体"/>
                <w:b/>
                <w:bCs/>
                <w:szCs w:val="21"/>
                <w:lang w:eastAsia="zh-CN"/>
              </w:rPr>
              <w:t>将保函原件提交至</w:t>
            </w:r>
            <w:r>
              <w:rPr>
                <w:rFonts w:hint="eastAsia" w:ascii="宋体" w:hAnsi="宋体" w:cs="宋体"/>
                <w:b/>
                <w:bCs/>
                <w:szCs w:val="21"/>
              </w:rPr>
              <w:t>招标</w:t>
            </w:r>
            <w:r>
              <w:rPr>
                <w:rFonts w:hint="eastAsia" w:ascii="宋体" w:hAnsi="宋体" w:cs="宋体"/>
                <w:b/>
                <w:bCs/>
                <w:szCs w:val="21"/>
                <w:lang w:eastAsia="zh-CN"/>
              </w:rPr>
              <w:t>代理机构</w:t>
            </w:r>
            <w:r>
              <w:rPr>
                <w:rFonts w:hint="eastAsia" w:ascii="宋体" w:hAnsi="宋体" w:cs="宋体"/>
                <w:b/>
                <w:bCs/>
                <w:color w:val="auto"/>
                <w:szCs w:val="21"/>
                <w:highlight w:val="none"/>
              </w:rPr>
              <w:t>；</w:t>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4、如因投标人汇错账号无法正常入账或因币种问题产生的后果由投标人自行承担。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3.4.6.5</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其他可以不予退还投标保证金的情形</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3.6.1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是否允许递交备选投标方案</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不允许</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3.7.3</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投标文件所附证书证件要求</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须用CA签章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3.7.3.3</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投标文件签字或盖章要求</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招标文件中要求签字盖章的地方，须用CA签章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4.2.1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投标截止时间</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【】年【】月【】日【】时【】分（见第一章招标公告）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4.2.2</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递交投标文件地点</w:t>
            </w:r>
          </w:p>
        </w:tc>
        <w:tc>
          <w:tcPr>
            <w:tcW w:w="4536" w:type="dxa"/>
            <w:noWrap w:val="0"/>
            <w:vAlign w:val="center"/>
          </w:tcPr>
          <w:p>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电子投标文件递交地点：</w:t>
            </w:r>
            <w:r>
              <w:rPr>
                <w:rFonts w:hint="eastAsia" w:ascii="宋体" w:hAnsi="宋体" w:cs="宋体"/>
                <w:color w:val="auto"/>
                <w:highlight w:val="none"/>
              </w:rPr>
              <w:t>中国南方航空采购招标网站（南航采购平台电子系统）</w:t>
            </w:r>
            <w:r>
              <w:rPr>
                <w:rFonts w:hint="eastAsia" w:ascii="宋体" w:hAnsi="宋体" w:cs="宋体"/>
                <w:color w:val="auto"/>
                <w:highlight w:val="none"/>
                <w:lang w:eastAsia="zh-CN"/>
              </w:rPr>
              <w:t>；</w:t>
            </w:r>
            <w:r>
              <w:rPr>
                <w:rFonts w:hint="eastAsia" w:ascii="宋体" w:hAnsi="宋体" w:cs="宋体"/>
                <w:color w:val="auto"/>
                <w:highlight w:val="none"/>
              </w:rPr>
              <w:t>投标样品需符合本次招标需求的要求，否则视为无效投标。样品接受邮寄，但以招标人收到样品的时间为准，</w:t>
            </w:r>
            <w:r>
              <w:rPr>
                <w:rFonts w:hint="eastAsia" w:ascii="宋体" w:hAnsi="宋体" w:cs="宋体"/>
                <w:b/>
                <w:color w:val="auto"/>
                <w:highlight w:val="none"/>
              </w:rPr>
              <w:t>样品递交的截止时间同投标截止时间</w:t>
            </w:r>
            <w:r>
              <w:rPr>
                <w:rFonts w:hint="eastAsia" w:ascii="宋体" w:hAnsi="宋体" w:cs="宋体"/>
                <w:color w:val="auto"/>
                <w:highlight w:val="none"/>
              </w:rPr>
              <w:t>，请投标人预计好邮寄在途时间。</w:t>
            </w:r>
          </w:p>
          <w:p>
            <w:pPr>
              <w:spacing w:line="360" w:lineRule="auto"/>
              <w:rPr>
                <w:rFonts w:hint="eastAsia" w:ascii="宋体" w:hAnsi="宋体" w:cs="宋体"/>
                <w:color w:val="auto"/>
                <w:highlight w:val="none"/>
              </w:rPr>
            </w:pPr>
            <w:r>
              <w:rPr>
                <w:rFonts w:hint="eastAsia" w:ascii="宋体" w:hAnsi="宋体" w:cs="宋体"/>
                <w:color w:val="auto"/>
                <w:highlight w:val="none"/>
              </w:rPr>
              <w:t>收件地址：【】</w:t>
            </w:r>
          </w:p>
          <w:p>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收件人及联系电话： 【】，020-【】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4.2.3</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电子投标文件是否退还</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5.1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开标时间和地点</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开标时间：同投标截止时间</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开标地点：</w:t>
            </w:r>
            <w:r>
              <w:rPr>
                <w:rFonts w:hint="eastAsia" w:ascii="宋体" w:hAnsi="宋体" w:cs="宋体"/>
                <w:color w:val="auto"/>
                <w:highlight w:val="none"/>
              </w:rPr>
              <w:t>中国南方航空采购招标网站（南航采购平台电子招标投标系统）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6.1.1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评标委员会的组建</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评标委员会构成：【</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】人</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其中招标人代表【</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】人，专家【</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】人</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评标专家确定方式：随机抽取。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6.2</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评标办法</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综合评分法</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6.3.2</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评标委员会推荐中标候选人的人数</w:t>
            </w:r>
          </w:p>
        </w:tc>
        <w:tc>
          <w:tcPr>
            <w:tcW w:w="4536" w:type="dxa"/>
            <w:noWrap w:val="0"/>
            <w:vAlign w:val="center"/>
          </w:tcPr>
          <w:p>
            <w:pP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7.1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中标候选人公示媒介及期限</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公示媒介：南航采购招标网</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公示期限：3天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7.4</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确定中标人</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□评委会直接确定排名第一位的中标候选人为中标人。</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招标人根据评委会推荐的中标候选人确定排名第一的为中标人。</w:t>
            </w:r>
          </w:p>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7.6.1</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履约保证金（或履约保函）</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是否要求中标人提交履约保证金（或保函）：</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要求，金额：【】万元人民币</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不要求</w:t>
            </w:r>
          </w:p>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7.8</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中标/成交服务费</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中标/成交金额的 %</w:t>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□固定金额：【】元人民币</w:t>
            </w:r>
            <w:r>
              <w:rPr>
                <w:rFonts w:hint="eastAsia" w:ascii="宋体" w:hAnsi="宋体" w:cs="宋体"/>
                <w:color w:val="auto"/>
                <w:szCs w:val="21"/>
                <w:highlight w:val="none"/>
                <w:u w:val="single"/>
              </w:rPr>
              <w:t xml:space="preserve">     </w:t>
            </w:r>
          </w:p>
          <w:p>
            <w:pPr>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注意：</w:t>
            </w:r>
          </w:p>
          <w:p>
            <w:pPr>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1、中标/成交服务费缴纳方式默认为从供应商缴纳的保证金款项中直接扣除；如需其他方式缴纳，请在收到中标/成交通知书后5个工作日内致电招标人员（详见第一章8.1/8.2）。</w:t>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u w:val="single"/>
              </w:rPr>
              <w:t xml:space="preserve">2、中标/成交通知书发出超过30日且中标/成交供应商已与招标人签订合同，中标/成交供应商仍未缴纳服务费的，招标人有权直接从保证金中扣除服务费。 </w:t>
            </w:r>
            <w:r>
              <w:rPr>
                <w:rFonts w:hint="eastAsia" w:ascii="宋体" w:hAnsi="宋体" w:cs="宋体"/>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9</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本项目采用电子招标投标</w:t>
            </w:r>
          </w:p>
        </w:tc>
        <w:tc>
          <w:tcPr>
            <w:tcW w:w="4536" w:type="dxa"/>
            <w:noWrap w:val="0"/>
            <w:vAlign w:val="center"/>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具体要求：</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（1）在开标前请妥善保管电子投标文件密码信封密码，开标时如遇到突发情况CA钥匙无法解密，请立即使用密码信封解密。</w:t>
            </w:r>
          </w:p>
          <w:p>
            <w:pPr>
              <w:widowControl/>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（2）请各投标人在投标截至时间前，完成电子投标文件加密及系统上传。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4" w:type="dxa"/>
            <w:noWrap w:val="0"/>
            <w:vAlign w:val="center"/>
          </w:tcPr>
          <w:p>
            <w:pPr>
              <w:spacing w:line="360" w:lineRule="auto"/>
              <w:ind w:left="100" w:firstLine="210" w:firstLineChars="100"/>
              <w:rPr>
                <w:rFonts w:hint="eastAsia" w:ascii="宋体" w:hAnsi="宋体" w:cs="宋体"/>
                <w:b/>
                <w:color w:val="auto"/>
                <w:szCs w:val="21"/>
                <w:highlight w:val="none"/>
              </w:rPr>
            </w:pPr>
            <w:r>
              <w:rPr>
                <w:rFonts w:hint="eastAsia" w:ascii="宋体" w:hAnsi="宋体" w:cs="宋体"/>
                <w:b/>
                <w:color w:val="auto"/>
                <w:szCs w:val="21"/>
                <w:highlight w:val="none"/>
              </w:rPr>
              <w:t>10</w:t>
            </w:r>
          </w:p>
        </w:tc>
        <w:tc>
          <w:tcPr>
            <w:tcW w:w="3224" w:type="dxa"/>
            <w:noWrap w:val="0"/>
            <w:vAlign w:val="center"/>
          </w:tcPr>
          <w:p>
            <w:pPr>
              <w:spacing w:line="360" w:lineRule="auto"/>
              <w:ind w:left="100"/>
              <w:rPr>
                <w:rFonts w:hint="eastAsia" w:ascii="宋体" w:hAnsi="宋体" w:cs="宋体"/>
                <w:color w:val="auto"/>
                <w:szCs w:val="21"/>
                <w:highlight w:val="none"/>
              </w:rPr>
            </w:pPr>
            <w:r>
              <w:rPr>
                <w:rFonts w:hint="eastAsia" w:ascii="宋体" w:hAnsi="宋体" w:cs="宋体"/>
                <w:color w:val="auto"/>
                <w:szCs w:val="21"/>
                <w:highlight w:val="none"/>
              </w:rPr>
              <w:t>需要补充的其他内容</w:t>
            </w:r>
          </w:p>
        </w:tc>
        <w:tc>
          <w:tcPr>
            <w:tcW w:w="4536" w:type="dxa"/>
            <w:noWrap w:val="0"/>
            <w:vAlign w:val="center"/>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关于本次招投标的温馨提示：</w:t>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①</w:t>
            </w:r>
            <w:r>
              <w:rPr>
                <w:rFonts w:hint="eastAsia" w:ascii="宋体" w:hAnsi="宋体" w:cs="宋体"/>
                <w:color w:val="auto"/>
                <w:szCs w:val="21"/>
                <w:highlight w:val="none"/>
              </w:rPr>
              <w:t>投标人无需制作纸质投标文件。</w:t>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②</w:t>
            </w:r>
            <w:r>
              <w:rPr>
                <w:rFonts w:hint="eastAsia" w:ascii="宋体" w:hAnsi="宋体" w:cs="宋体"/>
                <w:color w:val="auto"/>
                <w:szCs w:val="21"/>
                <w:highlight w:val="none"/>
              </w:rPr>
              <w:t>开标方式为在线开标，不设线下开标，投标人无需来现场。</w:t>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③</w:t>
            </w:r>
            <w:r>
              <w:rPr>
                <w:rFonts w:hint="eastAsia" w:ascii="宋体" w:hAnsi="宋体" w:cs="宋体"/>
                <w:color w:val="auto"/>
                <w:szCs w:val="21"/>
                <w:highlight w:val="none"/>
              </w:rPr>
              <w:t>在线开标时间为投标截止时间，请使用编制投标文件的电脑，登录南航采购平台电子招标投标系统，进入开标大厅投标。为确保顺利投标，</w:t>
            </w:r>
            <w:r>
              <w:rPr>
                <w:rFonts w:hint="eastAsia" w:ascii="宋体" w:hAnsi="宋体" w:cs="宋体"/>
                <w:b/>
                <w:bCs/>
                <w:color w:val="auto"/>
                <w:szCs w:val="21"/>
                <w:highlight w:val="none"/>
              </w:rPr>
              <w:t>建议至少提前10分钟完成操作</w:t>
            </w:r>
            <w:r>
              <w:rPr>
                <w:rFonts w:hint="eastAsia" w:ascii="宋体" w:hAnsi="宋体" w:cs="宋体"/>
                <w:color w:val="auto"/>
                <w:szCs w:val="21"/>
                <w:highlight w:val="none"/>
              </w:rPr>
              <w:t>，并保证网络畅通。</w:t>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④</w:t>
            </w:r>
            <w:r>
              <w:rPr>
                <w:rFonts w:hint="eastAsia" w:ascii="宋体" w:hAnsi="宋体" w:cs="宋体"/>
                <w:color w:val="auto"/>
                <w:szCs w:val="21"/>
                <w:highlight w:val="none"/>
              </w:rPr>
              <w:t>开标时间一到，投标人即对电子投标文件进行解密，若无法解密或解密失败，则投标失败。</w:t>
            </w:r>
          </w:p>
        </w:tc>
      </w:tr>
    </w:tbl>
    <w:p>
      <w:pPr>
        <w:pStyle w:val="4"/>
        <w:pageBreakBefore/>
        <w:spacing w:line="360" w:lineRule="auto"/>
        <w:ind w:left="0"/>
        <w:jc w:val="center"/>
        <w:rPr>
          <w:rFonts w:hint="eastAsia" w:ascii="宋体" w:hAnsi="宋体" w:cs="宋体"/>
          <w:b/>
          <w:color w:val="auto"/>
          <w:szCs w:val="28"/>
          <w:highlight w:val="none"/>
        </w:rPr>
      </w:pPr>
      <w:bookmarkStart w:id="186" w:name="_Toc34645999"/>
      <w:bookmarkStart w:id="187" w:name="_Toc7024"/>
      <w:bookmarkStart w:id="188" w:name="_Toc12810"/>
      <w:bookmarkStart w:id="189" w:name="_Toc2216"/>
      <w:bookmarkStart w:id="190" w:name="_Toc784817075"/>
      <w:bookmarkStart w:id="191" w:name="_Toc27130"/>
      <w:bookmarkStart w:id="192" w:name="_Toc30197"/>
      <w:bookmarkStart w:id="193" w:name="_Toc29420"/>
      <w:bookmarkStart w:id="194" w:name="_Toc31254"/>
      <w:bookmarkStart w:id="195" w:name="_Toc15873"/>
      <w:bookmarkStart w:id="196" w:name="_Toc11176"/>
      <w:bookmarkStart w:id="197" w:name="_Toc27102"/>
      <w:bookmarkStart w:id="198" w:name="_Toc15348"/>
      <w:bookmarkStart w:id="199" w:name="_Toc24488"/>
      <w:bookmarkStart w:id="200" w:name="_Toc22615"/>
      <w:bookmarkStart w:id="201" w:name="_Toc31964"/>
      <w:bookmarkStart w:id="202" w:name="_Toc371659784"/>
      <w:bookmarkStart w:id="203" w:name="_Toc1814601945"/>
      <w:bookmarkStart w:id="204" w:name="_Toc7584"/>
      <w:bookmarkStart w:id="205" w:name="_Toc21530"/>
      <w:bookmarkStart w:id="206" w:name="_Toc874"/>
      <w:bookmarkStart w:id="207" w:name="_Toc17271"/>
      <w:bookmarkStart w:id="208" w:name="_Toc14500"/>
      <w:bookmarkStart w:id="209" w:name="_Toc504657621"/>
      <w:r>
        <w:rPr>
          <w:rFonts w:hint="eastAsia" w:ascii="宋体" w:hAnsi="宋体" w:cs="宋体"/>
          <w:b/>
          <w:color w:val="auto"/>
          <w:szCs w:val="28"/>
          <w:highlight w:val="none"/>
        </w:rPr>
        <w:t>二、投标人须知</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pPr>
        <w:spacing w:line="360" w:lineRule="auto"/>
        <w:rPr>
          <w:rFonts w:hint="eastAsia" w:ascii="宋体" w:hAnsi="宋体" w:cs="宋体"/>
          <w:b/>
          <w:color w:val="auto"/>
          <w:szCs w:val="21"/>
          <w:highlight w:val="none"/>
        </w:rPr>
      </w:pPr>
      <w:bookmarkStart w:id="210" w:name="_Toc1608"/>
      <w:bookmarkStart w:id="211" w:name="_Toc18428"/>
      <w:bookmarkStart w:id="212" w:name="_Toc201"/>
      <w:bookmarkStart w:id="213" w:name="_Toc32693"/>
      <w:bookmarkStart w:id="214" w:name="_Toc14514"/>
      <w:bookmarkStart w:id="215" w:name="_Toc26100"/>
      <w:bookmarkStart w:id="216" w:name="_Toc4507"/>
      <w:bookmarkStart w:id="217" w:name="_Toc23840"/>
      <w:bookmarkStart w:id="218" w:name="_Toc504657611"/>
      <w:r>
        <w:rPr>
          <w:rFonts w:hint="eastAsia" w:ascii="宋体" w:hAnsi="宋体" w:cs="宋体"/>
          <w:b/>
          <w:color w:val="auto"/>
          <w:sz w:val="24"/>
          <w:highlight w:val="none"/>
        </w:rPr>
        <w:t>1、总则</w:t>
      </w:r>
      <w:bookmarkEnd w:id="210"/>
      <w:bookmarkEnd w:id="211"/>
      <w:bookmarkEnd w:id="212"/>
      <w:bookmarkEnd w:id="213"/>
      <w:bookmarkEnd w:id="214"/>
      <w:bookmarkEnd w:id="215"/>
      <w:bookmarkEnd w:id="216"/>
      <w:bookmarkEnd w:id="217"/>
      <w:bookmarkEnd w:id="218"/>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1.1 投标人知悉</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1.1.1</w:t>
      </w:r>
      <w:r>
        <w:rPr>
          <w:rFonts w:hint="eastAsia" w:ascii="宋体" w:hAnsi="宋体" w:cs="宋体"/>
          <w:color w:val="auto"/>
          <w:szCs w:val="21"/>
          <w:highlight w:val="none"/>
        </w:rPr>
        <w:t xml:space="preserve"> 根据《中华人民共和国招标投标法》《中华人民共和国招标投标法实施条例》等有关法律、法规和规章的规定，本招标项目已具备招标条件，现进行招标。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1.1.2</w:t>
      </w:r>
      <w:r>
        <w:rPr>
          <w:rFonts w:hint="eastAsia" w:ascii="宋体" w:hAnsi="宋体" w:cs="宋体"/>
          <w:color w:val="auto"/>
          <w:szCs w:val="21"/>
          <w:highlight w:val="none"/>
        </w:rPr>
        <w:t xml:space="preserve"> 招标人：见第一章招标公告。</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1.1.3</w:t>
      </w:r>
      <w:r>
        <w:rPr>
          <w:rFonts w:hint="eastAsia" w:ascii="宋体" w:hAnsi="宋体" w:cs="宋体"/>
          <w:color w:val="auto"/>
          <w:szCs w:val="21"/>
          <w:highlight w:val="none"/>
        </w:rPr>
        <w:t xml:space="preserve"> 招标代理机构：见第一章招标公告。</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1.1.4</w:t>
      </w:r>
      <w:r>
        <w:rPr>
          <w:rFonts w:hint="eastAsia" w:ascii="宋体" w:hAnsi="宋体" w:cs="宋体"/>
          <w:color w:val="auto"/>
          <w:szCs w:val="21"/>
          <w:highlight w:val="none"/>
        </w:rPr>
        <w:t xml:space="preserve"> 招标项目名称：见第一章招标公告。</w:t>
      </w:r>
    </w:p>
    <w:p>
      <w:pPr>
        <w:spacing w:line="360" w:lineRule="auto"/>
        <w:ind w:firstLine="421" w:firstLineChars="200"/>
        <w:rPr>
          <w:rFonts w:hint="eastAsia" w:ascii="宋体" w:hAnsi="宋体" w:cs="宋体"/>
          <w:bCs/>
          <w:color w:val="auto"/>
          <w:szCs w:val="21"/>
          <w:highlight w:val="none"/>
        </w:rPr>
      </w:pPr>
      <w:r>
        <w:rPr>
          <w:rFonts w:hint="eastAsia" w:ascii="宋体" w:hAnsi="宋体" w:cs="宋体"/>
          <w:b/>
          <w:color w:val="auto"/>
          <w:szCs w:val="21"/>
          <w:highlight w:val="none"/>
        </w:rPr>
        <w:t xml:space="preserve">1.1.5 </w:t>
      </w:r>
      <w:r>
        <w:rPr>
          <w:rFonts w:hint="eastAsia" w:ascii="宋体" w:hAnsi="宋体" w:cs="宋体"/>
          <w:bCs/>
          <w:color w:val="auto"/>
          <w:szCs w:val="21"/>
          <w:highlight w:val="none"/>
        </w:rPr>
        <w:t>凡响应本次招标的投标人均被视为已充分认识和理解了任何与本项目有关的影响事项和困难等情况。</w:t>
      </w:r>
    </w:p>
    <w:p>
      <w:pPr>
        <w:spacing w:line="360" w:lineRule="auto"/>
        <w:ind w:firstLine="421" w:firstLineChars="200"/>
        <w:rPr>
          <w:rFonts w:hint="eastAsia" w:ascii="宋体" w:hAnsi="宋体" w:cs="宋体"/>
          <w:bCs/>
          <w:color w:val="auto"/>
          <w:szCs w:val="21"/>
          <w:highlight w:val="none"/>
        </w:rPr>
      </w:pPr>
      <w:r>
        <w:rPr>
          <w:rFonts w:hint="eastAsia" w:ascii="宋体" w:hAnsi="宋体" w:cs="宋体"/>
          <w:b/>
          <w:color w:val="auto"/>
          <w:szCs w:val="21"/>
          <w:highlight w:val="none"/>
        </w:rPr>
        <w:t xml:space="preserve">1.1.6 </w:t>
      </w:r>
      <w:r>
        <w:rPr>
          <w:rFonts w:hint="eastAsia" w:ascii="宋体" w:hAnsi="宋体" w:cs="宋体"/>
          <w:bCs/>
          <w:color w:val="auto"/>
          <w:szCs w:val="21"/>
          <w:highlight w:val="none"/>
        </w:rPr>
        <w:t>投标人应对所有的招标内容进行投标，不允许只对其中部分内容的投标</w:t>
      </w:r>
      <w:r>
        <w:rPr>
          <w:rFonts w:hint="eastAsia" w:ascii="宋体" w:hAnsi="宋体"/>
          <w:bCs/>
          <w:color w:val="auto"/>
          <w:highlight w:val="none"/>
        </w:rPr>
        <w:t>，</w:t>
      </w:r>
      <w:r>
        <w:rPr>
          <w:rFonts w:hint="eastAsia"/>
          <w:color w:val="auto"/>
          <w:highlight w:val="none"/>
        </w:rPr>
        <w:t>否则视为投标无效</w:t>
      </w:r>
      <w:r>
        <w:rPr>
          <w:rFonts w:hint="eastAsia" w:ascii="宋体" w:hAnsi="宋体" w:cs="宋体"/>
          <w:bCs/>
          <w:color w:val="auto"/>
          <w:szCs w:val="21"/>
          <w:highlight w:val="none"/>
        </w:rPr>
        <w:t>。</w:t>
      </w:r>
    </w:p>
    <w:p>
      <w:pPr>
        <w:spacing w:line="360" w:lineRule="auto"/>
        <w:ind w:firstLine="421" w:firstLineChars="200"/>
        <w:rPr>
          <w:rFonts w:hint="eastAsia" w:ascii="宋体" w:hAnsi="宋体" w:cs="宋体"/>
          <w:bCs/>
          <w:color w:val="auto"/>
          <w:szCs w:val="21"/>
          <w:highlight w:val="none"/>
        </w:rPr>
      </w:pPr>
      <w:r>
        <w:rPr>
          <w:rFonts w:hint="eastAsia" w:ascii="宋体" w:hAnsi="宋体" w:cs="宋体"/>
          <w:b/>
          <w:color w:val="auto"/>
          <w:szCs w:val="21"/>
          <w:highlight w:val="none"/>
        </w:rPr>
        <w:t xml:space="preserve">1.1.7 </w:t>
      </w:r>
      <w:r>
        <w:rPr>
          <w:rFonts w:hint="eastAsia" w:ascii="宋体" w:hAnsi="宋体" w:cs="宋体"/>
          <w:bCs/>
          <w:color w:val="auto"/>
          <w:szCs w:val="21"/>
          <w:highlight w:val="none"/>
        </w:rPr>
        <w:t>投标人应保证提交给招标人和招标代理机构的投标文件（含有关资料和数据）的合法性、真实性、有效性、完整性。</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 xml:space="preserve">1.1.8 </w:t>
      </w:r>
      <w:r>
        <w:rPr>
          <w:rFonts w:hint="eastAsia" w:ascii="宋体" w:hAnsi="宋体" w:cs="宋体"/>
          <w:bCs/>
          <w:color w:val="auto"/>
          <w:szCs w:val="21"/>
          <w:highlight w:val="none"/>
        </w:rPr>
        <w:t>招标代理机构</w:t>
      </w:r>
      <w:r>
        <w:rPr>
          <w:rFonts w:hint="eastAsia" w:ascii="宋体" w:hAnsi="宋体"/>
          <w:bCs/>
          <w:color w:val="auto"/>
          <w:highlight w:val="none"/>
        </w:rPr>
        <w:t>有权拒绝</w:t>
      </w:r>
      <w:r>
        <w:rPr>
          <w:rFonts w:hint="eastAsia" w:ascii="宋体" w:hAnsi="宋体" w:cs="宋体"/>
          <w:bCs/>
          <w:color w:val="auto"/>
          <w:szCs w:val="21"/>
          <w:highlight w:val="none"/>
        </w:rPr>
        <w:t>向未中标的投标人解释未中标的理由。</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1.2 招标项目的资金来源和落实情况</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1.2.1</w:t>
      </w:r>
      <w:r>
        <w:rPr>
          <w:rFonts w:hint="eastAsia" w:ascii="宋体" w:hAnsi="宋体" w:cs="宋体"/>
          <w:color w:val="auto"/>
          <w:szCs w:val="21"/>
          <w:highlight w:val="none"/>
        </w:rPr>
        <w:t xml:space="preserve"> 资金来源及比例：见第一章招标公告。</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1.2.2 </w:t>
      </w:r>
      <w:r>
        <w:rPr>
          <w:rFonts w:hint="eastAsia" w:ascii="宋体" w:hAnsi="宋体" w:cs="宋体"/>
          <w:color w:val="auto"/>
          <w:szCs w:val="21"/>
          <w:highlight w:val="none"/>
        </w:rPr>
        <w:t>资金落实情况：已落实。</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1.3 招标内容、交货期/服务期和交货地点/服务地点</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1.3.1</w:t>
      </w:r>
      <w:r>
        <w:rPr>
          <w:rFonts w:hint="eastAsia" w:ascii="宋体" w:hAnsi="宋体" w:cs="宋体"/>
          <w:color w:val="auto"/>
          <w:szCs w:val="21"/>
          <w:highlight w:val="none"/>
        </w:rPr>
        <w:t xml:space="preserve"> 招标内容：见第一章招标公告。</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1.3.2 </w:t>
      </w:r>
      <w:r>
        <w:rPr>
          <w:rFonts w:hint="eastAsia" w:ascii="宋体" w:hAnsi="宋体" w:cs="宋体"/>
          <w:color w:val="auto"/>
          <w:szCs w:val="21"/>
          <w:highlight w:val="none"/>
        </w:rPr>
        <w:t>交货期/服务期：见第一章招标公告。</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1.3.3</w:t>
      </w:r>
      <w:r>
        <w:rPr>
          <w:rFonts w:hint="eastAsia" w:ascii="宋体" w:hAnsi="宋体" w:cs="宋体"/>
          <w:color w:val="auto"/>
          <w:szCs w:val="21"/>
          <w:highlight w:val="none"/>
        </w:rPr>
        <w:t xml:space="preserve"> 交货地点/服务地点：见第一章招标公告。</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1.4 投标人资格要求</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1.4.1</w:t>
      </w:r>
      <w:r>
        <w:rPr>
          <w:rFonts w:hint="eastAsia" w:ascii="宋体" w:hAnsi="宋体" w:cs="宋体"/>
          <w:color w:val="auto"/>
          <w:szCs w:val="21"/>
          <w:highlight w:val="none"/>
        </w:rPr>
        <w:t xml:space="preserve"> 投标人应</w:t>
      </w:r>
      <w:r>
        <w:rPr>
          <w:rFonts w:hint="eastAsia" w:ascii="宋体" w:hAnsi="宋体"/>
          <w:color w:val="auto"/>
          <w:highlight w:val="none"/>
        </w:rPr>
        <w:t>完全</w:t>
      </w:r>
      <w:r>
        <w:rPr>
          <w:rFonts w:hint="eastAsia" w:ascii="宋体" w:hAnsi="宋体" w:cs="宋体"/>
          <w:color w:val="auto"/>
          <w:szCs w:val="21"/>
          <w:highlight w:val="none"/>
        </w:rPr>
        <w:t>具备承担本招标项目的资质条件、能力和信誉：见招标公告“投标人资格要求”。如允许货物类项目投标人为代理经销商的，对投标人的资质要求包含对制造商的资质要求。</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1.4.2 </w:t>
      </w:r>
      <w:r>
        <w:rPr>
          <w:rFonts w:hint="eastAsia" w:ascii="宋体" w:hAnsi="宋体" w:cs="宋体"/>
          <w:bCs/>
          <w:color w:val="auto"/>
          <w:szCs w:val="21"/>
          <w:highlight w:val="none"/>
        </w:rPr>
        <w:t>若</w:t>
      </w:r>
      <w:r>
        <w:rPr>
          <w:rFonts w:hint="eastAsia" w:ascii="宋体" w:hAnsi="宋体" w:cs="宋体"/>
          <w:color w:val="auto"/>
          <w:szCs w:val="21"/>
          <w:highlight w:val="none"/>
        </w:rPr>
        <w:t>投标人须知前附表规定可以接受联合体投标的，联合体除应符合本章第 1.4.1 项和投标人须知前附表的要求外，还应遵守以下规定：</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（1）联合体各方应按招标文件提供的格式签订联合体协议书，明确联合体牵头人和各方权利义务，并承诺就中标项目向招标人承担连带责任；</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（2）由同一专业的单位组成的联合体，按照资质等级较低的单位确定资质等级；</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（3）联合体各方不得再以自己名义单独或参加其他联合体在本招标项目中投标，否则各相关投标均无效。</w:t>
      </w:r>
    </w:p>
    <w:p>
      <w:pPr>
        <w:spacing w:line="360" w:lineRule="auto"/>
        <w:ind w:firstLine="421" w:firstLineChars="200"/>
        <w:rPr>
          <w:rFonts w:hint="eastAsia" w:ascii="宋体" w:hAnsi="宋体" w:cs="宋体"/>
          <w:color w:val="auto"/>
          <w:szCs w:val="21"/>
          <w:highlight w:val="none"/>
        </w:rPr>
      </w:pPr>
      <w:bookmarkStart w:id="219" w:name="page21"/>
      <w:bookmarkEnd w:id="219"/>
      <w:r>
        <w:rPr>
          <w:rFonts w:hint="eastAsia" w:ascii="宋体" w:hAnsi="宋体" w:cs="宋体"/>
          <w:b/>
          <w:color w:val="auto"/>
          <w:szCs w:val="21"/>
          <w:highlight w:val="none"/>
        </w:rPr>
        <w:t>1.5 费用承担</w:t>
      </w:r>
    </w:p>
    <w:p>
      <w:pPr>
        <w:spacing w:line="360" w:lineRule="auto"/>
        <w:ind w:firstLine="420" w:firstLineChars="200"/>
        <w:rPr>
          <w:rFonts w:hint="eastAsia" w:ascii="宋体" w:hAnsi="宋体" w:cs="宋体"/>
          <w:color w:val="auto"/>
          <w:szCs w:val="21"/>
          <w:highlight w:val="none"/>
        </w:rPr>
      </w:pPr>
      <w:r>
        <w:rPr>
          <w:rFonts w:hint="eastAsia" w:ascii="宋体" w:hAnsi="宋体" w:cs="宋体"/>
          <w:bCs/>
          <w:color w:val="auto"/>
          <w:szCs w:val="21"/>
          <w:highlight w:val="none"/>
        </w:rPr>
        <w:t>投标人应承担所有与其参加投标有关的全部费用，不论投标的结果如何，招标代理机构和招标人在任何情况下均无义务和责任承担这些费用。</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1.6 保密</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参与招标投标活动的各方应对招标文件和投标文件中的价格、商业和技术等信息保密，否则应承担相应的法律责任</w:t>
      </w:r>
      <w:r>
        <w:rPr>
          <w:rFonts w:hint="eastAsia" w:ascii="宋体" w:hAnsi="宋体"/>
          <w:color w:val="auto"/>
          <w:highlight w:val="none"/>
        </w:rPr>
        <w:t>，赔偿因此引起的一切损失</w:t>
      </w:r>
      <w:r>
        <w:rPr>
          <w:rFonts w:hint="eastAsia" w:ascii="宋体" w:hAnsi="宋体" w:cs="宋体"/>
          <w:color w:val="auto"/>
          <w:szCs w:val="21"/>
          <w:highlight w:val="none"/>
        </w:rPr>
        <w:t>。</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1.7 语言文字</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招标投标文件使用的语言文字为中文。专用术语使用外文的，应附有中文注释。</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1.8 计量单位</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所有计量均采用中华人民共和国法定计量单位。</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1.9 投标预备会和现场踏勘</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1.9.1</w:t>
      </w:r>
      <w:r>
        <w:rPr>
          <w:rFonts w:hint="eastAsia" w:ascii="宋体" w:hAnsi="宋体" w:cs="宋体"/>
          <w:color w:val="auto"/>
          <w:szCs w:val="21"/>
          <w:highlight w:val="none"/>
        </w:rPr>
        <w:t xml:space="preserve"> 投标人须知前附表规定召开投标预备会的，招标人按投标人须知前附表规定的时间和地点召开投标预备会，澄清投标人提出的问题。</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1.9.2</w:t>
      </w:r>
      <w:r>
        <w:rPr>
          <w:rFonts w:hint="eastAsia" w:ascii="宋体" w:hAnsi="宋体" w:cs="宋体"/>
          <w:color w:val="auto"/>
          <w:szCs w:val="21"/>
          <w:highlight w:val="none"/>
        </w:rPr>
        <w:t xml:space="preserve"> 投标人应按投标人须知前附表规定的时间和形式将提出的问题送达招标人，以便招标人在会议期间澄清。</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1.9.3</w:t>
      </w:r>
      <w:r>
        <w:rPr>
          <w:rFonts w:hint="eastAsia" w:ascii="宋体" w:hAnsi="宋体" w:cs="宋体"/>
          <w:color w:val="auto"/>
          <w:szCs w:val="21"/>
          <w:highlight w:val="none"/>
        </w:rPr>
        <w:t xml:space="preserve"> 投标预备会后，招标人将对投标人所提问题的澄清，以投标人须知前附表规定的形式通知所有在中国南方航空采购招标网下载招标文件的投标人。该澄清内容为招标文件的组成部分。</w:t>
      </w:r>
    </w:p>
    <w:p>
      <w:pPr>
        <w:spacing w:line="360" w:lineRule="auto"/>
        <w:ind w:firstLine="421" w:firstLineChars="200"/>
        <w:rPr>
          <w:rFonts w:hint="eastAsia" w:ascii="宋体" w:hAnsi="宋体" w:cs="宋体"/>
          <w:color w:val="auto"/>
          <w:szCs w:val="21"/>
          <w:highlight w:val="none"/>
        </w:rPr>
      </w:pPr>
      <w:r>
        <w:rPr>
          <w:rFonts w:hint="eastAsia" w:ascii="宋体" w:hAnsi="宋体" w:cs="宋体"/>
          <w:b/>
          <w:bCs/>
          <w:color w:val="auto"/>
          <w:szCs w:val="21"/>
          <w:highlight w:val="none"/>
        </w:rPr>
        <w:t>1.9.4</w:t>
      </w:r>
      <w:r>
        <w:rPr>
          <w:rFonts w:hint="eastAsia" w:ascii="宋体" w:hAnsi="宋体" w:cs="宋体"/>
          <w:color w:val="auto"/>
          <w:szCs w:val="21"/>
          <w:highlight w:val="none"/>
        </w:rPr>
        <w:t xml:space="preserve"> 投标人须知前附表规定投标人可以进行现场踏勘的，投标人应按投标人须知前附表规定的时间和地点进行现场踏勘。</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1.10 分包</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1.10.1</w:t>
      </w:r>
      <w:r>
        <w:rPr>
          <w:rFonts w:hint="eastAsia" w:ascii="宋体" w:hAnsi="宋体" w:cs="宋体"/>
          <w:color w:val="auto"/>
          <w:szCs w:val="21"/>
          <w:highlight w:val="none"/>
        </w:rPr>
        <w:t xml:space="preserve"> 投标人拟在中标后将中标项目进行分包的，应符合投标人须知前附表规定的分包内容、分包金额和资质要求等限制性条件，除投标人须知前附表规定的内容外，其他工作不得分包。</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1.10.2</w:t>
      </w:r>
      <w:r>
        <w:rPr>
          <w:rFonts w:hint="eastAsia" w:ascii="宋体" w:hAnsi="宋体" w:cs="宋体"/>
          <w:color w:val="auto"/>
          <w:szCs w:val="21"/>
          <w:highlight w:val="none"/>
        </w:rPr>
        <w:t xml:space="preserve"> 接受分包的人不得再次分包。中标人应当就分包项目向招标人负责，接受分包的人就分包项目承担连带责任。</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1.11 响应和偏差</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 xml:space="preserve">1.11.1 </w:t>
      </w:r>
      <w:r>
        <w:rPr>
          <w:rFonts w:hint="eastAsia" w:ascii="宋体" w:hAnsi="宋体" w:cs="宋体"/>
          <w:bCs/>
          <w:color w:val="auto"/>
          <w:szCs w:val="21"/>
          <w:highlight w:val="none"/>
        </w:rPr>
        <w:t>招标文件中，如有需要，可以用符号区分条款的重要性。</w:t>
      </w:r>
      <w:r>
        <w:rPr>
          <w:rFonts w:hint="eastAsia" w:ascii="宋体" w:hAnsi="宋体" w:cs="宋体"/>
          <w:color w:val="auto"/>
          <w:szCs w:val="21"/>
          <w:highlight w:val="none"/>
        </w:rPr>
        <w:t>标注“★”的为重要条款，标注“☆”较重要条款，没作特殊标记的为一般条款。一个“★”号条款不满足或两个“☆”号条款不满足则导致投标无效。投标人须知前附表有其他规定的，应当符合规定。</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1.11.2</w:t>
      </w:r>
      <w:r>
        <w:rPr>
          <w:rFonts w:hint="eastAsia" w:ascii="宋体" w:hAnsi="宋体" w:cs="宋体"/>
          <w:color w:val="auto"/>
          <w:szCs w:val="21"/>
          <w:highlight w:val="none"/>
        </w:rPr>
        <w:t xml:space="preserve"> 投标文件应当对招标文件的实质性要求和条件作出满足性或更有利于招标人的响应，</w:t>
      </w:r>
      <w:bookmarkStart w:id="220" w:name="page22"/>
      <w:bookmarkEnd w:id="220"/>
      <w:r>
        <w:rPr>
          <w:rFonts w:hint="eastAsia" w:ascii="宋体" w:hAnsi="宋体" w:cs="宋体"/>
          <w:color w:val="auto"/>
          <w:szCs w:val="21"/>
          <w:highlight w:val="none"/>
        </w:rPr>
        <w:t>否则，投标人的投标将被否决。实质性要求和条件见投标人须知前附表。</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1.11.3 </w:t>
      </w:r>
      <w:r>
        <w:rPr>
          <w:rFonts w:hint="eastAsia" w:ascii="宋体" w:hAnsi="宋体" w:cs="宋体"/>
          <w:color w:val="auto"/>
          <w:szCs w:val="21"/>
          <w:highlight w:val="none"/>
        </w:rPr>
        <w:t>投标人应根据招标文件的要求提供投标货物技术性能指标的详细描述、技术支持资料及技术服务和质保期服务计划等内容以对招标文件作出响应。（适用于货物类招标项目）</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1.11.4</w:t>
      </w:r>
      <w:r>
        <w:rPr>
          <w:rFonts w:hint="eastAsia" w:ascii="宋体" w:hAnsi="宋体" w:cs="宋体"/>
          <w:color w:val="auto"/>
          <w:szCs w:val="21"/>
          <w:highlight w:val="none"/>
        </w:rPr>
        <w:t xml:space="preserve">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适用于货物类招标项目）</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1.11.5</w:t>
      </w:r>
      <w:r>
        <w:rPr>
          <w:rFonts w:hint="eastAsia" w:ascii="宋体" w:hAnsi="宋体" w:cs="宋体"/>
          <w:color w:val="auto"/>
          <w:szCs w:val="21"/>
          <w:highlight w:val="none"/>
        </w:rPr>
        <w:t xml:space="preserve"> 投标人须知前附表规定了一般条款可以偏差的范围和最高偏差项数的，偏差应当符合投标人须知前附表规定的偏差范围和最高项数，超出偏差范围和最高偏差项数的投标将被否决。</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1.11.6</w:t>
      </w:r>
      <w:r>
        <w:rPr>
          <w:rFonts w:hint="eastAsia" w:ascii="宋体" w:hAnsi="宋体" w:cs="宋体"/>
          <w:color w:val="auto"/>
          <w:szCs w:val="21"/>
          <w:highlight w:val="none"/>
        </w:rPr>
        <w:t xml:space="preserve"> 投标文件对招标文件的全部偏差，均应在投标文件的商务和技术偏差表中列明，除列明的内容外，视为投标人响应招标文件的全部要求。</w:t>
      </w:r>
    </w:p>
    <w:p>
      <w:pPr>
        <w:spacing w:line="360" w:lineRule="auto"/>
        <w:rPr>
          <w:rFonts w:hint="eastAsia" w:ascii="宋体" w:hAnsi="宋体" w:cs="宋体"/>
          <w:b/>
          <w:color w:val="auto"/>
          <w:sz w:val="24"/>
          <w:highlight w:val="none"/>
        </w:rPr>
      </w:pPr>
      <w:bookmarkStart w:id="221" w:name="_Toc32157"/>
      <w:bookmarkStart w:id="222" w:name="_Toc32566"/>
      <w:bookmarkStart w:id="223" w:name="_Toc24718"/>
      <w:bookmarkStart w:id="224" w:name="_Toc10776"/>
      <w:bookmarkStart w:id="225" w:name="_Toc13957"/>
      <w:bookmarkStart w:id="226" w:name="_Toc16061"/>
      <w:bookmarkStart w:id="227" w:name="_Toc6200"/>
      <w:bookmarkStart w:id="228" w:name="_Toc504657612"/>
      <w:bookmarkStart w:id="229" w:name="_Toc21751"/>
      <w:r>
        <w:rPr>
          <w:rFonts w:hint="eastAsia" w:ascii="宋体" w:hAnsi="宋体" w:cs="宋体"/>
          <w:b/>
          <w:color w:val="auto"/>
          <w:sz w:val="24"/>
          <w:highlight w:val="none"/>
        </w:rPr>
        <w:t>2、招标文件</w:t>
      </w:r>
      <w:bookmarkEnd w:id="221"/>
      <w:bookmarkEnd w:id="222"/>
      <w:bookmarkEnd w:id="223"/>
      <w:bookmarkEnd w:id="224"/>
      <w:bookmarkEnd w:id="225"/>
      <w:bookmarkEnd w:id="226"/>
      <w:bookmarkEnd w:id="227"/>
      <w:bookmarkEnd w:id="228"/>
      <w:bookmarkEnd w:id="229"/>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2.1 招标文件的组成</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本招标文件包括：</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（1）招标公告（或投标邀请书）；</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（2）投标人须知及前附表；</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（3）评标办法；</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（4）用户需求；</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（5）合同条款及格式；</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（6）投标文件格式；</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（7）投标人须知前附表规定的其他资料。</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根据本章第1.9 款和第2.2 款对招标文件所作的澄清、修改，构成招标文件的组成部分。</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2.2 招标文件的澄清、修改</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2.2.1</w:t>
      </w:r>
      <w:r>
        <w:rPr>
          <w:rFonts w:hint="eastAsia" w:ascii="宋体" w:hAnsi="宋体" w:cs="宋体"/>
          <w:color w:val="auto"/>
          <w:szCs w:val="21"/>
          <w:highlight w:val="none"/>
        </w:rPr>
        <w:t xml:space="preserve"> 投标人应仔细阅读招标文件的全部内容。如对招标文件有疑问，可要求招标人予以答疑，疑问应当按投标人须知前附表规定的时间和形式将提出的问题一次性送达招标人。招标人</w:t>
      </w:r>
      <w:r>
        <w:rPr>
          <w:rFonts w:hint="eastAsia" w:ascii="宋体" w:hAnsi="宋体" w:cs="宋体"/>
          <w:color w:val="auto"/>
          <w:szCs w:val="21"/>
          <w:highlight w:val="none"/>
          <w:lang w:eastAsia="zh-CN"/>
        </w:rPr>
        <w:t>按</w:t>
      </w:r>
      <w:r>
        <w:rPr>
          <w:rFonts w:hint="eastAsia" w:ascii="宋体" w:hAnsi="宋体" w:cs="宋体"/>
          <w:color w:val="auto"/>
          <w:szCs w:val="21"/>
          <w:highlight w:val="none"/>
        </w:rPr>
        <w:t>投标人须知前附表规定的时间和形式答复。</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2.2.2</w:t>
      </w:r>
      <w:r>
        <w:rPr>
          <w:rFonts w:hint="eastAsia" w:ascii="宋体" w:hAnsi="宋体" w:cs="宋体"/>
          <w:color w:val="auto"/>
          <w:szCs w:val="21"/>
          <w:highlight w:val="none"/>
        </w:rPr>
        <w:t xml:space="preserve"> 招标人必要时可以对已发出的招标文件进行必要的澄清或者修改，澄清或者修改的内容可能影响投标文件编制的，招标人应当在规定时间内，以书面形式通知所有获取招标文件的潜在投标人；未按规定时间内发出的，招标人应当顺延投标文件截止时间。</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2.2.3</w:t>
      </w:r>
      <w:r>
        <w:rPr>
          <w:rFonts w:hint="eastAsia" w:ascii="宋体" w:hAnsi="宋体" w:cs="宋体"/>
          <w:color w:val="auto"/>
          <w:szCs w:val="21"/>
          <w:highlight w:val="none"/>
        </w:rPr>
        <w:t xml:space="preserve"> 澄清或修改文件一经在中国南方航空采购招标网站发布，视作已以书面形式送达所有报名投标人。</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2.2.4</w:t>
      </w:r>
      <w:r>
        <w:rPr>
          <w:rFonts w:hint="eastAsia" w:ascii="宋体" w:hAnsi="宋体" w:cs="宋体"/>
          <w:color w:val="auto"/>
          <w:szCs w:val="21"/>
          <w:highlight w:val="none"/>
        </w:rPr>
        <w:t xml:space="preserve"> 除非招标人认为确有必要答复，否则，招标人有权拒绝回复投标人在本章第 2.2.1 项规定的时间后的任何答疑要求。</w:t>
      </w:r>
    </w:p>
    <w:p>
      <w:pPr>
        <w:spacing w:line="360" w:lineRule="auto"/>
        <w:rPr>
          <w:rFonts w:hint="eastAsia" w:ascii="宋体" w:hAnsi="宋体" w:cs="宋体"/>
          <w:b/>
          <w:color w:val="auto"/>
          <w:sz w:val="24"/>
          <w:highlight w:val="none"/>
        </w:rPr>
      </w:pPr>
      <w:bookmarkStart w:id="230" w:name="_Toc3169"/>
      <w:bookmarkStart w:id="231" w:name="_Toc504657613"/>
      <w:bookmarkStart w:id="232" w:name="_Toc22187"/>
      <w:bookmarkStart w:id="233" w:name="_Toc32596"/>
      <w:bookmarkStart w:id="234" w:name="_Toc17179"/>
      <w:bookmarkStart w:id="235" w:name="_Toc263"/>
      <w:bookmarkStart w:id="236" w:name="_Toc21241"/>
      <w:bookmarkStart w:id="237" w:name="_Toc1130"/>
      <w:bookmarkStart w:id="238" w:name="_Toc15265"/>
      <w:r>
        <w:rPr>
          <w:rFonts w:hint="eastAsia" w:ascii="宋体" w:hAnsi="宋体" w:cs="宋体"/>
          <w:b/>
          <w:color w:val="auto"/>
          <w:sz w:val="24"/>
          <w:highlight w:val="none"/>
        </w:rPr>
        <w:t>3、投标文件</w:t>
      </w:r>
      <w:bookmarkEnd w:id="230"/>
      <w:bookmarkEnd w:id="231"/>
      <w:bookmarkEnd w:id="232"/>
      <w:bookmarkEnd w:id="233"/>
      <w:bookmarkEnd w:id="234"/>
      <w:bookmarkEnd w:id="235"/>
      <w:bookmarkEnd w:id="236"/>
      <w:bookmarkEnd w:id="237"/>
      <w:bookmarkEnd w:id="238"/>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3.1 投标文件的组成</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3.1.1</w:t>
      </w:r>
      <w:r>
        <w:rPr>
          <w:rFonts w:hint="eastAsia" w:ascii="宋体" w:hAnsi="宋体" w:cs="宋体"/>
          <w:color w:val="auto"/>
          <w:szCs w:val="21"/>
          <w:highlight w:val="none"/>
        </w:rPr>
        <w:t xml:space="preserve"> 投标文件应包括下列组成部分：商务部分、技术部分、报价部分、投标保证金和投标人须知前附表规定的其他资料。</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3.1.2</w:t>
      </w:r>
      <w:r>
        <w:rPr>
          <w:rFonts w:hint="eastAsia" w:ascii="宋体" w:hAnsi="宋体" w:cs="宋体"/>
          <w:color w:val="auto"/>
          <w:szCs w:val="21"/>
          <w:highlight w:val="none"/>
        </w:rPr>
        <w:t xml:space="preserve"> 投标人须知前附表规定不接受联合体投标的，或投标人没有组成联合体的，投标文件不包括本章第</w:t>
      </w:r>
      <w:r>
        <w:rPr>
          <w:rFonts w:hint="eastAsia" w:ascii="宋体" w:hAnsi="宋体" w:cs="宋体"/>
          <w:b/>
          <w:color w:val="auto"/>
          <w:szCs w:val="21"/>
          <w:highlight w:val="none"/>
        </w:rPr>
        <w:t>1.4.2</w:t>
      </w:r>
      <w:r>
        <w:rPr>
          <w:rFonts w:hint="eastAsia" w:ascii="宋体" w:hAnsi="宋体" w:cs="宋体"/>
          <w:color w:val="auto"/>
          <w:szCs w:val="21"/>
          <w:highlight w:val="none"/>
        </w:rPr>
        <w:t>目所指的联合体协议书。</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3.1.3</w:t>
      </w:r>
      <w:r>
        <w:rPr>
          <w:rFonts w:hint="eastAsia" w:ascii="宋体" w:hAnsi="宋体" w:cs="宋体"/>
          <w:color w:val="auto"/>
          <w:szCs w:val="21"/>
          <w:highlight w:val="none"/>
        </w:rPr>
        <w:t xml:space="preserve"> 投标人须知前附表未要求提交投标保证金的，投标文件不包括投标保证金。</w:t>
      </w:r>
    </w:p>
    <w:p>
      <w:pPr>
        <w:spacing w:line="360" w:lineRule="auto"/>
        <w:ind w:firstLine="421" w:firstLineChars="200"/>
        <w:rPr>
          <w:rFonts w:hint="eastAsia" w:ascii="宋体" w:hAnsi="宋体" w:cs="宋体"/>
          <w:color w:val="auto"/>
          <w:szCs w:val="21"/>
          <w:highlight w:val="none"/>
        </w:rPr>
      </w:pPr>
      <w:r>
        <w:rPr>
          <w:rFonts w:hint="eastAsia" w:ascii="宋体" w:hAnsi="宋体" w:cs="宋体"/>
          <w:b/>
          <w:bCs/>
          <w:color w:val="auto"/>
          <w:szCs w:val="21"/>
          <w:highlight w:val="none"/>
        </w:rPr>
        <w:t xml:space="preserve">3.1.4 </w:t>
      </w:r>
      <w:r>
        <w:rPr>
          <w:rFonts w:hint="eastAsia" w:ascii="宋体" w:hAnsi="宋体" w:cs="宋体"/>
          <w:color w:val="auto"/>
          <w:szCs w:val="21"/>
          <w:highlight w:val="none"/>
        </w:rPr>
        <w:t>投标人在评标过程中做出的符合法律法规和招标文件规定的澄清确认，构成投标文件的组成部分。</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3.2 投标报价</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3.2.1</w:t>
      </w:r>
      <w:r>
        <w:rPr>
          <w:rFonts w:hint="eastAsia" w:ascii="宋体" w:hAnsi="宋体" w:cs="宋体"/>
          <w:color w:val="auto"/>
          <w:szCs w:val="21"/>
          <w:highlight w:val="none"/>
        </w:rPr>
        <w:t xml:space="preserve"> 投标报价应包括国家规定的增值税税金，除投标人须知前附表另有规定外，增值税税金按一般计税方法计算。投标人应按第六章“投标文件格式”的要求在电子开标一览表中进行报价并填写分项报价表。</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3.2.2</w:t>
      </w:r>
      <w:r>
        <w:rPr>
          <w:rFonts w:hint="eastAsia" w:ascii="宋体" w:hAnsi="宋体" w:cs="宋体"/>
          <w:color w:val="auto"/>
          <w:szCs w:val="21"/>
          <w:highlight w:val="none"/>
        </w:rPr>
        <w:t xml:space="preserve"> 投标人应充分了解该项目的总体情况以及影响投标报价的其他要素。</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3.2.3 </w:t>
      </w:r>
      <w:r>
        <w:rPr>
          <w:rFonts w:hint="eastAsia" w:ascii="宋体" w:hAnsi="宋体" w:cs="宋体"/>
          <w:color w:val="auto"/>
          <w:szCs w:val="21"/>
          <w:highlight w:val="none"/>
        </w:rPr>
        <w:t>招标人设有最高投标限价的，投标人的投标报价不得超过最高投标限价，最高投标限价在投标人须知前附表中载明。</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3.2.4</w:t>
      </w:r>
      <w:r>
        <w:rPr>
          <w:rFonts w:hint="eastAsia" w:ascii="宋体" w:hAnsi="宋体" w:cs="宋体"/>
          <w:color w:val="auto"/>
          <w:szCs w:val="21"/>
          <w:highlight w:val="none"/>
        </w:rPr>
        <w:t xml:space="preserve"> 投标报价的其他要求见投标人须知前附表。</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3.3 投标有效期</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3.3.1</w:t>
      </w:r>
      <w:r>
        <w:rPr>
          <w:rFonts w:hint="eastAsia" w:ascii="宋体" w:hAnsi="宋体" w:cs="宋体"/>
          <w:color w:val="auto"/>
          <w:szCs w:val="21"/>
          <w:highlight w:val="none"/>
        </w:rPr>
        <w:t xml:space="preserve"> 投标有效期自本招标文件规定的投标截止时间起开始生效，并在“投标人须知前附表”中规定的期限内保持有效。投标有效期短于这个规定期限的投标将被视为无效投标。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3.3.2</w:t>
      </w:r>
      <w:r>
        <w:rPr>
          <w:rFonts w:hint="eastAsia" w:ascii="宋体" w:hAnsi="宋体" w:cs="宋体"/>
          <w:color w:val="auto"/>
          <w:szCs w:val="21"/>
          <w:highlight w:val="none"/>
        </w:rPr>
        <w:t xml:space="preserve"> 在投标有效期内，投标人撤销投标文件的，应承担招标文件和法律规定的责任。</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3.3.3 </w:t>
      </w:r>
      <w:r>
        <w:rPr>
          <w:rFonts w:hint="eastAsia" w:ascii="宋体" w:hAnsi="宋体" w:cs="宋体"/>
          <w:color w:val="auto"/>
          <w:szCs w:val="21"/>
          <w:highlight w:val="none"/>
        </w:rPr>
        <w:t>出现特殊情况需要延长投标有效期的，招标人以书面形式通知所有投标人延长投标有效期。投标人应予以书面答复，同意延长的，应相应延长其投标保证金或保函的有效期，但不得要求或被允许修改其投标文件；投标人拒绝延长的，其投标失效，但投标人有权收回其投标保证金</w:t>
      </w:r>
      <w:r>
        <w:rPr>
          <w:rFonts w:hint="eastAsia" w:ascii="宋体" w:hAnsi="宋体"/>
          <w:lang w:val="en-US" w:eastAsia="zh-CN"/>
        </w:rPr>
        <w:t>及</w:t>
      </w:r>
      <w:r>
        <w:rPr>
          <w:rFonts w:hint="eastAsia" w:ascii="宋体" w:hAnsi="宋体" w:cs="宋体"/>
          <w:szCs w:val="21"/>
          <w:lang w:val="en-US" w:eastAsia="zh-CN"/>
        </w:rPr>
        <w:t>银行同期存款利息</w:t>
      </w:r>
      <w:r>
        <w:rPr>
          <w:rFonts w:hint="eastAsia" w:ascii="宋体" w:hAnsi="宋体" w:cs="宋体"/>
          <w:color w:val="auto"/>
          <w:szCs w:val="21"/>
          <w:highlight w:val="none"/>
        </w:rPr>
        <w:t>。</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3.4 投标保证金</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3.4.1</w:t>
      </w:r>
      <w:r>
        <w:rPr>
          <w:rFonts w:hint="eastAsia" w:ascii="宋体" w:hAnsi="宋体" w:cs="宋体"/>
          <w:color w:val="auto"/>
          <w:szCs w:val="21"/>
          <w:highlight w:val="none"/>
        </w:rPr>
        <w:t xml:space="preserve"> 投标人在递交投标文件的同时，应按投标人须知前附表规定的金额、形式递交投标保证金，并作为其投标文件的组成部分。投标人如通过汇款形式递交投标保证金的，应当从其公司账户转出，通过金融机构保函形式递交投标保证金的，应当以投标人名义委托开具，招标代理机构不接受任何个人名义汇款缴纳的投标保证金或委托开具的投标保证金保函。联合体投标的，其投标保证金可以由牵头人递交，并应符合投标人须知前附表的规定。</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3.4.2</w:t>
      </w:r>
      <w:r>
        <w:rPr>
          <w:rFonts w:hint="eastAsia" w:ascii="宋体" w:hAnsi="宋体" w:cs="宋体"/>
          <w:b/>
          <w:bCs/>
          <w:color w:val="auto"/>
          <w:szCs w:val="21"/>
          <w:highlight w:val="none"/>
        </w:rPr>
        <w:t>保证金银行帐号：</w:t>
      </w:r>
      <w:r>
        <w:rPr>
          <w:rFonts w:hint="eastAsia" w:ascii="宋体" w:hAnsi="宋体" w:cs="宋体"/>
          <w:color w:val="auto"/>
          <w:szCs w:val="21"/>
          <w:highlight w:val="none"/>
        </w:rPr>
        <w:t>投标人在中国南方航空采购招标网成功下载招标文件后，平台系统将自动生成本次招标项目的投标保证金汇入账号。</w:t>
      </w:r>
      <w:r>
        <w:rPr>
          <w:rFonts w:hint="eastAsia" w:ascii="宋体" w:hAnsi="宋体" w:cs="宋体"/>
          <w:szCs w:val="21"/>
          <w:lang w:val="en-US" w:eastAsia="zh-CN"/>
        </w:rPr>
        <w:t>投标人</w:t>
      </w:r>
      <w:r>
        <w:rPr>
          <w:rFonts w:hint="eastAsia" w:ascii="宋体" w:hAnsi="宋体" w:cs="宋体"/>
          <w:color w:val="auto"/>
          <w:szCs w:val="21"/>
          <w:highlight w:val="none"/>
        </w:rPr>
        <w:t xml:space="preserve">可在南航采购平台电子招投标系统中，招标文件下载页面查看保证金接收银行账号。（说明：为使投标人的保证金自动对应参与的投标项目，平台系统已对接银行保证金管理系统，将在下载招标文件成功后，为每个参与的招标项目，单独分配一个银行附属账户。）  </w:t>
      </w:r>
    </w:p>
    <w:p>
      <w:pPr>
        <w:spacing w:line="360" w:lineRule="auto"/>
        <w:ind w:firstLine="421" w:firstLineChars="200"/>
        <w:rPr>
          <w:rFonts w:hint="eastAsia" w:ascii="宋体" w:hAnsi="宋体" w:cs="宋体"/>
          <w:color w:val="auto"/>
          <w:szCs w:val="21"/>
          <w:highlight w:val="none"/>
        </w:rPr>
      </w:pPr>
      <w:r>
        <w:rPr>
          <w:rFonts w:hint="eastAsia" w:ascii="宋体" w:hAnsi="宋体" w:cs="宋体"/>
          <w:b/>
          <w:bCs/>
          <w:color w:val="auto"/>
          <w:szCs w:val="21"/>
          <w:highlight w:val="none"/>
        </w:rPr>
        <w:t>3.4.3投标保证金的递交：</w:t>
      </w:r>
      <w:r>
        <w:rPr>
          <w:rFonts w:hint="eastAsia" w:ascii="宋体" w:hAnsi="宋体" w:cs="宋体"/>
          <w:color w:val="auto"/>
          <w:szCs w:val="21"/>
          <w:highlight w:val="none"/>
        </w:rPr>
        <w:t>请投标人务必对应投标项目，将投标保证金分别汇入与其对应的子账号中</w:t>
      </w:r>
      <w:r>
        <w:rPr>
          <w:rFonts w:hint="eastAsia" w:ascii="宋体" w:hAnsi="宋体" w:cs="宋体"/>
          <w:szCs w:val="21"/>
          <w:lang w:eastAsia="zh-CN"/>
        </w:rPr>
        <w:t>，</w:t>
      </w:r>
      <w:r>
        <w:rPr>
          <w:rFonts w:hint="eastAsia" w:ascii="宋体" w:hAnsi="宋体" w:cs="宋体"/>
          <w:szCs w:val="21"/>
          <w:lang w:val="en-US" w:eastAsia="zh-CN"/>
        </w:rPr>
        <w:t>或者向招标人提交保函</w:t>
      </w:r>
      <w:r>
        <w:rPr>
          <w:rFonts w:hint="eastAsia" w:ascii="宋体" w:hAnsi="宋体" w:cs="宋体"/>
          <w:color w:val="auto"/>
          <w:szCs w:val="21"/>
          <w:highlight w:val="none"/>
        </w:rPr>
        <w:t>。汇款成功后，投标人可以登录南航采购平台电子招投标系统查看保证金汇款的到账情况。</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3.4.4</w:t>
      </w:r>
      <w:r>
        <w:rPr>
          <w:rFonts w:hint="eastAsia" w:ascii="宋体" w:hAnsi="宋体" w:cs="宋体"/>
          <w:color w:val="auto"/>
          <w:szCs w:val="21"/>
          <w:highlight w:val="none"/>
        </w:rPr>
        <w:t xml:space="preserve"> 投标人不按本章第 3.4项要求提交投标保证金的，评标委员会将否决其投标。</w:t>
      </w:r>
    </w:p>
    <w:p>
      <w:pPr>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lang w:bidi="ar"/>
        </w:rPr>
        <w:t>3.4.5</w:t>
      </w:r>
      <w:r>
        <w:rPr>
          <w:rFonts w:hint="eastAsia" w:ascii="宋体" w:hAnsi="宋体" w:cs="宋体"/>
          <w:color w:val="auto"/>
          <w:szCs w:val="21"/>
          <w:highlight w:val="none"/>
          <w:lang w:bidi="ar"/>
        </w:rPr>
        <w:t> 未中标的投标人保证金，在中标通知书发出之日起三十日内或本项目合同签订后5日内（二者以先到者为准）按投标人保证金汇款路径原路退还保证金及银行同期存款利息</w:t>
      </w:r>
      <w:r>
        <w:rPr>
          <w:rFonts w:hint="eastAsia"/>
          <w:color w:val="366091"/>
          <w:lang w:val="en-US" w:eastAsia="zh-CN"/>
        </w:rPr>
        <w:t>或退还保函</w:t>
      </w:r>
      <w:r>
        <w:rPr>
          <w:rFonts w:hint="eastAsia" w:ascii="宋体" w:hAnsi="宋体" w:cs="宋体"/>
          <w:color w:val="auto"/>
          <w:szCs w:val="21"/>
          <w:highlight w:val="none"/>
          <w:lang w:bidi="ar"/>
        </w:rPr>
        <w:t>。如有异议或投诉，将在异议和投诉处理完毕后原路退还保证金及银行同期存款利息</w:t>
      </w:r>
      <w:r>
        <w:rPr>
          <w:rFonts w:hint="eastAsia"/>
          <w:color w:val="366091"/>
          <w:lang w:val="en-US" w:eastAsia="zh-CN"/>
        </w:rPr>
        <w:t>或退还保函</w:t>
      </w:r>
      <w:r>
        <w:rPr>
          <w:rFonts w:hint="eastAsia" w:ascii="宋体" w:hAnsi="宋体" w:cs="宋体"/>
          <w:color w:val="auto"/>
          <w:szCs w:val="21"/>
          <w:highlight w:val="none"/>
          <w:lang w:bidi="ar"/>
        </w:rPr>
        <w:t>。中标人的投标保证金，在交纳中标服务费并且与招标人签订合同后，原路退还</w:t>
      </w:r>
      <w:r>
        <w:rPr>
          <w:rFonts w:hint="eastAsia" w:ascii="宋体" w:hAnsi="宋体" w:cs="宋体"/>
          <w:color w:val="auto"/>
          <w:szCs w:val="21"/>
          <w:highlight w:val="none"/>
          <w:lang w:val="en-US" w:eastAsia="zh-CN" w:bidi="ar"/>
        </w:rPr>
        <w:t>剩余</w:t>
      </w:r>
      <w:r>
        <w:rPr>
          <w:rFonts w:hint="eastAsia" w:ascii="宋体" w:hAnsi="宋体" w:cs="宋体"/>
          <w:color w:val="auto"/>
          <w:szCs w:val="21"/>
          <w:highlight w:val="none"/>
          <w:lang w:bidi="ar"/>
        </w:rPr>
        <w:t>保证金及银行同期存款利息</w:t>
      </w:r>
      <w:r>
        <w:rPr>
          <w:rFonts w:hint="eastAsia"/>
          <w:color w:val="366091"/>
          <w:lang w:val="en-US" w:eastAsia="zh-CN"/>
        </w:rPr>
        <w:t>或退还保函</w:t>
      </w:r>
      <w:r>
        <w:rPr>
          <w:rFonts w:hint="eastAsia" w:ascii="宋体" w:hAnsi="宋体" w:cs="宋体"/>
          <w:color w:val="auto"/>
          <w:szCs w:val="21"/>
          <w:highlight w:val="none"/>
          <w:lang w:bidi="ar"/>
        </w:rPr>
        <w:t>。由于投标人银行信息变更导致原路退还失败的，请联系工作人员，重新提供变更后的银行信息。</w:t>
      </w:r>
    </w:p>
    <w:p>
      <w:pPr>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rPr>
        <w:t>3.4.6</w:t>
      </w:r>
      <w:r>
        <w:rPr>
          <w:rFonts w:hint="eastAsia" w:ascii="宋体" w:hAnsi="宋体" w:cs="宋体"/>
          <w:color w:val="auto"/>
          <w:szCs w:val="21"/>
          <w:highlight w:val="none"/>
        </w:rPr>
        <w:t xml:space="preserve"> 有下列情形之一的，</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人有权不予退还投标保证金</w:t>
      </w:r>
      <w:r>
        <w:rPr>
          <w:rFonts w:hint="eastAsia" w:ascii="宋体" w:hAnsi="宋体" w:cs="宋体"/>
          <w:szCs w:val="21"/>
          <w:lang w:val="en-US" w:eastAsia="zh-CN"/>
        </w:rPr>
        <w:t>及银行同期存款利息</w:t>
      </w:r>
      <w:r>
        <w:rPr>
          <w:rFonts w:hint="eastAsia" w:ascii="宋体" w:hAnsi="宋体" w:cs="宋体"/>
          <w:color w:val="auto"/>
          <w:szCs w:val="21"/>
          <w:highlight w:val="none"/>
        </w:rPr>
        <w:t>，以保函形式递交保证金的，招标人有权要求保函出具机构（担保人）向招标人全额支付保函金额：</w:t>
      </w:r>
    </w:p>
    <w:p>
      <w:pPr>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rPr>
        <w:t>3.4.6.1</w:t>
      </w:r>
      <w:r>
        <w:rPr>
          <w:rFonts w:hint="eastAsia" w:ascii="宋体" w:hAnsi="宋体" w:cs="宋体"/>
          <w:color w:val="auto"/>
          <w:szCs w:val="21"/>
          <w:highlight w:val="none"/>
        </w:rPr>
        <w:t xml:space="preserve"> 投标人在投标有效期内撤销投标文件的；</w:t>
      </w:r>
    </w:p>
    <w:p>
      <w:pPr>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rPr>
        <w:t>3.4.6.2</w:t>
      </w:r>
      <w:r>
        <w:rPr>
          <w:rFonts w:hint="eastAsia" w:ascii="宋体" w:hAnsi="宋体" w:cs="宋体"/>
          <w:color w:val="auto"/>
          <w:szCs w:val="21"/>
          <w:highlight w:val="none"/>
        </w:rPr>
        <w:t xml:space="preserve"> 提供虚假材料的；</w:t>
      </w:r>
    </w:p>
    <w:p>
      <w:pPr>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rPr>
        <w:t>3.4.6.3</w:t>
      </w:r>
      <w:r>
        <w:rPr>
          <w:rFonts w:hint="eastAsia" w:ascii="宋体" w:hAnsi="宋体" w:cs="宋体"/>
          <w:color w:val="auto"/>
          <w:szCs w:val="21"/>
          <w:highlight w:val="none"/>
        </w:rPr>
        <w:t xml:space="preserve"> 投标人相互或者与招标人串通投标、围标的；</w:t>
      </w:r>
    </w:p>
    <w:p>
      <w:pPr>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rPr>
        <w:t xml:space="preserve">3.4.6.4 </w:t>
      </w:r>
      <w:r>
        <w:rPr>
          <w:rFonts w:hint="eastAsia" w:ascii="宋体" w:hAnsi="宋体" w:cs="宋体"/>
          <w:color w:val="auto"/>
          <w:szCs w:val="21"/>
          <w:highlight w:val="none"/>
        </w:rPr>
        <w:t>中标人</w:t>
      </w:r>
      <w:r>
        <w:rPr>
          <w:rFonts w:hint="eastAsia" w:ascii="宋体" w:hAnsi="宋体" w:cs="宋体"/>
          <w:szCs w:val="21"/>
          <w:highlight w:val="none"/>
        </w:rPr>
        <w:t>在中标候选人公示期间放弃中标候选人资格</w:t>
      </w:r>
      <w:r>
        <w:rPr>
          <w:rFonts w:hint="eastAsia" w:ascii="宋体" w:hAnsi="宋体" w:cs="宋体"/>
          <w:szCs w:val="21"/>
          <w:highlight w:val="none"/>
          <w:lang w:eastAsia="zh-CN"/>
        </w:rPr>
        <w:t>；</w:t>
      </w:r>
      <w:r>
        <w:rPr>
          <w:rFonts w:hint="eastAsia" w:ascii="宋体" w:hAnsi="宋体" w:cs="宋体"/>
          <w:szCs w:val="21"/>
          <w:highlight w:val="none"/>
        </w:rPr>
        <w:t>或</w:t>
      </w:r>
      <w:r>
        <w:rPr>
          <w:rFonts w:hint="eastAsia" w:ascii="宋体" w:hAnsi="宋体" w:cs="宋体"/>
          <w:color w:val="auto"/>
          <w:szCs w:val="21"/>
          <w:highlight w:val="none"/>
        </w:rPr>
        <w:t>在收到中标通知书后，</w:t>
      </w:r>
      <w:r>
        <w:rPr>
          <w:rFonts w:hint="eastAsia" w:ascii="宋体" w:hAnsi="宋体" w:cs="宋体"/>
          <w:szCs w:val="21"/>
          <w:highlight w:val="none"/>
        </w:rPr>
        <w:t>单方面要求放弃中标资格</w:t>
      </w:r>
      <w:r>
        <w:rPr>
          <w:rFonts w:hint="eastAsia" w:ascii="宋体" w:hAnsi="宋体" w:cs="宋体"/>
          <w:szCs w:val="21"/>
          <w:highlight w:val="none"/>
          <w:lang w:val="en-US" w:eastAsia="zh-CN"/>
        </w:rPr>
        <w:t>或</w:t>
      </w:r>
      <w:r>
        <w:rPr>
          <w:rFonts w:hint="eastAsia" w:ascii="宋体" w:hAnsi="宋体" w:cs="宋体"/>
          <w:color w:val="auto"/>
          <w:szCs w:val="21"/>
          <w:highlight w:val="none"/>
        </w:rPr>
        <w:t>无正当理由不与招标人订立合同</w:t>
      </w:r>
      <w:r>
        <w:rPr>
          <w:rFonts w:hint="eastAsia" w:ascii="宋体" w:hAnsi="宋体" w:cs="宋体"/>
          <w:szCs w:val="21"/>
          <w:highlight w:val="none"/>
          <w:lang w:eastAsia="zh-CN"/>
        </w:rPr>
        <w:t>；</w:t>
      </w:r>
      <w:r>
        <w:rPr>
          <w:rFonts w:hint="eastAsia" w:ascii="宋体" w:hAnsi="宋体" w:cs="宋体"/>
          <w:szCs w:val="21"/>
          <w:highlight w:val="none"/>
          <w:lang w:val="en-US" w:eastAsia="zh-CN"/>
        </w:rPr>
        <w:t>或</w:t>
      </w:r>
      <w:r>
        <w:rPr>
          <w:rFonts w:hint="eastAsia" w:ascii="宋体" w:hAnsi="宋体" w:cs="宋体"/>
          <w:color w:val="auto"/>
          <w:szCs w:val="21"/>
          <w:highlight w:val="none"/>
        </w:rPr>
        <w:t>在签订合同时向招标人提出附加条件</w:t>
      </w:r>
      <w:r>
        <w:rPr>
          <w:rFonts w:hint="eastAsia" w:ascii="宋体" w:hAnsi="宋体" w:cs="宋体"/>
          <w:szCs w:val="21"/>
          <w:highlight w:val="none"/>
          <w:lang w:eastAsia="zh-CN"/>
        </w:rPr>
        <w:t>；</w:t>
      </w:r>
      <w:r>
        <w:rPr>
          <w:rFonts w:hint="eastAsia" w:ascii="宋体" w:hAnsi="宋体" w:cs="宋体"/>
          <w:color w:val="auto"/>
          <w:szCs w:val="21"/>
          <w:highlight w:val="none"/>
        </w:rPr>
        <w:t>或者不按照招标文件要求提交履约保证金的；</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3.4.6.5</w:t>
      </w:r>
      <w:r>
        <w:rPr>
          <w:rFonts w:hint="eastAsia" w:ascii="宋体" w:hAnsi="宋体" w:cs="宋体"/>
          <w:color w:val="auto"/>
          <w:szCs w:val="21"/>
          <w:highlight w:val="none"/>
        </w:rPr>
        <w:t xml:space="preserve"> </w:t>
      </w:r>
      <w:r>
        <w:rPr>
          <w:rFonts w:hint="eastAsia" w:ascii="宋体" w:hAnsi="宋体" w:cs="宋体"/>
          <w:szCs w:val="21"/>
        </w:rPr>
        <w:t>发生其他</w:t>
      </w:r>
      <w:r>
        <w:rPr>
          <w:rFonts w:hint="eastAsia" w:ascii="宋体" w:hAnsi="宋体" w:cs="宋体"/>
          <w:szCs w:val="21"/>
          <w:lang w:val="en-US" w:eastAsia="zh-CN"/>
        </w:rPr>
        <w:t>违法违规投标</w:t>
      </w:r>
      <w:r>
        <w:rPr>
          <w:rFonts w:hint="eastAsia" w:ascii="宋体" w:hAnsi="宋体" w:cs="宋体"/>
          <w:szCs w:val="21"/>
        </w:rPr>
        <w:t>的情形。</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3.5 资格审查资料（适用于已进行资格预审的情况）</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投标人在递交投标文件前，发生可能影响其投标资格的新情况的，应更新或补充其在申请资格预审时提供的资料，以证实其各项资格条件仍能继续满足资格预审文件的要求，且没有实质性降低。</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3.6 备选投标方案</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3.6.1</w:t>
      </w:r>
      <w:r>
        <w:rPr>
          <w:rFonts w:hint="eastAsia" w:ascii="宋体" w:hAnsi="宋体" w:cs="宋体"/>
          <w:color w:val="auto"/>
          <w:szCs w:val="21"/>
          <w:highlight w:val="none"/>
        </w:rPr>
        <w:t xml:space="preserve"> 除投标人须知前附表规定允许外，投标人不得递交备选投标方案，否则其投标将被否决。</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3.6.2</w:t>
      </w:r>
      <w:r>
        <w:rPr>
          <w:rFonts w:hint="eastAsia" w:ascii="宋体" w:hAnsi="宋体" w:cs="宋体"/>
          <w:color w:val="auto"/>
          <w:szCs w:val="21"/>
          <w:highlight w:val="none"/>
        </w:rPr>
        <w:t xml:space="preserve"> 允许投标人递交备选投标方案的，应明确哪个是备选方案，只有中标人所递交的备选投标方案方可予以考虑。评标委员会认为中标人的备选投标方案对招标人而言优于其按照招标文件要求编制的投标方案的，招标人可以接受该备选投标方案。</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3.6.3</w:t>
      </w:r>
      <w:r>
        <w:rPr>
          <w:rFonts w:hint="eastAsia" w:ascii="宋体" w:hAnsi="宋体" w:cs="宋体"/>
          <w:color w:val="auto"/>
          <w:szCs w:val="21"/>
          <w:highlight w:val="none"/>
        </w:rPr>
        <w:t xml:space="preserve"> 投标人提供两个或两个以上投标报价，或者在投标文件中提供一个报价，但同时提供两个或两个以上供货或服务方案的，视为提供备选方案，除投标人须知前附表规定允许外，否则其投标将被否决。</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3.7 投标文件的编制</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3.7.1</w:t>
      </w:r>
      <w:r>
        <w:rPr>
          <w:rFonts w:hint="eastAsia" w:ascii="宋体" w:hAnsi="宋体" w:cs="宋体"/>
          <w:color w:val="auto"/>
          <w:szCs w:val="21"/>
          <w:highlight w:val="none"/>
        </w:rPr>
        <w:t xml:space="preserve"> 投标文件应按第六章“投标文件格式”进行编写，如有必要，可以增加附页，作为投标文件的组成部分。</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3.7.2</w:t>
      </w:r>
      <w:r>
        <w:rPr>
          <w:rFonts w:hint="eastAsia" w:ascii="宋体" w:hAnsi="宋体" w:cs="宋体"/>
          <w:color w:val="auto"/>
          <w:szCs w:val="21"/>
          <w:highlight w:val="none"/>
        </w:rPr>
        <w:t xml:space="preserve"> 投标文件应当对招标文件有关供货期、投标有效期、供货要求、招标内容等实质性内容作出响应。投标文件在满足招标文件实质性要求的基础上，可以提出比招标文件要求更有利于招标人的承诺。</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3.7.3 </w:t>
      </w:r>
      <w:r>
        <w:rPr>
          <w:rFonts w:hint="eastAsia" w:ascii="宋体" w:hAnsi="宋体" w:cs="宋体"/>
          <w:b/>
          <w:bCs/>
          <w:color w:val="auto"/>
          <w:szCs w:val="21"/>
          <w:highlight w:val="none"/>
        </w:rPr>
        <w:t>投标文件采用电子文档制作：</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3.7.3.1</w:t>
      </w:r>
      <w:r>
        <w:rPr>
          <w:rFonts w:hint="eastAsia" w:ascii="宋体" w:hAnsi="宋体" w:cs="宋体"/>
          <w:color w:val="auto"/>
          <w:szCs w:val="21"/>
          <w:highlight w:val="none"/>
        </w:rPr>
        <w:t>投标人应使用南航采购平台的投标文件编制软件进行电子版投标文件的编制、电子签章、关联评审页面及加密等工作。</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3.7.3.2</w:t>
      </w:r>
      <w:r>
        <w:rPr>
          <w:rFonts w:hint="eastAsia" w:ascii="宋体" w:hAnsi="宋体" w:cs="宋体"/>
          <w:color w:val="auto"/>
          <w:szCs w:val="21"/>
          <w:highlight w:val="none"/>
        </w:rPr>
        <w:t>电子投标文件统一采用网络上传的形式，投标人需登录南航采购招标网站，在投标截止时间前完整上传至南航采购平台的电子招投标系统。所有电子投标文件不能进行压缩处理，不得修改所生成电子投标文件的文件格式。</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3.7.3.3</w:t>
      </w:r>
      <w:r>
        <w:rPr>
          <w:rFonts w:hint="eastAsia" w:ascii="宋体" w:hAnsi="宋体" w:cs="宋体"/>
          <w:color w:val="auto"/>
          <w:szCs w:val="21"/>
          <w:highlight w:val="none"/>
        </w:rPr>
        <w:t>投标人应使用广东省电子商务认证有限公司签发的CA电子证书，对电子投标文件进行电子签章。该电子签章与传统线下盖章具有同等的法律效力。</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3.7.3.4</w:t>
      </w:r>
      <w:r>
        <w:rPr>
          <w:rFonts w:hint="eastAsia" w:ascii="宋体" w:hAnsi="宋体" w:cs="宋体"/>
          <w:color w:val="auto"/>
          <w:szCs w:val="21"/>
          <w:highlight w:val="none"/>
        </w:rPr>
        <w:t>电子投标文件应按上述的编排要求编制。如因不按上述编排要求编制而所引起系统无法检索、读取相关信息时，其后果将由投标人自行承担。</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3.7.3.5</w:t>
      </w:r>
      <w:r>
        <w:rPr>
          <w:rFonts w:hint="eastAsia" w:ascii="宋体" w:hAnsi="宋体" w:cs="宋体"/>
          <w:color w:val="auto"/>
          <w:szCs w:val="21"/>
          <w:highlight w:val="none"/>
        </w:rPr>
        <w:t>电子化投标文件编制与传统线下文件编制大不相同，日常编好的WORD、PDF等格式的投标文件是无法直接上传、加密的。请首先下载投标文件编制客户端，并依照操作手册指引操作（请认真阅读《投标人操作手册》和操作视频讲解）。</w:t>
      </w:r>
    </w:p>
    <w:p>
      <w:pPr>
        <w:spacing w:line="360" w:lineRule="auto"/>
        <w:rPr>
          <w:rFonts w:hint="eastAsia" w:ascii="宋体" w:hAnsi="宋体" w:cs="宋体"/>
          <w:b/>
          <w:color w:val="auto"/>
          <w:sz w:val="24"/>
          <w:highlight w:val="none"/>
        </w:rPr>
      </w:pPr>
      <w:bookmarkStart w:id="239" w:name="_Toc3358"/>
      <w:bookmarkStart w:id="240" w:name="_Toc11226"/>
      <w:bookmarkStart w:id="241" w:name="_Toc6675"/>
      <w:bookmarkStart w:id="242" w:name="_Toc14673"/>
      <w:bookmarkStart w:id="243" w:name="_Toc21863"/>
      <w:bookmarkStart w:id="244" w:name="_Toc30610"/>
      <w:bookmarkStart w:id="245" w:name="_Toc504657614"/>
      <w:bookmarkStart w:id="246" w:name="_Toc17088"/>
      <w:bookmarkStart w:id="247" w:name="_Toc9303"/>
      <w:r>
        <w:rPr>
          <w:rFonts w:hint="eastAsia" w:ascii="宋体" w:hAnsi="宋体" w:cs="宋体"/>
          <w:b/>
          <w:color w:val="auto"/>
          <w:sz w:val="24"/>
          <w:highlight w:val="none"/>
        </w:rPr>
        <w:t>4、投标</w:t>
      </w:r>
      <w:bookmarkEnd w:id="239"/>
      <w:bookmarkEnd w:id="240"/>
      <w:bookmarkEnd w:id="241"/>
      <w:bookmarkEnd w:id="242"/>
      <w:bookmarkEnd w:id="243"/>
      <w:bookmarkEnd w:id="244"/>
      <w:bookmarkEnd w:id="245"/>
      <w:bookmarkEnd w:id="246"/>
      <w:bookmarkEnd w:id="247"/>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4.1 投标文件的密封和标记</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4.1.1</w:t>
      </w:r>
      <w:r>
        <w:rPr>
          <w:rFonts w:hint="eastAsia" w:ascii="宋体" w:hAnsi="宋体" w:cs="宋体"/>
          <w:color w:val="auto"/>
          <w:szCs w:val="21"/>
          <w:highlight w:val="none"/>
        </w:rPr>
        <w:t xml:space="preserve"> 投标人应当按照招标文件和电子招标投标交易平台的要求加密投标文件。</w:t>
      </w:r>
    </w:p>
    <w:p>
      <w:pPr>
        <w:spacing w:line="360" w:lineRule="auto"/>
        <w:ind w:firstLine="421" w:firstLineChars="200"/>
        <w:rPr>
          <w:rFonts w:hint="eastAsia" w:ascii="宋体" w:hAnsi="宋体" w:cs="宋体"/>
          <w:color w:val="auto"/>
          <w:szCs w:val="21"/>
          <w:highlight w:val="none"/>
        </w:rPr>
      </w:pPr>
      <w:r>
        <w:rPr>
          <w:rFonts w:hint="eastAsia" w:ascii="宋体" w:hAnsi="宋体" w:cs="宋体"/>
          <w:b/>
          <w:bCs/>
          <w:color w:val="auto"/>
          <w:szCs w:val="21"/>
          <w:highlight w:val="none"/>
        </w:rPr>
        <w:t>4.1.1.1</w:t>
      </w:r>
      <w:r>
        <w:rPr>
          <w:rFonts w:hint="eastAsia" w:ascii="宋体" w:hAnsi="宋体" w:cs="宋体"/>
          <w:color w:val="auto"/>
          <w:szCs w:val="21"/>
          <w:highlight w:val="none"/>
        </w:rPr>
        <w:t>使用投标客户端制作投标文件，需要上传PDF格式的商务文件、技术文件和价格文件，然后进行签章（只签关键页面）和关联条款内容页，签章时需要插上CA钥匙，盖章过程比较慢，需稍等待即可。</w:t>
      </w:r>
    </w:p>
    <w:p>
      <w:pPr>
        <w:spacing w:line="360" w:lineRule="auto"/>
        <w:ind w:firstLine="421" w:firstLineChars="200"/>
        <w:rPr>
          <w:rFonts w:hint="eastAsia" w:ascii="宋体" w:hAnsi="宋体" w:cs="宋体"/>
          <w:color w:val="auto"/>
          <w:szCs w:val="21"/>
          <w:highlight w:val="none"/>
        </w:rPr>
      </w:pPr>
      <w:r>
        <w:rPr>
          <w:rFonts w:hint="eastAsia" w:ascii="宋体" w:hAnsi="宋体" w:cs="宋体"/>
          <w:b/>
          <w:bCs/>
          <w:color w:val="auto"/>
          <w:szCs w:val="21"/>
          <w:highlight w:val="none"/>
        </w:rPr>
        <w:t>4.1.1.2</w:t>
      </w:r>
      <w:r>
        <w:rPr>
          <w:rFonts w:hint="eastAsia" w:ascii="宋体" w:hAnsi="宋体" w:cs="宋体"/>
          <w:color w:val="auto"/>
          <w:szCs w:val="21"/>
          <w:highlight w:val="none"/>
        </w:rPr>
        <w:t>电子投标文件上传成功后，系统将自动生成成功回执。注意妥善保存电子投标文件密码信封解密密码。开标时，如遇到突发情况CA钥匙无法解密，可应急使用该密码解密。</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意：线下编制完成的word版投标文件必须编制目录标题及索引，否则文件无法正常上传（便于评委评审时精准查阅）。投标文件线下编制且审核无误后，首先将word格式文件转化成PDF格式文件，在投标文件编制客户端完成编制后再上传至系统。商务、技术文件控制在50M以内，生成的密码信封注意保存。投标文件编制成功后，在投标截止日前尽早上传，由于上传需要花费一定的时间，建议提早2-3天完成上传电子投标文件工作，以免影响投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4.1.2</w:t>
      </w:r>
      <w:r>
        <w:rPr>
          <w:rFonts w:hint="eastAsia" w:ascii="宋体" w:hAnsi="宋体" w:cs="宋体"/>
          <w:color w:val="auto"/>
          <w:szCs w:val="21"/>
          <w:highlight w:val="none"/>
        </w:rPr>
        <w:t xml:space="preserve"> 投标文件封套上应写明的内容见</w:t>
      </w:r>
      <w:bookmarkStart w:id="248" w:name="_Toc28373"/>
      <w:r>
        <w:rPr>
          <w:rFonts w:hint="eastAsia" w:ascii="宋体" w:hAnsi="宋体" w:cs="宋体"/>
          <w:color w:val="auto"/>
          <w:szCs w:val="21"/>
          <w:highlight w:val="none"/>
        </w:rPr>
        <w:t>“投标文件包装封面参考”</w:t>
      </w:r>
      <w:bookmarkEnd w:id="248"/>
      <w:r>
        <w:rPr>
          <w:rFonts w:hint="eastAsia" w:ascii="宋体" w:hAnsi="宋体" w:cs="宋体"/>
          <w:color w:val="auto"/>
          <w:szCs w:val="21"/>
          <w:highlight w:val="none"/>
        </w:rPr>
        <w:t>。</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4.2 投标文件的递交</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4.2.1</w:t>
      </w:r>
      <w:r>
        <w:rPr>
          <w:rFonts w:hint="eastAsia" w:ascii="宋体" w:hAnsi="宋体" w:cs="宋体"/>
          <w:color w:val="auto"/>
          <w:szCs w:val="21"/>
          <w:highlight w:val="none"/>
        </w:rPr>
        <w:t xml:space="preserve"> 投标人应在投标人须知前附表规定的投标截止时间前递交投标文件。</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4.2.2</w:t>
      </w:r>
      <w:r>
        <w:rPr>
          <w:rFonts w:hint="eastAsia" w:ascii="宋体" w:hAnsi="宋体" w:cs="宋体"/>
          <w:color w:val="auto"/>
          <w:szCs w:val="21"/>
          <w:highlight w:val="none"/>
        </w:rPr>
        <w:t xml:space="preserve"> 投标人通过下载招标文件的电子招标投标交易平台递交电子投标文件。</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4.2.3</w:t>
      </w:r>
      <w:r>
        <w:rPr>
          <w:rFonts w:hint="eastAsia" w:ascii="宋体" w:hAnsi="宋体" w:cs="宋体"/>
          <w:color w:val="auto"/>
          <w:szCs w:val="21"/>
          <w:highlight w:val="none"/>
        </w:rPr>
        <w:t xml:space="preserve"> 除投标人须知前附表另有规定外，投标人所递交的电子投标文件不予退还。</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4.2.4</w:t>
      </w:r>
      <w:r>
        <w:rPr>
          <w:rFonts w:hint="eastAsia" w:ascii="宋体" w:hAnsi="宋体" w:cs="宋体"/>
          <w:color w:val="auto"/>
          <w:szCs w:val="21"/>
          <w:highlight w:val="none"/>
        </w:rPr>
        <w:t xml:space="preserve"> 逾期未在电子招标投标交易平台上传成功的投标文件，电子招标投标交易平台将予以拒收。</w:t>
      </w:r>
    </w:p>
    <w:p>
      <w:pPr>
        <w:spacing w:line="360" w:lineRule="auto"/>
        <w:ind w:firstLine="421" w:firstLineChars="200"/>
        <w:rPr>
          <w:rFonts w:hint="eastAsia" w:ascii="宋体" w:hAnsi="宋体" w:cs="宋体"/>
          <w:b/>
          <w:color w:val="auto"/>
          <w:szCs w:val="21"/>
          <w:highlight w:val="none"/>
        </w:rPr>
      </w:pPr>
      <w:bookmarkStart w:id="249" w:name="_Toc29431"/>
      <w:bookmarkStart w:id="250" w:name="_Toc504657615"/>
      <w:r>
        <w:rPr>
          <w:rFonts w:hint="eastAsia" w:ascii="宋体" w:hAnsi="宋体" w:cs="宋体"/>
          <w:b/>
          <w:color w:val="auto"/>
          <w:szCs w:val="21"/>
          <w:highlight w:val="none"/>
        </w:rPr>
        <w:t>4.3 投标文件的修改与撤回</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4.3.1</w:t>
      </w:r>
      <w:r>
        <w:rPr>
          <w:rFonts w:hint="eastAsia" w:ascii="宋体" w:hAnsi="宋体" w:cs="宋体"/>
          <w:color w:val="auto"/>
          <w:szCs w:val="21"/>
          <w:highlight w:val="none"/>
        </w:rPr>
        <w:t xml:space="preserve"> 在本章第 4.2.1 项规定的投标截止时间前，投标人可以修改或撤回已递交的投标文件。</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4.3.2</w:t>
      </w:r>
      <w:r>
        <w:rPr>
          <w:rFonts w:hint="eastAsia" w:ascii="宋体" w:hAnsi="宋体" w:cs="宋体"/>
          <w:color w:val="auto"/>
          <w:szCs w:val="21"/>
          <w:highlight w:val="none"/>
        </w:rPr>
        <w:t xml:space="preserve"> </w:t>
      </w:r>
      <w:r>
        <w:rPr>
          <w:rFonts w:hint="eastAsia" w:ascii="宋体" w:hAnsi="宋体" w:cs="宋体"/>
          <w:color w:val="auto"/>
          <w:szCs w:val="21"/>
          <w:highlight w:val="none"/>
          <w:lang w:bidi="ar"/>
        </w:rPr>
        <w:t>投标人修改或撤回已递交系统的电子投标文件，应在投标截止时间前，登录电子招标投标交易平台，进入投标项目，在线点击撤回操作。在投标截止期限后，电子投标文件不能修改或撤回。</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4.3.3</w:t>
      </w:r>
      <w:r>
        <w:rPr>
          <w:rFonts w:hint="eastAsia" w:ascii="宋体" w:hAnsi="宋体" w:cs="宋体"/>
          <w:color w:val="auto"/>
          <w:szCs w:val="21"/>
          <w:highlight w:val="none"/>
        </w:rPr>
        <w:t xml:space="preserve"> 投标人撤回投标文件的，招标人自收到投标人书面撤回通知之日起5日内退还已收取的投标保证金。</w:t>
      </w:r>
    </w:p>
    <w:p>
      <w:pPr>
        <w:spacing w:line="360" w:lineRule="auto"/>
        <w:rPr>
          <w:rFonts w:hint="eastAsia" w:ascii="宋体" w:hAnsi="宋体" w:cs="宋体"/>
          <w:b/>
          <w:color w:val="auto"/>
          <w:sz w:val="24"/>
          <w:highlight w:val="none"/>
        </w:rPr>
      </w:pPr>
      <w:bookmarkStart w:id="251" w:name="_Toc24408"/>
      <w:bookmarkStart w:id="252" w:name="_Toc24483"/>
      <w:bookmarkStart w:id="253" w:name="_Toc2529"/>
      <w:bookmarkStart w:id="254" w:name="_Toc14890"/>
      <w:bookmarkStart w:id="255" w:name="_Toc25465"/>
      <w:bookmarkStart w:id="256" w:name="_Toc8358"/>
      <w:bookmarkStart w:id="257" w:name="_Toc3953"/>
      <w:r>
        <w:rPr>
          <w:rFonts w:hint="eastAsia" w:ascii="宋体" w:hAnsi="宋体" w:cs="宋体"/>
          <w:b/>
          <w:color w:val="auto"/>
          <w:sz w:val="24"/>
          <w:highlight w:val="none"/>
        </w:rPr>
        <w:t>5、开标</w:t>
      </w:r>
      <w:bookmarkEnd w:id="249"/>
      <w:bookmarkEnd w:id="250"/>
      <w:bookmarkEnd w:id="251"/>
      <w:bookmarkEnd w:id="252"/>
      <w:bookmarkEnd w:id="253"/>
      <w:bookmarkEnd w:id="254"/>
      <w:bookmarkEnd w:id="255"/>
      <w:bookmarkEnd w:id="256"/>
      <w:bookmarkEnd w:id="257"/>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5.1 开标时间和地点</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招标人在本章第</w:t>
      </w:r>
      <w:r>
        <w:rPr>
          <w:rFonts w:hint="eastAsia" w:ascii="宋体" w:hAnsi="宋体" w:cs="宋体"/>
          <w:bCs/>
          <w:color w:val="auto"/>
          <w:szCs w:val="21"/>
          <w:highlight w:val="none"/>
        </w:rPr>
        <w:t xml:space="preserve"> 4.2.1 </w:t>
      </w:r>
      <w:r>
        <w:rPr>
          <w:rFonts w:hint="eastAsia" w:ascii="宋体" w:hAnsi="宋体" w:cs="宋体"/>
          <w:color w:val="auto"/>
          <w:szCs w:val="21"/>
          <w:highlight w:val="none"/>
        </w:rPr>
        <w:t>项规定的投标截止时间（开标时间），通过电子招标投标交易平台公开开标。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5.2 开标程序</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5.2.1</w:t>
      </w:r>
      <w:r>
        <w:rPr>
          <w:rFonts w:hint="eastAsia" w:ascii="宋体" w:hAnsi="宋体" w:cs="宋体"/>
          <w:color w:val="auto"/>
          <w:szCs w:val="21"/>
          <w:highlight w:val="none"/>
        </w:rPr>
        <w:t>主持人按下列程序进行开标：</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bookmarkStart w:id="258" w:name="page29"/>
      <w:bookmarkEnd w:id="258"/>
      <w:r>
        <w:rPr>
          <w:rFonts w:hint="eastAsia" w:ascii="宋体" w:hAnsi="宋体" w:cs="宋体"/>
          <w:color w:val="auto"/>
          <w:szCs w:val="21"/>
          <w:highlight w:val="none"/>
        </w:rPr>
        <w:t>投标人通过电子招标投标交易平台对已递交的电子投标文件进行解密，公布招标项目名称、投标人名称、投标保证金的递交情况、投标报价、交货期/服务期及其他内容，并记录在案，未公布的投标价格、价格折扣和招标文件允许提供的备选投标方案等实质内容，评标时不予承认；</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（2）投标人使用本人的电子印章</w:t>
      </w:r>
      <w:r>
        <w:rPr>
          <w:rFonts w:hint="eastAsia" w:ascii="宋体" w:hAnsi="宋体" w:cs="宋体"/>
          <w:color w:val="auto"/>
          <w:szCs w:val="21"/>
          <w:highlight w:val="none"/>
          <w:lang w:bidi="ar"/>
        </w:rPr>
        <w:t>（CA钥匙）</w:t>
      </w:r>
      <w:r>
        <w:rPr>
          <w:rFonts w:hint="eastAsia" w:ascii="宋体" w:hAnsi="宋体" w:cs="宋体"/>
          <w:color w:val="auto"/>
          <w:szCs w:val="21"/>
          <w:highlight w:val="none"/>
        </w:rPr>
        <w:t>在开标记录上签字确认，在电子招标投标系统规定的确认结束时间前未签字确认的视为认可唱标结果；</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（3）开标结束。</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5.2.2 </w:t>
      </w:r>
      <w:r>
        <w:rPr>
          <w:rFonts w:hint="eastAsia" w:ascii="宋体" w:hAnsi="宋体" w:cs="宋体"/>
          <w:color w:val="auto"/>
          <w:szCs w:val="21"/>
          <w:highlight w:val="none"/>
        </w:rPr>
        <w:t>首次招标投标人少于</w:t>
      </w:r>
      <w:r>
        <w:rPr>
          <w:rFonts w:hint="eastAsia" w:ascii="宋体" w:hAnsi="宋体" w:cs="宋体"/>
          <w:bCs/>
          <w:color w:val="auto"/>
          <w:szCs w:val="21"/>
          <w:highlight w:val="none"/>
        </w:rPr>
        <w:t>3</w:t>
      </w:r>
      <w:r>
        <w:rPr>
          <w:rFonts w:hint="eastAsia" w:ascii="宋体" w:hAnsi="宋体" w:cs="宋体"/>
          <w:color w:val="auto"/>
          <w:szCs w:val="21"/>
          <w:highlight w:val="none"/>
        </w:rPr>
        <w:t>个的，不予开标。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5.2.3</w:t>
      </w:r>
      <w:r>
        <w:rPr>
          <w:rFonts w:hint="eastAsia" w:ascii="宋体" w:hAnsi="宋体" w:cs="宋体"/>
          <w:color w:val="auto"/>
          <w:szCs w:val="21"/>
          <w:highlight w:val="none"/>
        </w:rPr>
        <w:t xml:space="preserve"> 首次招标失败，重新组织招标后合格投标人仍少于</w:t>
      </w:r>
      <w:r>
        <w:rPr>
          <w:rFonts w:hint="eastAsia" w:ascii="宋体" w:hAnsi="宋体" w:cs="宋体"/>
          <w:bCs/>
          <w:color w:val="auto"/>
          <w:szCs w:val="21"/>
          <w:highlight w:val="none"/>
        </w:rPr>
        <w:t>3</w:t>
      </w:r>
      <w:r>
        <w:rPr>
          <w:rFonts w:hint="eastAsia" w:ascii="宋体" w:hAnsi="宋体" w:cs="宋体"/>
          <w:color w:val="auto"/>
          <w:szCs w:val="21"/>
          <w:highlight w:val="none"/>
        </w:rPr>
        <w:t>家的，本项目的公开招标程序终止，但由评委会继续评审并出具评审报告，按南航内部非招标采购规则执行。</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5.3 开标异议</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投标人对开标有异议的，应当在开标现场（南航采购平台电子招标投标系统）提出，招标人当场作出答复。</w:t>
      </w:r>
    </w:p>
    <w:p>
      <w:pPr>
        <w:spacing w:line="360" w:lineRule="auto"/>
        <w:rPr>
          <w:rFonts w:hint="eastAsia" w:ascii="宋体" w:hAnsi="宋体" w:cs="宋体"/>
          <w:b/>
          <w:color w:val="auto"/>
          <w:sz w:val="24"/>
          <w:highlight w:val="none"/>
        </w:rPr>
      </w:pPr>
      <w:bookmarkStart w:id="259" w:name="_Toc30393"/>
      <w:bookmarkStart w:id="260" w:name="_Toc18291"/>
      <w:bookmarkStart w:id="261" w:name="_Toc9885"/>
      <w:bookmarkStart w:id="262" w:name="_Toc504657616"/>
      <w:bookmarkStart w:id="263" w:name="_Toc17751"/>
      <w:bookmarkStart w:id="264" w:name="_Toc20853"/>
      <w:bookmarkStart w:id="265" w:name="_Toc14725"/>
      <w:bookmarkStart w:id="266" w:name="_Toc8106"/>
      <w:bookmarkStart w:id="267" w:name="_Toc27437"/>
      <w:r>
        <w:rPr>
          <w:rFonts w:hint="eastAsia" w:ascii="宋体" w:hAnsi="宋体" w:cs="宋体"/>
          <w:b/>
          <w:color w:val="auto"/>
          <w:sz w:val="24"/>
          <w:highlight w:val="none"/>
        </w:rPr>
        <w:t>6、评标</w:t>
      </w:r>
      <w:bookmarkEnd w:id="259"/>
      <w:bookmarkEnd w:id="260"/>
      <w:bookmarkEnd w:id="261"/>
      <w:bookmarkEnd w:id="262"/>
      <w:bookmarkEnd w:id="263"/>
      <w:bookmarkEnd w:id="264"/>
      <w:bookmarkEnd w:id="265"/>
      <w:bookmarkEnd w:id="266"/>
      <w:bookmarkEnd w:id="267"/>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6.1 评标委员会</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6.1.1</w:t>
      </w:r>
      <w:r>
        <w:rPr>
          <w:rFonts w:hint="eastAsia" w:ascii="宋体" w:hAnsi="宋体" w:cs="宋体"/>
          <w:color w:val="auto"/>
          <w:szCs w:val="21"/>
          <w:highlight w:val="none"/>
        </w:rPr>
        <w:t xml:space="preserve">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6.1.2</w:t>
      </w:r>
      <w:r>
        <w:rPr>
          <w:rFonts w:hint="eastAsia" w:ascii="宋体" w:hAnsi="宋体" w:cs="宋体"/>
          <w:color w:val="auto"/>
          <w:szCs w:val="21"/>
          <w:highlight w:val="none"/>
        </w:rPr>
        <w:t xml:space="preserve"> 评标委员会成员有下列情形之一的，应当回避：</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（1）投标人或投标人主要负责人的近亲属；</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（2）与投标人有经济利益关系，可能影响对投标公正评审的；</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（3）曾因在招标、评标以及其他与招标投标有关活动中从事违法行为而受过行政处罚或刑事处罚的；</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（4）与投标人有其他利害关系。</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6.1.3</w:t>
      </w:r>
      <w:r>
        <w:rPr>
          <w:rFonts w:hint="eastAsia" w:ascii="宋体" w:hAnsi="宋体" w:cs="宋体"/>
          <w:color w:val="auto"/>
          <w:szCs w:val="21"/>
          <w:highlight w:val="none"/>
        </w:rPr>
        <w:t xml:space="preserve"> 评标过程中，评标委员会成员有回避事由、擅离职守或者因健康等原因不能继续评标的，招标人有权更换。被更换的评标委员会成员作出的评审结论无效，由更换后的评标委员会成员重新进行评审。</w:t>
      </w:r>
    </w:p>
    <w:p>
      <w:pPr>
        <w:spacing w:line="360" w:lineRule="auto"/>
        <w:ind w:firstLine="421" w:firstLineChars="200"/>
        <w:rPr>
          <w:rFonts w:hint="eastAsia" w:ascii="宋体" w:hAnsi="宋体" w:cs="宋体"/>
          <w:b/>
          <w:color w:val="auto"/>
          <w:szCs w:val="21"/>
          <w:highlight w:val="none"/>
        </w:rPr>
      </w:pP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6.2 评标原则和评标办法</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评标活动遵循公平、公正、科学和择优的原则，按照投标人须知前附表规定的评标办法评标。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6.3 评标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6.3.1</w:t>
      </w:r>
      <w:r>
        <w:rPr>
          <w:rFonts w:hint="eastAsia" w:ascii="宋体" w:hAnsi="宋体" w:cs="宋体"/>
          <w:color w:val="auto"/>
          <w:szCs w:val="21"/>
          <w:highlight w:val="none"/>
        </w:rPr>
        <w:t xml:space="preserve"> 评标委员会按照第三章“评标办法”规定的方法、评审因素、标准和程序对投标文件进行评审。第三章“评标办法”没有规定的方法、评审因素和标准，不作为评标依据。</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6.3.2</w:t>
      </w:r>
      <w:r>
        <w:rPr>
          <w:rFonts w:hint="eastAsia" w:ascii="宋体" w:hAnsi="宋体" w:cs="宋体"/>
          <w:color w:val="auto"/>
          <w:szCs w:val="21"/>
          <w:highlight w:val="none"/>
        </w:rPr>
        <w:t xml:space="preserve"> 评标完成后，评标委员会应当向招标人提交书面评标报告和中标候选人名单。评标委员会推荐中标候选人的人数见投标人须知前附表。</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 xml:space="preserve">6.4 </w:t>
      </w:r>
      <w:bookmarkStart w:id="268" w:name="_Toc19379"/>
      <w:r>
        <w:rPr>
          <w:rFonts w:hint="eastAsia" w:ascii="宋体" w:hAnsi="宋体" w:cs="宋体"/>
          <w:b/>
          <w:color w:val="auto"/>
          <w:szCs w:val="21"/>
          <w:highlight w:val="none"/>
        </w:rPr>
        <w:t>项目废标处理</w:t>
      </w:r>
      <w:bookmarkEnd w:id="268"/>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出现下列情况将作废标处理：</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6.4.1 </w:t>
      </w:r>
      <w:r>
        <w:rPr>
          <w:rFonts w:hint="eastAsia" w:ascii="宋体" w:hAnsi="宋体" w:cs="宋体"/>
          <w:bCs/>
          <w:color w:val="auto"/>
          <w:szCs w:val="21"/>
          <w:highlight w:val="none"/>
        </w:rPr>
        <w:t>第一次公告后</w:t>
      </w:r>
      <w:r>
        <w:rPr>
          <w:rFonts w:hint="eastAsia" w:ascii="宋体" w:hAnsi="宋体" w:cs="宋体"/>
          <w:color w:val="auto"/>
          <w:szCs w:val="21"/>
          <w:highlight w:val="none"/>
        </w:rPr>
        <w:t xml:space="preserve">参与投标的投标人不足三家的； </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6.4.2 </w:t>
      </w:r>
      <w:r>
        <w:rPr>
          <w:rFonts w:hint="eastAsia" w:ascii="宋体" w:hAnsi="宋体" w:cs="宋体"/>
          <w:color w:val="auto"/>
          <w:szCs w:val="21"/>
          <w:highlight w:val="none"/>
        </w:rPr>
        <w:t xml:space="preserve">出现影响招标公正的违法、违规行为的； </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6.4.3 </w:t>
      </w:r>
      <w:r>
        <w:rPr>
          <w:rFonts w:hint="eastAsia" w:ascii="宋体" w:hAnsi="宋体" w:cs="宋体"/>
          <w:color w:val="auto"/>
          <w:szCs w:val="21"/>
          <w:highlight w:val="none"/>
        </w:rPr>
        <w:t xml:space="preserve">投标人的报价均超过了招标预算，招标人不能支付的； </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6.4.4 </w:t>
      </w:r>
      <w:r>
        <w:rPr>
          <w:rFonts w:hint="eastAsia" w:ascii="宋体" w:hAnsi="宋体" w:cs="宋体"/>
          <w:color w:val="auto"/>
          <w:szCs w:val="21"/>
          <w:highlight w:val="none"/>
        </w:rPr>
        <w:t>因重大变故，招标任务取消的。</w:t>
      </w:r>
    </w:p>
    <w:p>
      <w:pPr>
        <w:spacing w:line="360" w:lineRule="auto"/>
        <w:rPr>
          <w:rFonts w:hint="eastAsia" w:ascii="宋体" w:hAnsi="宋体" w:cs="宋体"/>
          <w:b/>
          <w:color w:val="auto"/>
          <w:sz w:val="24"/>
          <w:highlight w:val="none"/>
        </w:rPr>
      </w:pPr>
      <w:bookmarkStart w:id="269" w:name="_Toc18520"/>
      <w:bookmarkStart w:id="270" w:name="_Toc12437"/>
      <w:bookmarkStart w:id="271" w:name="_Toc21979"/>
      <w:bookmarkStart w:id="272" w:name="_Toc5723"/>
      <w:bookmarkStart w:id="273" w:name="_Toc504657617"/>
      <w:bookmarkStart w:id="274" w:name="_Toc8057"/>
      <w:bookmarkStart w:id="275" w:name="_Toc18544"/>
      <w:bookmarkStart w:id="276" w:name="_Toc26813"/>
      <w:bookmarkStart w:id="277" w:name="_Toc12253"/>
      <w:r>
        <w:rPr>
          <w:rFonts w:hint="eastAsia" w:ascii="宋体" w:hAnsi="宋体" w:cs="宋体"/>
          <w:b/>
          <w:color w:val="auto"/>
          <w:sz w:val="24"/>
          <w:highlight w:val="none"/>
        </w:rPr>
        <w:t>7、合同授予</w:t>
      </w:r>
      <w:bookmarkEnd w:id="269"/>
      <w:bookmarkEnd w:id="270"/>
      <w:bookmarkEnd w:id="271"/>
      <w:bookmarkEnd w:id="272"/>
      <w:bookmarkEnd w:id="273"/>
      <w:bookmarkEnd w:id="274"/>
      <w:bookmarkEnd w:id="275"/>
      <w:bookmarkEnd w:id="276"/>
      <w:bookmarkEnd w:id="277"/>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7.1 中标候选人公示</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招标人按照投标人须知前附表规定的公示媒介和期限公示中标候选人，公示期不得少于</w:t>
      </w:r>
      <w:r>
        <w:rPr>
          <w:rFonts w:hint="eastAsia" w:ascii="宋体" w:hAnsi="宋体" w:cs="宋体"/>
          <w:bCs/>
          <w:color w:val="auto"/>
          <w:szCs w:val="21"/>
          <w:highlight w:val="none"/>
        </w:rPr>
        <w:t>3</w:t>
      </w:r>
      <w:r>
        <w:rPr>
          <w:rFonts w:hint="eastAsia" w:ascii="宋体" w:hAnsi="宋体" w:cs="宋体"/>
          <w:color w:val="auto"/>
          <w:szCs w:val="21"/>
          <w:highlight w:val="none"/>
        </w:rPr>
        <w:t>天。</w:t>
      </w:r>
      <w:r>
        <w:rPr>
          <w:rFonts w:hint="eastAsia" w:ascii="宋体" w:hAnsi="宋体" w:cs="宋体"/>
          <w:b/>
          <w:bCs/>
          <w:color w:val="auto"/>
          <w:szCs w:val="21"/>
          <w:highlight w:val="none"/>
        </w:rPr>
        <w:t>招标结果和转为非招标采购后的结果公示由投标人自行上网查看，招标人或招标代理不另做通知。</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7.2 评标结果异议</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投标人或者其他利害关系人对评标结果有异议的，应当在中标候选人公示期间提出。详见第六章投标文件格式“</w:t>
      </w:r>
      <w:r>
        <w:rPr>
          <w:rFonts w:hint="eastAsia" w:ascii="宋体" w:hAnsi="宋体" w:cs="宋体"/>
          <w:color w:val="auto"/>
          <w:highlight w:val="none"/>
        </w:rPr>
        <w:t>投标人异议/投诉承诺及程序指引</w:t>
      </w:r>
      <w:r>
        <w:rPr>
          <w:rFonts w:hint="eastAsia" w:ascii="宋体" w:hAnsi="宋体" w:cs="宋体"/>
          <w:color w:val="auto"/>
          <w:szCs w:val="21"/>
          <w:highlight w:val="none"/>
        </w:rPr>
        <w:t>”。</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7.3 中标候选人履约能力审查</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7.3.1 </w:t>
      </w:r>
      <w:r>
        <w:rPr>
          <w:rFonts w:hint="eastAsia" w:ascii="宋体" w:hAnsi="宋体" w:cs="宋体"/>
          <w:color w:val="auto"/>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7.3.2 </w:t>
      </w:r>
      <w:r>
        <w:rPr>
          <w:rFonts w:hint="eastAsia" w:ascii="宋体" w:hAnsi="宋体" w:cs="宋体"/>
          <w:color w:val="auto"/>
          <w:szCs w:val="21"/>
          <w:highlight w:val="none"/>
        </w:rPr>
        <w:t>招标人保留审查投标文件中所提供的所有资料原件的权利，中标候选人应在规定的时间内提供原件到指定地点备查，如逾期提交或发现提供虚假资料则作投标无效处理，并且被列入限制交易供应商名单。</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7.4 定标</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7.4.1</w:t>
      </w:r>
      <w:r>
        <w:rPr>
          <w:rFonts w:hint="eastAsia" w:ascii="宋体" w:hAnsi="宋体" w:cs="宋体"/>
          <w:color w:val="auto"/>
          <w:szCs w:val="21"/>
          <w:highlight w:val="none"/>
        </w:rPr>
        <w:t xml:space="preserve"> 按照投标人须知前附表的规定，招标人或招标人授权的评标委员会依法确定中标人。</w:t>
      </w:r>
    </w:p>
    <w:p>
      <w:pPr>
        <w:spacing w:line="360" w:lineRule="auto"/>
        <w:ind w:firstLine="421" w:firstLineChars="200"/>
        <w:rPr>
          <w:rFonts w:hint="eastAsia" w:ascii="宋体" w:hAnsi="宋体" w:cs="宋体"/>
          <w:color w:val="auto"/>
          <w:szCs w:val="21"/>
          <w:highlight w:val="none"/>
        </w:rPr>
      </w:pPr>
      <w:bookmarkStart w:id="278" w:name="_Toc289432799"/>
      <w:r>
        <w:rPr>
          <w:rFonts w:hint="eastAsia" w:ascii="宋体" w:hAnsi="宋体" w:cs="宋体"/>
          <w:b/>
          <w:color w:val="auto"/>
          <w:szCs w:val="21"/>
          <w:highlight w:val="none"/>
        </w:rPr>
        <w:t xml:space="preserve">7.4.2 </w:t>
      </w:r>
      <w:r>
        <w:rPr>
          <w:rFonts w:hint="eastAsia" w:ascii="宋体" w:hAnsi="宋体" w:cs="宋体"/>
          <w:color w:val="auto"/>
          <w:szCs w:val="21"/>
          <w:highlight w:val="none"/>
        </w:rPr>
        <w:t>凡发现中标投标人有下列行为之一的，其中标无效，并移交相关监督管理部门依法处理。</w:t>
      </w:r>
      <w:bookmarkEnd w:id="278"/>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7.4.2.1 </w:t>
      </w:r>
      <w:r>
        <w:rPr>
          <w:rFonts w:hint="eastAsia" w:ascii="宋体" w:hAnsi="宋体" w:cs="宋体"/>
          <w:color w:val="auto"/>
          <w:szCs w:val="21"/>
          <w:highlight w:val="none"/>
        </w:rPr>
        <w:t>提供虚假材料谋取中标的；</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7.4.2.2</w:t>
      </w:r>
      <w:r>
        <w:rPr>
          <w:rFonts w:hint="eastAsia" w:ascii="宋体" w:hAnsi="宋体" w:cs="宋体"/>
          <w:color w:val="auto"/>
          <w:szCs w:val="21"/>
          <w:highlight w:val="none"/>
        </w:rPr>
        <w:t xml:space="preserve"> 采取不正当手段诋毁、排挤其他投标人的；</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7.4.2.3 </w:t>
      </w:r>
      <w:r>
        <w:rPr>
          <w:rFonts w:hint="eastAsia" w:ascii="宋体" w:hAnsi="宋体" w:cs="宋体"/>
          <w:color w:val="auto"/>
          <w:szCs w:val="21"/>
          <w:highlight w:val="none"/>
        </w:rPr>
        <w:t>与招标人、其他投标人或者招标代理机构工作人员串通的；</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7.4.2.4 </w:t>
      </w:r>
      <w:r>
        <w:rPr>
          <w:rFonts w:hint="eastAsia" w:ascii="宋体" w:hAnsi="宋体" w:cs="宋体"/>
          <w:color w:val="auto"/>
          <w:szCs w:val="21"/>
          <w:highlight w:val="none"/>
        </w:rPr>
        <w:t>向招标人、招标代理机构工作人员行贿或者提供其他不正当利益的；</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7.4.2.5</w:t>
      </w:r>
      <w:r>
        <w:rPr>
          <w:rFonts w:hint="eastAsia" w:ascii="宋体" w:hAnsi="宋体" w:cs="宋体"/>
          <w:color w:val="auto"/>
          <w:szCs w:val="21"/>
          <w:highlight w:val="none"/>
        </w:rPr>
        <w:t xml:space="preserve"> 在招投标过程中与招标人进行协商投标的；</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7.4.2.6</w:t>
      </w:r>
      <w:r>
        <w:rPr>
          <w:rFonts w:hint="eastAsia" w:ascii="宋体" w:hAnsi="宋体" w:cs="宋体"/>
          <w:color w:val="auto"/>
          <w:szCs w:val="21"/>
          <w:highlight w:val="none"/>
        </w:rPr>
        <w:t xml:space="preserve"> 拒绝有关部门监督检查或者提供虚假情况的；</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7.4.2.7</w:t>
      </w:r>
      <w:r>
        <w:rPr>
          <w:rFonts w:hint="eastAsia" w:ascii="宋体" w:hAnsi="宋体" w:cs="宋体"/>
          <w:color w:val="auto"/>
          <w:szCs w:val="21"/>
          <w:highlight w:val="none"/>
        </w:rPr>
        <w:t xml:space="preserve"> 有法律、法规规定的其他损害招标人利益和社会公共利益情形的。</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7.5 中标通知</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在投标有效期内，公示期结束后，中标人自行登录</w:t>
      </w:r>
      <w:r>
        <w:rPr>
          <w:rFonts w:hint="eastAsia" w:ascii="宋体" w:hAnsi="宋体" w:cs="宋体"/>
          <w:color w:val="auto"/>
          <w:highlight w:val="none"/>
        </w:rPr>
        <w:t>南航采招网（南航采购平台电子系统）</w:t>
      </w:r>
      <w:r>
        <w:rPr>
          <w:rFonts w:hint="eastAsia" w:ascii="宋体" w:hAnsi="宋体" w:cs="宋体"/>
          <w:color w:val="auto"/>
          <w:szCs w:val="21"/>
          <w:highlight w:val="none"/>
        </w:rPr>
        <w:t>领取《中标通知书》。</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7.6 履约保证金</w:t>
      </w:r>
    </w:p>
    <w:p>
      <w:pPr>
        <w:spacing w:line="360" w:lineRule="auto"/>
        <w:ind w:firstLine="421" w:firstLineChars="200"/>
        <w:rPr>
          <w:rFonts w:ascii="宋体" w:hAnsi="宋体" w:cs="宋体"/>
          <w:color w:val="auto"/>
          <w:szCs w:val="21"/>
          <w:highlight w:val="none"/>
        </w:rPr>
      </w:pPr>
      <w:r>
        <w:rPr>
          <w:rFonts w:hint="eastAsia" w:ascii="宋体" w:hAnsi="宋体" w:cs="宋体"/>
          <w:b/>
          <w:color w:val="auto"/>
          <w:szCs w:val="21"/>
          <w:highlight w:val="none"/>
        </w:rPr>
        <w:t>7.6.1</w:t>
      </w:r>
      <w:r>
        <w:rPr>
          <w:rFonts w:hint="eastAsia" w:ascii="宋体" w:hAnsi="宋体" w:cs="宋体"/>
          <w:color w:val="auto"/>
          <w:szCs w:val="21"/>
          <w:highlight w:val="none"/>
        </w:rPr>
        <w:t xml:space="preserve"> 在签订合同前</w:t>
      </w:r>
      <w:r>
        <w:rPr>
          <w:rFonts w:hint="eastAsia" w:ascii="宋体" w:hAnsi="宋体" w:cs="宋体"/>
          <w:szCs w:val="21"/>
          <w:lang w:val="en-US" w:eastAsia="zh-CN"/>
        </w:rPr>
        <w:t>或合同约定的期限内</w:t>
      </w:r>
      <w:r>
        <w:rPr>
          <w:rFonts w:hint="eastAsia" w:ascii="宋体" w:hAnsi="宋体" w:cs="宋体"/>
          <w:color w:val="auto"/>
          <w:szCs w:val="21"/>
          <w:highlight w:val="none"/>
        </w:rPr>
        <w:t>，中标人应按投标人须知前附表规定的形式、金额向招标人提交履约保证金。联合体中标的，其履约保证金以联合体各方或者联合体中牵头人的名义提交。</w:t>
      </w:r>
    </w:p>
    <w:p>
      <w:pPr>
        <w:spacing w:line="360" w:lineRule="auto"/>
        <w:ind w:firstLine="421" w:firstLineChars="200"/>
        <w:rPr>
          <w:rFonts w:hint="eastAsia"/>
        </w:rPr>
      </w:pPr>
      <w:r>
        <w:rPr>
          <w:rFonts w:hint="eastAsia" w:ascii="宋体" w:hAnsi="宋体" w:cs="宋体"/>
          <w:b/>
          <w:color w:val="auto"/>
          <w:szCs w:val="21"/>
          <w:highlight w:val="none"/>
        </w:rPr>
        <w:t>7.6.2</w:t>
      </w:r>
      <w:r>
        <w:rPr>
          <w:rFonts w:hint="eastAsia" w:ascii="宋体" w:hAnsi="宋体" w:cs="宋体"/>
          <w:color w:val="auto"/>
          <w:szCs w:val="21"/>
          <w:highlight w:val="none"/>
        </w:rPr>
        <w:t xml:space="preserve"> 中标人不能按本章第</w:t>
      </w:r>
      <w:r>
        <w:rPr>
          <w:rFonts w:hint="eastAsia" w:ascii="宋体" w:hAnsi="宋体" w:cs="宋体"/>
          <w:bCs/>
          <w:color w:val="auto"/>
          <w:szCs w:val="21"/>
          <w:highlight w:val="none"/>
        </w:rPr>
        <w:t>7.6.1</w:t>
      </w:r>
      <w:r>
        <w:rPr>
          <w:rFonts w:hint="eastAsia" w:ascii="宋体" w:hAnsi="宋体" w:cs="宋体"/>
          <w:color w:val="auto"/>
          <w:szCs w:val="21"/>
          <w:highlight w:val="none"/>
        </w:rPr>
        <w:t>项要求提交履约保证金的，视为放弃中标，其投标保证金</w:t>
      </w:r>
      <w:r>
        <w:rPr>
          <w:rFonts w:hint="eastAsia" w:ascii="宋体" w:hAnsi="宋体" w:cs="宋体"/>
          <w:szCs w:val="21"/>
          <w:lang w:val="en-US" w:eastAsia="zh-CN"/>
        </w:rPr>
        <w:t>及银行同期存款利息</w:t>
      </w:r>
      <w:r>
        <w:rPr>
          <w:rFonts w:hint="eastAsia" w:ascii="宋体" w:hAnsi="宋体" w:cs="宋体"/>
          <w:color w:val="auto"/>
          <w:szCs w:val="21"/>
          <w:highlight w:val="none"/>
        </w:rPr>
        <w:t>不予退还，以保函形式递交保证金的，招标人有权要求保函出具机构（担保人）向招标人全额支付保函金额；给招标人造成的损失超过投标保证金数额的，中标人还应当对超过部分予以赔偿。</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7.7 签订合同</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7.7.1</w:t>
      </w:r>
      <w:r>
        <w:rPr>
          <w:rFonts w:hint="eastAsia" w:ascii="宋体" w:hAnsi="宋体" w:cs="宋体"/>
          <w:color w:val="auto"/>
          <w:szCs w:val="21"/>
          <w:highlight w:val="none"/>
        </w:rPr>
        <w:t xml:space="preserve"> 招标人和中标人应当在中标通知书发出之日起 30 日内，根据招标文件和中标人的投标文件订立书面合同。中标人无正当理由拒签合同，或在签订合同时向招标人提出附加条件的，或者不按照招标文件要求提交履约保证金的，招标人有权取消其中标资格，其投标保证金</w:t>
      </w:r>
      <w:r>
        <w:rPr>
          <w:rFonts w:hint="eastAsia" w:ascii="宋体" w:hAnsi="宋体" w:cs="宋体"/>
          <w:szCs w:val="21"/>
          <w:lang w:val="en-US" w:eastAsia="zh-CN"/>
        </w:rPr>
        <w:t>及银行同期存款利息</w:t>
      </w:r>
      <w:r>
        <w:rPr>
          <w:rFonts w:hint="eastAsia" w:ascii="宋体" w:hAnsi="宋体" w:cs="宋体"/>
          <w:color w:val="auto"/>
          <w:szCs w:val="21"/>
          <w:highlight w:val="none"/>
        </w:rPr>
        <w:t>不予退还，以保函形式递交保证金的，招标人有权要求保函出具机构（担保人）向招标人全额支付保函金额；给招标人造成的损失超过投标保证金数额的，中标人还应当对超过部分予以赔偿。</w:t>
      </w:r>
    </w:p>
    <w:p>
      <w:pPr>
        <w:spacing w:line="360" w:lineRule="auto"/>
        <w:ind w:firstLine="421" w:firstLineChars="200"/>
        <w:rPr>
          <w:rFonts w:hint="eastAsia" w:ascii="宋体" w:hAnsi="宋体" w:cs="宋体"/>
          <w:b/>
          <w:color w:val="auto"/>
          <w:szCs w:val="21"/>
          <w:highlight w:val="none"/>
        </w:rPr>
      </w:pPr>
      <w:r>
        <w:rPr>
          <w:rFonts w:hint="eastAsia" w:ascii="宋体" w:hAnsi="宋体" w:cs="宋体"/>
          <w:b/>
          <w:color w:val="auto"/>
          <w:szCs w:val="21"/>
          <w:highlight w:val="none"/>
        </w:rPr>
        <w:t xml:space="preserve">7.7.2 </w:t>
      </w:r>
      <w:r>
        <w:rPr>
          <w:rFonts w:hint="eastAsia" w:ascii="宋体" w:hAnsi="宋体" w:cs="宋体"/>
          <w:bCs/>
          <w:color w:val="auto"/>
          <w:szCs w:val="21"/>
          <w:highlight w:val="none"/>
        </w:rPr>
        <w:t>在投标有效期内，中标人放弃中标资格或被取消中标资格的，招标人有权按照评委会推荐的其他中标候选人名单依次确定其他中标人候选人为中标人，也可以重新招标；在符合法律法规及招标文件规定的情况下，招标人如因此取消招标的，将通过其他采购方式选取成交供应商。</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7.7.3 </w:t>
      </w:r>
      <w:r>
        <w:rPr>
          <w:rFonts w:hint="eastAsia" w:ascii="宋体" w:hAnsi="宋体" w:cs="宋体"/>
          <w:color w:val="auto"/>
          <w:szCs w:val="21"/>
          <w:highlight w:val="none"/>
        </w:rPr>
        <w:t>联合体中标的，联合体各方应当共同与招标人签订合同，就中标项目向招标人承担连带责任。</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7.8 中标服务费</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7.8.1</w:t>
      </w:r>
      <w:r>
        <w:rPr>
          <w:rFonts w:hint="eastAsia" w:ascii="宋体" w:hAnsi="宋体" w:cs="宋体"/>
          <w:color w:val="auto"/>
          <w:szCs w:val="21"/>
          <w:highlight w:val="none"/>
        </w:rPr>
        <w:t xml:space="preserve"> 招标人发出中标公告后，中标人应按投标人须知前附表第7.8条的规定向招标代理机构支付中标服务费。</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7.8.2</w:t>
      </w:r>
      <w:r>
        <w:rPr>
          <w:rFonts w:hint="eastAsia" w:ascii="宋体" w:hAnsi="宋体" w:cs="宋体"/>
          <w:color w:val="auto"/>
          <w:szCs w:val="21"/>
          <w:highlight w:val="none"/>
        </w:rPr>
        <w:t xml:space="preserve"> 如招标失败，招标人采取非招标方式选取成交供应商的，成交供应商应按该规定向招标代理机构支付成交服务费。</w:t>
      </w:r>
    </w:p>
    <w:p>
      <w:pPr>
        <w:spacing w:line="360" w:lineRule="auto"/>
        <w:rPr>
          <w:rFonts w:hint="eastAsia" w:ascii="宋体" w:hAnsi="宋体" w:cs="宋体"/>
          <w:b/>
          <w:color w:val="auto"/>
          <w:szCs w:val="21"/>
          <w:highlight w:val="none"/>
        </w:rPr>
      </w:pPr>
      <w:bookmarkStart w:id="279" w:name="_Toc15583"/>
      <w:bookmarkStart w:id="280" w:name="_Toc504657618"/>
      <w:bookmarkStart w:id="281" w:name="_Toc7484"/>
      <w:bookmarkStart w:id="282" w:name="_Toc25213"/>
      <w:bookmarkStart w:id="283" w:name="_Toc18974"/>
      <w:bookmarkStart w:id="284" w:name="_Toc17861"/>
      <w:bookmarkStart w:id="285" w:name="_Toc10409"/>
      <w:bookmarkStart w:id="286" w:name="_Toc8368"/>
      <w:bookmarkStart w:id="287" w:name="_Toc2385"/>
      <w:r>
        <w:rPr>
          <w:rFonts w:hint="eastAsia" w:ascii="宋体" w:hAnsi="宋体" w:cs="宋体"/>
          <w:b/>
          <w:color w:val="auto"/>
          <w:sz w:val="24"/>
          <w:highlight w:val="none"/>
        </w:rPr>
        <w:t>8</w:t>
      </w:r>
      <w:bookmarkEnd w:id="279"/>
      <w:bookmarkEnd w:id="280"/>
      <w:bookmarkEnd w:id="281"/>
      <w:r>
        <w:rPr>
          <w:rFonts w:hint="eastAsia" w:ascii="宋体" w:hAnsi="宋体" w:cs="宋体"/>
          <w:b/>
          <w:color w:val="auto"/>
          <w:sz w:val="24"/>
          <w:highlight w:val="none"/>
        </w:rPr>
        <w:t>、异议和投诉</w:t>
      </w:r>
      <w:bookmarkEnd w:id="282"/>
      <w:bookmarkEnd w:id="283"/>
      <w:bookmarkEnd w:id="284"/>
      <w:bookmarkEnd w:id="285"/>
      <w:bookmarkEnd w:id="286"/>
      <w:bookmarkEnd w:id="287"/>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详见第六章投标文件格式“</w:t>
      </w:r>
      <w:r>
        <w:rPr>
          <w:rFonts w:hint="eastAsia" w:ascii="宋体" w:hAnsi="宋体" w:cs="宋体"/>
          <w:color w:val="auto"/>
          <w:highlight w:val="none"/>
        </w:rPr>
        <w:t>投标人异议/投诉承诺及程序指引</w:t>
      </w:r>
      <w:r>
        <w:rPr>
          <w:rFonts w:hint="eastAsia" w:ascii="宋体" w:hAnsi="宋体" w:cs="宋体"/>
          <w:color w:val="auto"/>
          <w:szCs w:val="21"/>
          <w:highlight w:val="none"/>
        </w:rPr>
        <w:t>”。</w:t>
      </w:r>
    </w:p>
    <w:p>
      <w:pPr>
        <w:spacing w:line="360" w:lineRule="auto"/>
        <w:rPr>
          <w:rFonts w:hint="eastAsia" w:ascii="宋体" w:hAnsi="宋体" w:cs="宋体"/>
          <w:b/>
          <w:color w:val="auto"/>
          <w:sz w:val="24"/>
          <w:highlight w:val="none"/>
        </w:rPr>
      </w:pPr>
      <w:bookmarkStart w:id="288" w:name="_Toc4920"/>
      <w:bookmarkStart w:id="289" w:name="_Toc16303"/>
      <w:bookmarkStart w:id="290" w:name="_Toc19910"/>
      <w:bookmarkStart w:id="291" w:name="_Toc29006"/>
      <w:bookmarkStart w:id="292" w:name="_Toc504657619"/>
      <w:bookmarkStart w:id="293" w:name="_Toc1767"/>
      <w:bookmarkStart w:id="294" w:name="_Toc13608"/>
      <w:bookmarkStart w:id="295" w:name="_Toc27910"/>
      <w:bookmarkStart w:id="296" w:name="_Toc10236"/>
      <w:r>
        <w:rPr>
          <w:rFonts w:hint="eastAsia" w:ascii="宋体" w:hAnsi="宋体" w:cs="宋体"/>
          <w:b/>
          <w:color w:val="auto"/>
          <w:sz w:val="24"/>
          <w:highlight w:val="none"/>
        </w:rPr>
        <w:t>9、采用电子招标投标</w:t>
      </w:r>
      <w:bookmarkEnd w:id="288"/>
      <w:bookmarkEnd w:id="289"/>
      <w:bookmarkEnd w:id="290"/>
      <w:bookmarkEnd w:id="291"/>
      <w:bookmarkEnd w:id="292"/>
      <w:bookmarkEnd w:id="293"/>
      <w:bookmarkEnd w:id="294"/>
      <w:bookmarkEnd w:id="295"/>
      <w:bookmarkEnd w:id="296"/>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9.1本招标项目采用电子招标投标方式。</w:t>
      </w:r>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9.2 CA证书办理及绑定（</w:t>
      </w:r>
      <w:r>
        <w:rPr>
          <w:rFonts w:hint="eastAsia" w:ascii="宋体" w:hAnsi="宋体" w:cs="宋体"/>
          <w:bCs/>
          <w:color w:val="auto"/>
          <w:kern w:val="0"/>
          <w:szCs w:val="21"/>
          <w:highlight w:val="none"/>
          <w:lang w:bidi="ar"/>
        </w:rPr>
        <w:t>适用于全流程电子招投标项目</w:t>
      </w:r>
      <w:r>
        <w:rPr>
          <w:rFonts w:hint="eastAsia" w:ascii="宋体" w:hAnsi="宋体" w:cs="宋体"/>
          <w:bCs/>
          <w:color w:val="auto"/>
          <w:szCs w:val="21"/>
          <w:highlight w:val="none"/>
        </w:rPr>
        <w:t>）</w:t>
      </w:r>
    </w:p>
    <w:p>
      <w:pPr>
        <w:spacing w:line="360" w:lineRule="auto"/>
        <w:rPr>
          <w:rFonts w:hint="eastAsia" w:ascii="宋体" w:hAnsi="宋体" w:cs="宋体"/>
          <w:b/>
          <w:color w:val="auto"/>
          <w:sz w:val="24"/>
          <w:highlight w:val="none"/>
        </w:rPr>
      </w:pPr>
      <w:bookmarkStart w:id="297" w:name="_Toc6145"/>
      <w:bookmarkStart w:id="298" w:name="_Toc504657620"/>
      <w:bookmarkStart w:id="299" w:name="_Toc4968"/>
      <w:bookmarkStart w:id="300" w:name="_Toc220"/>
      <w:bookmarkStart w:id="301" w:name="_Toc24910"/>
      <w:bookmarkStart w:id="302" w:name="_Toc533"/>
      <w:bookmarkStart w:id="303" w:name="_Toc20347"/>
      <w:bookmarkStart w:id="304" w:name="_Toc32011"/>
      <w:bookmarkStart w:id="305" w:name="_Toc6465"/>
      <w:r>
        <w:rPr>
          <w:rFonts w:hint="eastAsia" w:ascii="宋体" w:hAnsi="宋体" w:cs="宋体"/>
          <w:b/>
          <w:color w:val="auto"/>
          <w:sz w:val="24"/>
          <w:highlight w:val="none"/>
        </w:rPr>
        <w:t>10、需要补充的其他内容</w:t>
      </w:r>
      <w:bookmarkEnd w:id="297"/>
      <w:bookmarkEnd w:id="298"/>
      <w:bookmarkEnd w:id="299"/>
      <w:bookmarkEnd w:id="300"/>
      <w:bookmarkEnd w:id="301"/>
      <w:bookmarkEnd w:id="302"/>
      <w:bookmarkEnd w:id="303"/>
      <w:bookmarkEnd w:id="304"/>
      <w:bookmarkEnd w:id="305"/>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详见投标人须知前附表。</w:t>
      </w:r>
    </w:p>
    <w:p>
      <w:pPr>
        <w:spacing w:line="360" w:lineRule="auto"/>
        <w:rPr>
          <w:rFonts w:hint="eastAsia" w:ascii="宋体" w:hAnsi="宋体" w:cs="宋体"/>
          <w:color w:val="auto"/>
          <w:highlight w:val="none"/>
        </w:rPr>
      </w:pPr>
    </w:p>
    <w:p>
      <w:pPr>
        <w:spacing w:line="360" w:lineRule="auto"/>
        <w:rPr>
          <w:rFonts w:hint="eastAsia" w:ascii="宋体" w:hAnsi="宋体" w:cs="宋体"/>
          <w:color w:val="auto"/>
          <w:highlight w:val="none"/>
        </w:rPr>
      </w:pPr>
    </w:p>
    <w:p>
      <w:pPr>
        <w:pStyle w:val="3"/>
        <w:rPr>
          <w:rFonts w:hint="eastAsia" w:ascii="宋体" w:hAnsi="宋体" w:cs="宋体"/>
          <w:color w:val="auto"/>
          <w:highlight w:val="none"/>
        </w:rPr>
      </w:pPr>
    </w:p>
    <w:p>
      <w:pPr>
        <w:rPr>
          <w:rFonts w:hint="eastAsia" w:ascii="宋体" w:hAnsi="宋体" w:cs="宋体"/>
          <w:color w:val="auto"/>
          <w:highlight w:val="none"/>
        </w:rPr>
      </w:pPr>
    </w:p>
    <w:p>
      <w:pPr>
        <w:pStyle w:val="3"/>
        <w:rPr>
          <w:rFonts w:hint="eastAsia" w:ascii="宋体" w:hAnsi="宋体" w:cs="宋体"/>
          <w:color w:val="auto"/>
          <w:highlight w:val="none"/>
        </w:rPr>
      </w:pPr>
    </w:p>
    <w:p>
      <w:pPr>
        <w:rPr>
          <w:rFonts w:hint="eastAsia" w:ascii="宋体" w:hAnsi="宋体" w:cs="宋体"/>
          <w:color w:val="auto"/>
          <w:highlight w:val="none"/>
        </w:rPr>
      </w:pPr>
    </w:p>
    <w:p>
      <w:pPr>
        <w:pStyle w:val="3"/>
        <w:rPr>
          <w:rFonts w:hint="eastAsia" w:ascii="宋体" w:hAnsi="宋体" w:cs="宋体"/>
          <w:color w:val="auto"/>
          <w:highlight w:val="none"/>
        </w:rPr>
      </w:pPr>
    </w:p>
    <w:p>
      <w:pPr>
        <w:rPr>
          <w:rFonts w:hint="eastAsia" w:ascii="宋体" w:hAnsi="宋体" w:cs="宋体"/>
          <w:color w:val="auto"/>
          <w:highlight w:val="none"/>
        </w:rPr>
      </w:pPr>
    </w:p>
    <w:p>
      <w:pPr>
        <w:pStyle w:val="20"/>
        <w:rPr>
          <w:rFonts w:hint="eastAsia" w:ascii="宋体" w:hAnsi="宋体" w:cs="宋体"/>
          <w:color w:val="auto"/>
          <w:highlight w:val="none"/>
        </w:rPr>
      </w:pPr>
    </w:p>
    <w:p>
      <w:pPr>
        <w:rPr>
          <w:rFonts w:hint="eastAsia" w:ascii="宋体" w:hAnsi="宋体" w:cs="宋体"/>
          <w:color w:val="auto"/>
          <w:highlight w:val="none"/>
        </w:rPr>
      </w:pPr>
    </w:p>
    <w:p>
      <w:pPr>
        <w:pStyle w:val="20"/>
        <w:rPr>
          <w:rFonts w:hint="eastAsia" w:ascii="宋体" w:hAnsi="宋体" w:cs="宋体"/>
          <w:color w:val="auto"/>
          <w:highlight w:val="none"/>
        </w:rPr>
      </w:pPr>
    </w:p>
    <w:p>
      <w:pPr>
        <w:rPr>
          <w:rFonts w:hint="eastAsia" w:ascii="宋体" w:hAnsi="宋体" w:cs="宋体"/>
          <w:color w:val="auto"/>
          <w:highlight w:val="none"/>
        </w:rPr>
      </w:pPr>
    </w:p>
    <w:p>
      <w:pPr>
        <w:pStyle w:val="20"/>
        <w:rPr>
          <w:rFonts w:hint="eastAsia" w:ascii="宋体" w:hAnsi="宋体" w:cs="宋体"/>
          <w:color w:val="auto"/>
          <w:highlight w:val="none"/>
        </w:rPr>
      </w:pPr>
    </w:p>
    <w:p>
      <w:pPr>
        <w:rPr>
          <w:rFonts w:hint="eastAsia" w:ascii="宋体" w:hAnsi="宋体" w:cs="宋体"/>
          <w:color w:val="auto"/>
          <w:highlight w:val="none"/>
        </w:rPr>
      </w:pPr>
    </w:p>
    <w:p>
      <w:pPr>
        <w:pStyle w:val="20"/>
        <w:rPr>
          <w:rFonts w:hint="eastAsia" w:ascii="宋体" w:hAnsi="宋体" w:cs="宋体"/>
          <w:color w:val="auto"/>
          <w:highlight w:val="none"/>
        </w:rPr>
      </w:pPr>
    </w:p>
    <w:p>
      <w:pPr>
        <w:rPr>
          <w:rFonts w:hint="eastAsia" w:ascii="宋体" w:hAnsi="宋体" w:cs="宋体"/>
          <w:color w:val="auto"/>
          <w:highlight w:val="none"/>
        </w:rPr>
      </w:pPr>
    </w:p>
    <w:p>
      <w:pPr>
        <w:pStyle w:val="20"/>
        <w:rPr>
          <w:rFonts w:hint="eastAsia" w:ascii="宋体" w:hAnsi="宋体" w:cs="宋体"/>
          <w:color w:val="auto"/>
          <w:highlight w:val="none"/>
        </w:rPr>
      </w:pPr>
    </w:p>
    <w:p>
      <w:pPr>
        <w:rPr>
          <w:rFonts w:hint="eastAsia" w:ascii="宋体" w:hAnsi="宋体" w:cs="宋体"/>
          <w:color w:val="auto"/>
          <w:highlight w:val="none"/>
        </w:rPr>
      </w:pPr>
    </w:p>
    <w:p>
      <w:pPr>
        <w:pStyle w:val="20"/>
        <w:rPr>
          <w:rFonts w:hint="eastAsia" w:ascii="宋体" w:hAnsi="宋体" w:cs="宋体"/>
          <w:color w:val="auto"/>
          <w:highlight w:val="none"/>
        </w:rPr>
      </w:pPr>
    </w:p>
    <w:p>
      <w:pPr>
        <w:rPr>
          <w:rFonts w:hint="eastAsia" w:ascii="宋体" w:hAnsi="宋体" w:cs="宋体"/>
          <w:color w:val="auto"/>
          <w:highlight w:val="none"/>
        </w:rPr>
      </w:pPr>
    </w:p>
    <w:p>
      <w:pPr>
        <w:pStyle w:val="20"/>
        <w:rPr>
          <w:rFonts w:hint="eastAsia"/>
          <w:color w:val="auto"/>
          <w:highlight w:val="none"/>
        </w:rPr>
      </w:pPr>
    </w:p>
    <w:p>
      <w:pPr>
        <w:spacing w:line="360" w:lineRule="auto"/>
        <w:rPr>
          <w:rFonts w:hint="eastAsia" w:ascii="宋体" w:hAnsi="宋体" w:cs="宋体"/>
          <w:color w:val="auto"/>
          <w:highlight w:val="none"/>
        </w:rPr>
      </w:pPr>
    </w:p>
    <w:p>
      <w:pPr>
        <w:pStyle w:val="3"/>
        <w:spacing w:line="360" w:lineRule="auto"/>
        <w:jc w:val="center"/>
        <w:rPr>
          <w:rFonts w:hint="eastAsia" w:ascii="宋体" w:hAnsi="宋体" w:cs="宋体"/>
          <w:color w:val="auto"/>
          <w:highlight w:val="none"/>
        </w:rPr>
      </w:pPr>
      <w:bookmarkStart w:id="306" w:name="_Toc10067"/>
      <w:bookmarkStart w:id="307" w:name="_Toc29125"/>
      <w:bookmarkStart w:id="308" w:name="_Toc30797"/>
      <w:bookmarkStart w:id="309" w:name="_Toc31927"/>
      <w:bookmarkStart w:id="310" w:name="_Toc1978"/>
      <w:bookmarkStart w:id="311" w:name="_Toc34646000"/>
      <w:bookmarkStart w:id="312" w:name="_Toc8210"/>
      <w:bookmarkStart w:id="313" w:name="_Toc10189"/>
      <w:bookmarkStart w:id="314" w:name="_Toc2263"/>
      <w:bookmarkStart w:id="315" w:name="_Toc1640306082"/>
      <w:bookmarkStart w:id="316" w:name="_Toc1604676578"/>
      <w:bookmarkStart w:id="317" w:name="_Toc7481"/>
      <w:bookmarkStart w:id="318" w:name="_Toc593348801"/>
      <w:r>
        <w:rPr>
          <w:rFonts w:hint="eastAsia" w:ascii="宋体" w:hAnsi="宋体" w:cs="宋体"/>
          <w:color w:val="auto"/>
          <w:highlight w:val="none"/>
        </w:rPr>
        <w:t>第三章 评标办法</w:t>
      </w:r>
      <w:bookmarkEnd w:id="209"/>
      <w:bookmarkEnd w:id="306"/>
      <w:bookmarkEnd w:id="307"/>
      <w:bookmarkEnd w:id="308"/>
      <w:bookmarkEnd w:id="309"/>
      <w:bookmarkEnd w:id="310"/>
      <w:bookmarkEnd w:id="311"/>
      <w:bookmarkEnd w:id="312"/>
      <w:bookmarkEnd w:id="313"/>
      <w:bookmarkEnd w:id="314"/>
      <w:r>
        <w:rPr>
          <w:rFonts w:hint="eastAsia" w:ascii="宋体" w:hAnsi="宋体" w:cs="宋体"/>
          <w:color w:val="auto"/>
          <w:highlight w:val="none"/>
        </w:rPr>
        <w:t>（综合评分法）</w:t>
      </w:r>
      <w:bookmarkEnd w:id="315"/>
      <w:bookmarkEnd w:id="316"/>
      <w:bookmarkEnd w:id="317"/>
      <w:bookmarkEnd w:id="318"/>
    </w:p>
    <w:p>
      <w:pPr>
        <w:pStyle w:val="4"/>
        <w:spacing w:line="360" w:lineRule="auto"/>
        <w:ind w:left="0"/>
        <w:rPr>
          <w:rFonts w:hint="eastAsia" w:ascii="宋体" w:hAnsi="宋体" w:cs="宋体"/>
          <w:b/>
          <w:color w:val="auto"/>
          <w:highlight w:val="none"/>
        </w:rPr>
      </w:pPr>
      <w:bookmarkStart w:id="319" w:name="_Toc504657622"/>
      <w:bookmarkStart w:id="320" w:name="_Toc13650"/>
      <w:bookmarkStart w:id="321" w:name="_Toc22875"/>
      <w:bookmarkStart w:id="322" w:name="_Toc263139081"/>
      <w:bookmarkStart w:id="323" w:name="_Toc9582"/>
      <w:bookmarkStart w:id="324" w:name="_Toc4907"/>
      <w:bookmarkStart w:id="325" w:name="_Toc445992491"/>
      <w:bookmarkStart w:id="326" w:name="_Toc30081"/>
      <w:bookmarkStart w:id="327" w:name="_Toc17443"/>
      <w:bookmarkStart w:id="328" w:name="_Toc11144"/>
      <w:bookmarkStart w:id="329" w:name="_Toc12524"/>
      <w:bookmarkStart w:id="330" w:name="_Toc34646001"/>
      <w:bookmarkStart w:id="331" w:name="_Toc31042"/>
      <w:bookmarkStart w:id="332" w:name="_Toc17078"/>
      <w:bookmarkStart w:id="333" w:name="_Toc1971887763"/>
      <w:bookmarkStart w:id="334" w:name="_Toc6025"/>
      <w:bookmarkStart w:id="335" w:name="_Toc504657623"/>
      <w:r>
        <w:rPr>
          <w:rFonts w:hint="eastAsia" w:ascii="宋体" w:hAnsi="宋体" w:cs="宋体"/>
          <w:b/>
          <w:color w:val="auto"/>
          <w:highlight w:val="none"/>
        </w:rPr>
        <w:t>1、评标方法</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highlight w:val="none"/>
        </w:rPr>
        <w:t>本次评标采用综合评分法。评标委员会对满足招标文件实质性要求的投标文件，按照本章评标细则的规定评分标准进行打分，并按得分由高到低顺序推荐中标候选人，或根据招标人授权直接确定中标人，但投标报价低于其成本的除外。综合评分相等时，以投标报价低的优先；投标报价也相等的，以技术得分高的优先来确定中标候选人顺序。</w:t>
      </w:r>
    </w:p>
    <w:p>
      <w:pPr>
        <w:pStyle w:val="4"/>
        <w:spacing w:line="360" w:lineRule="auto"/>
        <w:ind w:left="0"/>
        <w:rPr>
          <w:rFonts w:hint="eastAsia" w:ascii="宋体" w:hAnsi="宋体" w:cs="宋体"/>
          <w:b/>
          <w:color w:val="auto"/>
          <w:highlight w:val="none"/>
        </w:rPr>
      </w:pPr>
      <w:bookmarkStart w:id="336" w:name="_Toc504657624"/>
      <w:bookmarkStart w:id="337" w:name="_Toc164"/>
      <w:bookmarkStart w:id="338" w:name="_Toc25920"/>
      <w:bookmarkStart w:id="339" w:name="_Toc94"/>
      <w:bookmarkStart w:id="340" w:name="_Toc1388864659"/>
      <w:bookmarkStart w:id="341" w:name="_Toc32478"/>
      <w:bookmarkStart w:id="342" w:name="_Toc433252318"/>
      <w:bookmarkStart w:id="343" w:name="_Toc27301"/>
      <w:bookmarkStart w:id="344" w:name="_Toc15751"/>
      <w:bookmarkStart w:id="345" w:name="_Toc15315"/>
      <w:bookmarkStart w:id="346" w:name="_Toc22500"/>
      <w:bookmarkStart w:id="347" w:name="_Toc7031"/>
      <w:bookmarkStart w:id="348" w:name="_Toc1630"/>
      <w:bookmarkStart w:id="349" w:name="_Toc12978"/>
      <w:bookmarkStart w:id="350" w:name="_Toc1361367516"/>
      <w:bookmarkStart w:id="351" w:name="_Toc34646002"/>
      <w:r>
        <w:rPr>
          <w:rFonts w:hint="eastAsia" w:ascii="宋体" w:hAnsi="宋体" w:cs="宋体"/>
          <w:b/>
          <w:color w:val="auto"/>
          <w:highlight w:val="none"/>
        </w:rPr>
        <w:t>2、评标程序</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spacing w:line="360" w:lineRule="auto"/>
        <w:ind w:firstLine="120" w:firstLineChars="50"/>
        <w:rPr>
          <w:rFonts w:hint="eastAsia" w:ascii="宋体" w:hAnsi="宋体" w:cs="宋体"/>
          <w:b/>
          <w:color w:val="auto"/>
          <w:szCs w:val="21"/>
          <w:highlight w:val="none"/>
        </w:rPr>
      </w:pPr>
      <w:r>
        <w:rPr>
          <w:rFonts w:hint="eastAsia" w:ascii="宋体" w:hAnsi="宋体" w:cs="宋体"/>
          <w:b/>
          <w:color w:val="auto"/>
          <w:sz w:val="24"/>
          <w:highlight w:val="none"/>
        </w:rPr>
        <w:t>2.1 符合性评审</w:t>
      </w:r>
    </w:p>
    <w:p>
      <w:pPr>
        <w:widowControl/>
        <w:tabs>
          <w:tab w:val="left" w:pos="720"/>
          <w:tab w:val="left" w:pos="840"/>
          <w:tab w:val="left" w:pos="1080"/>
        </w:tabs>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2.1.1 </w:t>
      </w:r>
      <w:r>
        <w:rPr>
          <w:rFonts w:hint="eastAsia" w:ascii="宋体" w:hAnsi="宋体" w:cs="宋体"/>
          <w:color w:val="auto"/>
          <w:szCs w:val="21"/>
          <w:highlight w:val="none"/>
        </w:rPr>
        <w:t>评标委员会将根据评审细则的规定，对各投标文件进行符合性审查。</w:t>
      </w:r>
    </w:p>
    <w:p>
      <w:pPr>
        <w:widowControl/>
        <w:tabs>
          <w:tab w:val="left" w:pos="720"/>
          <w:tab w:val="left" w:pos="840"/>
          <w:tab w:val="left" w:pos="1080"/>
        </w:tabs>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2.1.2 </w:t>
      </w:r>
      <w:r>
        <w:rPr>
          <w:rFonts w:hint="eastAsia" w:ascii="宋体" w:hAnsi="宋体" w:cs="宋体"/>
          <w:color w:val="auto"/>
          <w:szCs w:val="21"/>
          <w:highlight w:val="none"/>
        </w:rPr>
        <w:t>填写符合性评审表。</w:t>
      </w:r>
    </w:p>
    <w:p>
      <w:pPr>
        <w:widowControl/>
        <w:tabs>
          <w:tab w:val="left" w:pos="720"/>
          <w:tab w:val="left" w:pos="840"/>
          <w:tab w:val="left" w:pos="1080"/>
        </w:tabs>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 xml:space="preserve">2.1.3 </w:t>
      </w:r>
      <w:r>
        <w:rPr>
          <w:rFonts w:hint="eastAsia" w:ascii="宋体" w:hAnsi="宋体" w:cs="宋体"/>
          <w:color w:val="auto"/>
          <w:szCs w:val="21"/>
          <w:highlight w:val="none"/>
        </w:rPr>
        <w:t>被评标委员会确定为投标文件无效的，其投标文件即被视为不能通过符合性评审，不得参与后续评审。</w:t>
      </w:r>
    </w:p>
    <w:p>
      <w:pPr>
        <w:spacing w:line="360" w:lineRule="auto"/>
        <w:ind w:firstLine="120" w:firstLineChars="50"/>
        <w:rPr>
          <w:rFonts w:hint="eastAsia" w:ascii="宋体" w:hAnsi="宋体" w:cs="宋体"/>
          <w:b/>
          <w:color w:val="auto"/>
          <w:szCs w:val="21"/>
          <w:highlight w:val="none"/>
        </w:rPr>
      </w:pPr>
      <w:r>
        <w:rPr>
          <w:rFonts w:hint="eastAsia" w:ascii="宋体" w:hAnsi="宋体" w:cs="宋体"/>
          <w:b/>
          <w:color w:val="auto"/>
          <w:sz w:val="24"/>
          <w:highlight w:val="none"/>
        </w:rPr>
        <w:t>2.2 投标文件的澄清</w:t>
      </w:r>
    </w:p>
    <w:p>
      <w:pPr>
        <w:spacing w:line="360" w:lineRule="auto"/>
        <w:ind w:firstLine="421" w:firstLineChars="200"/>
        <w:rPr>
          <w:rFonts w:hint="eastAsia" w:ascii="宋体" w:hAnsi="宋体" w:cs="宋体"/>
          <w:color w:val="auto"/>
          <w:highlight w:val="none"/>
        </w:rPr>
      </w:pPr>
      <w:r>
        <w:rPr>
          <w:rFonts w:hint="eastAsia" w:ascii="宋体" w:hAnsi="宋体" w:cs="宋体"/>
          <w:b/>
          <w:color w:val="auto"/>
          <w:szCs w:val="21"/>
          <w:highlight w:val="none"/>
        </w:rPr>
        <w:t>2.2.1</w:t>
      </w:r>
      <w:r>
        <w:rPr>
          <w:rFonts w:hint="eastAsia" w:ascii="宋体" w:hAnsi="宋体" w:cs="宋体"/>
          <w:color w:val="auto"/>
          <w:highlight w:val="none"/>
        </w:rPr>
        <w:t>在评标过程中，评标委员会可以书面形式要求投标人</w:t>
      </w:r>
      <w:r>
        <w:rPr>
          <w:rFonts w:hint="eastAsia" w:ascii="宋体" w:hAnsi="宋体" w:cs="宋体"/>
          <w:color w:val="auto"/>
          <w:szCs w:val="21"/>
          <w:highlight w:val="none"/>
        </w:rPr>
        <w:t>对投标文件中含义不明确、同类问题表述不一致或者有明显文字和计算错误的内容作必要的澄清、说明或者补正。</w:t>
      </w:r>
      <w:r>
        <w:rPr>
          <w:rFonts w:hint="eastAsia" w:ascii="宋体" w:hAnsi="宋体" w:cs="宋体"/>
          <w:color w:val="auto"/>
          <w:highlight w:val="none"/>
        </w:rPr>
        <w:t>评标委员会不接受投标人主动提出的澄清、说明或补正。</w:t>
      </w:r>
    </w:p>
    <w:p>
      <w:pPr>
        <w:widowControl/>
        <w:tabs>
          <w:tab w:val="left" w:pos="0"/>
          <w:tab w:val="left" w:pos="720"/>
          <w:tab w:val="left" w:pos="1080"/>
        </w:tabs>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2.2.2</w:t>
      </w:r>
      <w:r>
        <w:rPr>
          <w:rFonts w:hint="eastAsia" w:ascii="宋体" w:hAnsi="宋体" w:cs="宋体"/>
          <w:color w:val="auto"/>
          <w:szCs w:val="21"/>
          <w:highlight w:val="none"/>
        </w:rPr>
        <w:t>投标人的澄清、说明或者补正应当采用书面形式，由其授权的代表签字</w:t>
      </w:r>
      <w:r>
        <w:rPr>
          <w:rFonts w:hint="eastAsia" w:ascii="宋体" w:hAnsi="宋体" w:cs="宋体"/>
          <w:color w:val="auto"/>
          <w:highlight w:val="none"/>
        </w:rPr>
        <w:t>并加盖投标人公章</w:t>
      </w:r>
      <w:r>
        <w:rPr>
          <w:rFonts w:hint="eastAsia" w:ascii="宋体" w:hAnsi="宋体" w:cs="宋体"/>
          <w:color w:val="auto"/>
          <w:szCs w:val="21"/>
          <w:highlight w:val="none"/>
        </w:rPr>
        <w:t>，澄清、说明或补正不得超出投标文件的范围或者改变投标文件的实质性内容，并构成投标文件的组成部分。</w:t>
      </w:r>
    </w:p>
    <w:p>
      <w:pPr>
        <w:spacing w:line="360" w:lineRule="auto"/>
        <w:ind w:firstLine="421" w:firstLineChars="200"/>
        <w:rPr>
          <w:rFonts w:hint="eastAsia" w:ascii="宋体" w:hAnsi="宋体" w:cs="宋体"/>
          <w:color w:val="auto"/>
          <w:highlight w:val="none"/>
        </w:rPr>
      </w:pPr>
      <w:r>
        <w:rPr>
          <w:rFonts w:hint="eastAsia" w:ascii="宋体" w:hAnsi="宋体" w:cs="宋体"/>
          <w:b/>
          <w:color w:val="auto"/>
          <w:szCs w:val="21"/>
          <w:highlight w:val="none"/>
        </w:rPr>
        <w:t>2.2.3</w:t>
      </w:r>
      <w:r>
        <w:rPr>
          <w:rFonts w:hint="eastAsia" w:ascii="宋体" w:hAnsi="宋体" w:cs="宋体"/>
          <w:color w:val="auto"/>
          <w:szCs w:val="21"/>
          <w:highlight w:val="none"/>
        </w:rPr>
        <w:t xml:space="preserve"> </w:t>
      </w:r>
      <w:r>
        <w:rPr>
          <w:rFonts w:hint="eastAsia" w:ascii="宋体" w:hAnsi="宋体" w:cs="宋体"/>
          <w:color w:val="auto"/>
          <w:highlight w:val="none"/>
        </w:rPr>
        <w:t>评标委员会对投标人提交的澄清、说明或补正有疑问的，可以要求投标人进一步澄清、说明或补正，直至满足评标委员会的要求。</w:t>
      </w:r>
    </w:p>
    <w:p>
      <w:pPr>
        <w:spacing w:line="360" w:lineRule="auto"/>
        <w:ind w:firstLine="421" w:firstLineChars="200"/>
        <w:rPr>
          <w:rFonts w:hint="eastAsia" w:ascii="宋体" w:hAnsi="宋体" w:cs="宋体"/>
          <w:color w:val="auto"/>
          <w:szCs w:val="21"/>
          <w:highlight w:val="none"/>
        </w:rPr>
      </w:pPr>
      <w:r>
        <w:rPr>
          <w:rFonts w:hint="eastAsia" w:ascii="宋体" w:hAnsi="宋体" w:cs="宋体"/>
          <w:b/>
          <w:color w:val="auto"/>
          <w:szCs w:val="21"/>
          <w:highlight w:val="none"/>
        </w:rPr>
        <w:t>2.2.4</w:t>
      </w:r>
      <w:r>
        <w:rPr>
          <w:rFonts w:hint="eastAsia" w:ascii="宋体" w:hAnsi="宋体" w:cs="宋体"/>
          <w:color w:val="auto"/>
          <w:szCs w:val="21"/>
          <w:highlight w:val="none"/>
        </w:rPr>
        <w:t xml:space="preserve"> 除上述规定的情形之外，评标委员会在评审过程中，不得接收来自评审现场以外的任何形式的文件资料。</w:t>
      </w:r>
    </w:p>
    <w:p>
      <w:pPr>
        <w:spacing w:line="360" w:lineRule="auto"/>
        <w:ind w:firstLine="120" w:firstLineChars="50"/>
        <w:rPr>
          <w:rFonts w:hint="eastAsia" w:ascii="宋体" w:hAnsi="宋体" w:cs="宋体"/>
          <w:b/>
          <w:color w:val="auto"/>
          <w:sz w:val="24"/>
          <w:highlight w:val="none"/>
        </w:rPr>
      </w:pPr>
      <w:r>
        <w:rPr>
          <w:rFonts w:hint="eastAsia" w:ascii="宋体" w:hAnsi="宋体" w:cs="宋体"/>
          <w:b/>
          <w:color w:val="auto"/>
          <w:sz w:val="24"/>
          <w:highlight w:val="none"/>
        </w:rPr>
        <w:t>2.3商务评审</w:t>
      </w:r>
    </w:p>
    <w:p>
      <w:pPr>
        <w:pStyle w:val="11"/>
        <w:spacing w:line="360" w:lineRule="auto"/>
        <w:ind w:left="0" w:leftChars="0" w:firstLine="525" w:firstLineChars="250"/>
        <w:rPr>
          <w:rFonts w:hint="eastAsia" w:ascii="宋体" w:hAnsi="宋体" w:cs="宋体"/>
          <w:color w:val="auto"/>
          <w:sz w:val="21"/>
          <w:szCs w:val="21"/>
          <w:highlight w:val="none"/>
        </w:rPr>
      </w:pPr>
      <w:r>
        <w:rPr>
          <w:rFonts w:hint="eastAsia" w:ascii="宋体" w:hAnsi="宋体" w:cs="宋体"/>
          <w:color w:val="auto"/>
          <w:sz w:val="21"/>
          <w:szCs w:val="21"/>
          <w:highlight w:val="none"/>
        </w:rPr>
        <w:t>各评委根据商务评审表打分并计算出本人对各投标人的商务评分总和。</w:t>
      </w:r>
    </w:p>
    <w:p>
      <w:pPr>
        <w:spacing w:line="360" w:lineRule="auto"/>
        <w:ind w:firstLine="120" w:firstLineChars="50"/>
        <w:rPr>
          <w:rFonts w:hint="eastAsia" w:ascii="宋体" w:hAnsi="宋体" w:cs="宋体"/>
          <w:b/>
          <w:color w:val="auto"/>
          <w:sz w:val="24"/>
          <w:highlight w:val="none"/>
        </w:rPr>
      </w:pPr>
      <w:r>
        <w:rPr>
          <w:rFonts w:hint="eastAsia" w:ascii="宋体" w:hAnsi="宋体" w:cs="宋体"/>
          <w:b/>
          <w:color w:val="auto"/>
          <w:sz w:val="24"/>
          <w:highlight w:val="none"/>
        </w:rPr>
        <w:t>2.4技术评审</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各评委根据技术评审表打分并计算出本人对各投标人的技术评分总和。</w:t>
      </w:r>
    </w:p>
    <w:p>
      <w:pPr>
        <w:spacing w:line="360" w:lineRule="auto"/>
        <w:ind w:firstLine="120" w:firstLineChars="50"/>
        <w:rPr>
          <w:rFonts w:hint="eastAsia" w:ascii="宋体" w:hAnsi="宋体" w:cs="宋体"/>
          <w:b/>
          <w:color w:val="auto"/>
          <w:sz w:val="24"/>
          <w:highlight w:val="none"/>
        </w:rPr>
      </w:pPr>
      <w:r>
        <w:rPr>
          <w:rFonts w:hint="eastAsia" w:ascii="宋体" w:hAnsi="宋体" w:cs="宋体"/>
          <w:b/>
          <w:color w:val="auto"/>
          <w:sz w:val="24"/>
          <w:highlight w:val="none"/>
        </w:rPr>
        <w:t>2.5价格评审</w:t>
      </w:r>
    </w:p>
    <w:p>
      <w:pPr>
        <w:widowControl/>
        <w:spacing w:line="360" w:lineRule="auto"/>
        <w:ind w:firstLine="525" w:firstLineChars="250"/>
        <w:rPr>
          <w:rFonts w:hint="eastAsia" w:ascii="宋体" w:hAnsi="宋体" w:cs="宋体"/>
          <w:color w:val="auto"/>
          <w:highlight w:val="none"/>
        </w:rPr>
      </w:pPr>
      <w:r>
        <w:rPr>
          <w:rFonts w:hint="eastAsia" w:ascii="宋体" w:hAnsi="宋体" w:cs="宋体"/>
          <w:color w:val="auto"/>
          <w:szCs w:val="21"/>
          <w:highlight w:val="none"/>
        </w:rPr>
        <w:t>价格评审为客观计算得分。</w:t>
      </w:r>
      <w:r>
        <w:rPr>
          <w:rFonts w:hint="eastAsia" w:ascii="宋体" w:hAnsi="宋体" w:cs="宋体"/>
          <w:color w:val="auto"/>
          <w:highlight w:val="none"/>
        </w:rPr>
        <w:t>投标报价有算术错误及其他错误的，评标委员会按以下原则要求投标人对投标报价进行修正</w:t>
      </w:r>
    </w:p>
    <w:p>
      <w:pPr>
        <w:widowControl/>
        <w:spacing w:line="360" w:lineRule="auto"/>
        <w:ind w:firstLine="527" w:firstLineChars="250"/>
        <w:rPr>
          <w:rFonts w:hint="eastAsia" w:ascii="宋体" w:hAnsi="宋体" w:cs="宋体"/>
          <w:color w:val="auto"/>
          <w:highlight w:val="none"/>
        </w:rPr>
      </w:pPr>
      <w:r>
        <w:rPr>
          <w:rFonts w:hint="eastAsia" w:ascii="宋体" w:hAnsi="宋体" w:cs="宋体"/>
          <w:b/>
          <w:bCs/>
          <w:color w:val="auto"/>
          <w:szCs w:val="21"/>
          <w:highlight w:val="none"/>
        </w:rPr>
        <w:t xml:space="preserve">2.5.1 </w:t>
      </w:r>
      <w:r>
        <w:rPr>
          <w:rFonts w:hint="eastAsia" w:ascii="宋体" w:hAnsi="宋体" w:cs="宋体"/>
          <w:color w:val="auto"/>
          <w:highlight w:val="none"/>
        </w:rPr>
        <w:t>投标文件中的大写金额与小写金额不一致的，以大写金额为准；</w:t>
      </w:r>
    </w:p>
    <w:p>
      <w:pPr>
        <w:widowControl/>
        <w:spacing w:line="360" w:lineRule="auto"/>
        <w:ind w:firstLine="527" w:firstLineChars="250"/>
        <w:rPr>
          <w:rFonts w:hint="eastAsia" w:ascii="宋体" w:hAnsi="宋体" w:cs="宋体"/>
          <w:color w:val="auto"/>
          <w:szCs w:val="21"/>
          <w:highlight w:val="none"/>
        </w:rPr>
      </w:pPr>
      <w:r>
        <w:rPr>
          <w:rFonts w:hint="eastAsia" w:ascii="宋体" w:hAnsi="宋体" w:cs="宋体"/>
          <w:b/>
          <w:bCs/>
          <w:color w:val="auto"/>
          <w:szCs w:val="21"/>
          <w:highlight w:val="none"/>
        </w:rPr>
        <w:t xml:space="preserve">2.5.2 </w:t>
      </w:r>
      <w:r>
        <w:rPr>
          <w:rFonts w:hint="eastAsia" w:ascii="宋体" w:hAnsi="宋体" w:cs="宋体"/>
          <w:color w:val="auto"/>
          <w:szCs w:val="21"/>
          <w:highlight w:val="none"/>
        </w:rPr>
        <w:t>对不同文字文本投标文件的解释发生异议的，以中文文本为准；</w:t>
      </w:r>
    </w:p>
    <w:p>
      <w:pPr>
        <w:widowControl/>
        <w:spacing w:line="360" w:lineRule="auto"/>
        <w:ind w:firstLine="527" w:firstLineChars="250"/>
        <w:rPr>
          <w:rFonts w:hint="eastAsia" w:ascii="宋体" w:hAnsi="宋体" w:cs="宋体"/>
          <w:color w:val="auto"/>
          <w:szCs w:val="21"/>
          <w:highlight w:val="none"/>
        </w:rPr>
      </w:pPr>
      <w:r>
        <w:rPr>
          <w:rFonts w:hint="eastAsia" w:ascii="宋体" w:hAnsi="宋体" w:cs="宋体"/>
          <w:b/>
          <w:bCs/>
          <w:color w:val="auto"/>
          <w:szCs w:val="21"/>
          <w:highlight w:val="none"/>
        </w:rPr>
        <w:t>2.5.3</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电子开标一览表中的投标总价与投标文件中的投标总价不一致的，以电子系统的电子开标一览表（下同）为准</w:t>
      </w:r>
      <w:r>
        <w:rPr>
          <w:rFonts w:hint="eastAsia" w:ascii="宋体" w:hAnsi="宋体" w:cs="宋体"/>
          <w:color w:val="auto"/>
          <w:szCs w:val="21"/>
          <w:highlight w:val="none"/>
        </w:rPr>
        <w:t>；</w:t>
      </w:r>
    </w:p>
    <w:p>
      <w:pP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     </w:t>
      </w:r>
      <w:r>
        <w:rPr>
          <w:rFonts w:hint="eastAsia" w:ascii="宋体" w:hAnsi="宋体" w:cs="宋体"/>
          <w:b/>
          <w:color w:val="auto"/>
          <w:szCs w:val="21"/>
          <w:highlight w:val="none"/>
        </w:rPr>
        <w:t xml:space="preserve">2.5.4 </w:t>
      </w:r>
      <w:r>
        <w:rPr>
          <w:rFonts w:hint="eastAsia" w:ascii="宋体" w:hAnsi="宋体" w:cs="宋体"/>
          <w:bCs/>
          <w:color w:val="auto"/>
          <w:szCs w:val="21"/>
          <w:highlight w:val="none"/>
        </w:rPr>
        <w:t>当电子开标一览表总价与投标文件中的投标总价一致，</w:t>
      </w:r>
      <w:r>
        <w:rPr>
          <w:rFonts w:hint="eastAsia" w:ascii="宋体" w:hAnsi="宋体" w:cs="宋体"/>
          <w:color w:val="auto"/>
          <w:szCs w:val="21"/>
          <w:highlight w:val="none"/>
        </w:rPr>
        <w:t>且单价与数量均符合招标文件要求，而总价金额与单价金额不对应时，则以单价金额为准作为评标价</w:t>
      </w:r>
      <w:r>
        <w:rPr>
          <w:rFonts w:hint="eastAsia" w:ascii="宋体" w:hAnsi="宋体" w:cs="宋体"/>
          <w:color w:val="auto"/>
          <w:highlight w:val="none"/>
        </w:rPr>
        <w:t>，</w:t>
      </w:r>
      <w:r>
        <w:rPr>
          <w:rFonts w:hint="eastAsia" w:ascii="宋体" w:hAnsi="宋体" w:cs="宋体"/>
          <w:color w:val="auto"/>
          <w:szCs w:val="21"/>
          <w:highlight w:val="none"/>
        </w:rPr>
        <w:t>但单价金额小数点有明显错误的除外；</w:t>
      </w:r>
    </w:p>
    <w:p>
      <w:pPr>
        <w:widowControl/>
        <w:spacing w:line="360" w:lineRule="auto"/>
        <w:ind w:firstLine="527" w:firstLineChars="250"/>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2.5.5 </w:t>
      </w:r>
      <w:r>
        <w:rPr>
          <w:rFonts w:hint="eastAsia" w:ascii="宋体" w:hAnsi="宋体" w:cs="宋体"/>
          <w:color w:val="auto"/>
          <w:szCs w:val="21"/>
          <w:highlight w:val="none"/>
        </w:rPr>
        <w:t>投标人报价如有缺漏项，</w:t>
      </w:r>
      <w:r>
        <w:rPr>
          <w:rFonts w:hint="eastAsia" w:ascii="宋体" w:hAnsi="宋体" w:cs="宋体"/>
          <w:color w:val="auto"/>
          <w:highlight w:val="none"/>
        </w:rPr>
        <w:t>则视为对招标文件内容不完全响应，作投标无效处理；</w:t>
      </w:r>
    </w:p>
    <w:p>
      <w:pPr>
        <w:spacing w:line="360" w:lineRule="auto"/>
        <w:ind w:firstLine="120" w:firstLineChars="50"/>
        <w:rPr>
          <w:rFonts w:hint="eastAsia" w:ascii="宋体" w:hAnsi="宋体" w:cs="宋体"/>
          <w:b/>
          <w:color w:val="auto"/>
          <w:sz w:val="24"/>
          <w:highlight w:val="none"/>
        </w:rPr>
      </w:pPr>
      <w:r>
        <w:rPr>
          <w:rFonts w:hint="eastAsia" w:ascii="宋体" w:hAnsi="宋体" w:cs="宋体"/>
          <w:b/>
          <w:color w:val="auto"/>
          <w:sz w:val="24"/>
          <w:highlight w:val="none"/>
        </w:rPr>
        <w:t>2.6计算总分</w:t>
      </w:r>
    </w:p>
    <w:p>
      <w:pPr>
        <w:pStyle w:val="11"/>
        <w:spacing w:line="360" w:lineRule="auto"/>
        <w:ind w:left="0" w:leftChars="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每个投标的综合总得分:综合总得分＝商务得分＋技术得分＋价格得分-扣分（如有）。(每部分得分计算以四舍五入的方式精确到小数点后两位)</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按总得分由高至低排出中标候选人的名次顺序（</w:t>
      </w:r>
      <w:r>
        <w:rPr>
          <w:rFonts w:hint="eastAsia" w:ascii="宋体" w:hAnsi="宋体" w:cs="宋体"/>
          <w:color w:val="auto"/>
          <w:highlight w:val="none"/>
        </w:rPr>
        <w:t>综合评分相等时，以投标报价低的优先；投标报价也相等的，以技术得分高的优先来确定中标候选人顺序</w:t>
      </w:r>
      <w:r>
        <w:rPr>
          <w:rFonts w:hint="eastAsia" w:ascii="宋体" w:hAnsi="宋体" w:cs="宋体"/>
          <w:color w:val="auto"/>
          <w:szCs w:val="21"/>
          <w:highlight w:val="none"/>
        </w:rPr>
        <w:t>），各评委对计分表校核无误后全体评委在综合总得分计算表上签名确认。</w:t>
      </w:r>
    </w:p>
    <w:p>
      <w:pPr>
        <w:pStyle w:val="4"/>
        <w:spacing w:line="360" w:lineRule="auto"/>
        <w:ind w:left="0"/>
        <w:rPr>
          <w:rFonts w:hint="eastAsia" w:ascii="宋体" w:hAnsi="宋体" w:cs="宋体"/>
          <w:b/>
          <w:color w:val="auto"/>
          <w:highlight w:val="none"/>
        </w:rPr>
      </w:pPr>
      <w:bookmarkStart w:id="352" w:name="_Toc6130"/>
      <w:bookmarkStart w:id="353" w:name="_Toc19113"/>
      <w:bookmarkStart w:id="354" w:name="_Toc21141"/>
      <w:bookmarkStart w:id="355" w:name="_Toc23566"/>
      <w:bookmarkStart w:id="356" w:name="_Toc34646003"/>
      <w:bookmarkStart w:id="357" w:name="_Toc1670393615"/>
      <w:bookmarkStart w:id="358" w:name="_Toc25904"/>
      <w:bookmarkStart w:id="359" w:name="_Toc4768"/>
      <w:bookmarkStart w:id="360" w:name="_Toc568798974"/>
      <w:bookmarkStart w:id="361" w:name="_Toc31006"/>
      <w:bookmarkStart w:id="362" w:name="_Toc1338541362"/>
      <w:bookmarkStart w:id="363" w:name="_Toc787"/>
      <w:bookmarkStart w:id="364" w:name="_Toc7707"/>
      <w:bookmarkStart w:id="365" w:name="_Toc30429"/>
      <w:bookmarkStart w:id="366" w:name="_Toc23954"/>
      <w:r>
        <w:rPr>
          <w:rFonts w:hint="eastAsia" w:ascii="宋体" w:hAnsi="宋体" w:cs="宋体"/>
          <w:b/>
          <w:color w:val="auto"/>
          <w:highlight w:val="none"/>
        </w:rPr>
        <w:t>3、评标报告</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评标委员会按投标人须知前附表规定推荐中标候选人，出具《评标报告》，全体评委审核《评标报告》并签名确认。</w:t>
      </w:r>
    </w:p>
    <w:p>
      <w:pPr>
        <w:pStyle w:val="5"/>
        <w:spacing w:line="360" w:lineRule="auto"/>
        <w:ind w:firstLine="0" w:firstLineChars="0"/>
        <w:outlineLvl w:val="1"/>
        <w:rPr>
          <w:rFonts w:hint="eastAsia" w:ascii="宋体" w:hAnsi="宋体" w:cs="宋体"/>
          <w:color w:val="auto"/>
          <w:highlight w:val="none"/>
        </w:rPr>
      </w:pPr>
      <w:bookmarkStart w:id="367" w:name="_Toc29347"/>
      <w:bookmarkStart w:id="368" w:name="_Toc1352307981"/>
      <w:bookmarkStart w:id="369" w:name="_Toc34646004"/>
      <w:bookmarkStart w:id="370" w:name="_Toc9346"/>
      <w:bookmarkStart w:id="371" w:name="_Toc795114452"/>
      <w:bookmarkStart w:id="372" w:name="_Toc528551203"/>
      <w:bookmarkStart w:id="373" w:name="_Toc12937"/>
      <w:r>
        <w:rPr>
          <w:rFonts w:hint="eastAsia" w:ascii="宋体" w:hAnsi="宋体" w:cs="宋体"/>
          <w:b/>
          <w:color w:val="auto"/>
          <w:sz w:val="28"/>
          <w:highlight w:val="none"/>
        </w:rPr>
        <w:t>4、评标细则</w:t>
      </w:r>
      <w:bookmarkEnd w:id="367"/>
      <w:bookmarkEnd w:id="368"/>
      <w:bookmarkEnd w:id="369"/>
      <w:bookmarkEnd w:id="370"/>
      <w:bookmarkEnd w:id="371"/>
      <w:bookmarkEnd w:id="372"/>
      <w:bookmarkEnd w:id="373"/>
    </w:p>
    <w:p>
      <w:pPr>
        <w:spacing w:line="360" w:lineRule="auto"/>
        <w:ind w:firstLine="481" w:firstLineChars="200"/>
        <w:outlineLvl w:val="2"/>
        <w:rPr>
          <w:rFonts w:hint="eastAsia" w:ascii="宋体" w:hAnsi="宋体" w:cs="宋体"/>
          <w:b/>
          <w:color w:val="auto"/>
          <w:sz w:val="24"/>
          <w:highlight w:val="none"/>
        </w:rPr>
      </w:pPr>
      <w:bookmarkStart w:id="374" w:name="_Toc19822"/>
      <w:bookmarkStart w:id="375" w:name="_Toc21256"/>
      <w:bookmarkStart w:id="376" w:name="_Toc10952"/>
      <w:bookmarkStart w:id="377" w:name="_Toc22309"/>
      <w:bookmarkStart w:id="378" w:name="_Toc4572"/>
      <w:bookmarkStart w:id="379" w:name="_Toc9786"/>
      <w:r>
        <w:rPr>
          <w:rFonts w:hint="eastAsia" w:ascii="宋体" w:hAnsi="宋体" w:cs="宋体"/>
          <w:b/>
          <w:color w:val="auto"/>
          <w:sz w:val="24"/>
          <w:highlight w:val="none"/>
        </w:rPr>
        <w:t>（1）</w:t>
      </w:r>
      <w:bookmarkEnd w:id="335"/>
      <w:r>
        <w:rPr>
          <w:rFonts w:hint="eastAsia" w:ascii="宋体" w:hAnsi="宋体" w:cs="宋体"/>
          <w:b/>
          <w:color w:val="auto"/>
          <w:sz w:val="24"/>
          <w:highlight w:val="none"/>
        </w:rPr>
        <w:t>分值权重</w:t>
      </w:r>
      <w:bookmarkEnd w:id="374"/>
      <w:bookmarkEnd w:id="375"/>
      <w:bookmarkEnd w:id="376"/>
      <w:bookmarkEnd w:id="377"/>
      <w:bookmarkEnd w:id="378"/>
      <w:bookmarkEnd w:id="379"/>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评标以招标文件规定的条件为依据。评委会对所有有效投标人从商务、技术和价格三个方面进行综合评分，总分为100分。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9"/>
        <w:gridCol w:w="2065"/>
        <w:gridCol w:w="2082"/>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2109" w:type="dxa"/>
            <w:noWrap w:val="0"/>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评分项目</w:t>
            </w:r>
          </w:p>
        </w:tc>
        <w:tc>
          <w:tcPr>
            <w:tcW w:w="2065" w:type="dxa"/>
            <w:noWrap w:val="0"/>
            <w:vAlign w:val="center"/>
          </w:tcPr>
          <w:p>
            <w:pPr>
              <w:ind w:left="1505" w:leftChars="144" w:hanging="1203" w:hangingChars="571"/>
              <w:jc w:val="center"/>
              <w:rPr>
                <w:rFonts w:hint="eastAsia" w:ascii="宋体" w:hAnsi="宋体" w:cs="宋体"/>
                <w:b/>
                <w:bCs/>
                <w:color w:val="auto"/>
                <w:szCs w:val="21"/>
                <w:highlight w:val="none"/>
              </w:rPr>
            </w:pPr>
            <w:r>
              <w:rPr>
                <w:rFonts w:hint="eastAsia" w:ascii="宋体" w:hAnsi="宋体" w:cs="宋体"/>
                <w:b/>
                <w:bCs/>
                <w:color w:val="auto"/>
                <w:szCs w:val="21"/>
                <w:highlight w:val="none"/>
              </w:rPr>
              <w:t>商务评分</w:t>
            </w:r>
          </w:p>
        </w:tc>
        <w:tc>
          <w:tcPr>
            <w:tcW w:w="2082" w:type="dxa"/>
            <w:noWrap w:val="0"/>
            <w:vAlign w:val="center"/>
          </w:tcPr>
          <w:p>
            <w:pPr>
              <w:ind w:left="1505" w:leftChars="144" w:hanging="1203" w:hangingChars="571"/>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技术评分</w:t>
            </w:r>
          </w:p>
        </w:tc>
        <w:tc>
          <w:tcPr>
            <w:tcW w:w="2475" w:type="dxa"/>
            <w:noWrap w:val="0"/>
            <w:vAlign w:val="center"/>
          </w:tcPr>
          <w:p>
            <w:pPr>
              <w:ind w:left="1473" w:leftChars="12" w:hanging="1448" w:hangingChars="687"/>
              <w:jc w:val="center"/>
              <w:rPr>
                <w:rFonts w:hint="eastAsia" w:ascii="宋体" w:hAnsi="宋体" w:cs="宋体"/>
                <w:b/>
                <w:bCs/>
                <w:color w:val="auto"/>
                <w:szCs w:val="21"/>
                <w:highlight w:val="none"/>
              </w:rPr>
            </w:pPr>
            <w:r>
              <w:rPr>
                <w:rFonts w:hint="eastAsia" w:ascii="宋体" w:hAnsi="宋体" w:cs="宋体"/>
                <w:b/>
                <w:bCs/>
                <w:color w:val="auto"/>
                <w:szCs w:val="21"/>
                <w:highlight w:val="none"/>
              </w:rPr>
              <w:t>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109" w:type="dxa"/>
            <w:noWrap w:val="0"/>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分数</w:t>
            </w:r>
          </w:p>
          <w:p>
            <w:pPr>
              <w:jc w:val="center"/>
              <w:rPr>
                <w:rFonts w:hint="eastAsia" w:ascii="宋体" w:hAnsi="宋体" w:cs="宋体"/>
                <w:color w:val="auto"/>
                <w:szCs w:val="21"/>
                <w:highlight w:val="none"/>
              </w:rPr>
            </w:pPr>
            <w:r>
              <w:rPr>
                <w:rFonts w:hint="eastAsia" w:ascii="宋体" w:hAnsi="宋体" w:cs="宋体"/>
                <w:color w:val="auto"/>
                <w:szCs w:val="21"/>
                <w:highlight w:val="none"/>
              </w:rPr>
              <w:t>（总分100分）</w:t>
            </w:r>
          </w:p>
        </w:tc>
        <w:tc>
          <w:tcPr>
            <w:tcW w:w="2065" w:type="dxa"/>
            <w:noWrap w:val="0"/>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c>
          <w:tcPr>
            <w:tcW w:w="2082" w:type="dxa"/>
            <w:noWrap w:val="0"/>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分</w:t>
            </w:r>
          </w:p>
        </w:tc>
        <w:tc>
          <w:tcPr>
            <w:tcW w:w="2475" w:type="dxa"/>
            <w:noWrap w:val="0"/>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40</w:t>
            </w:r>
            <w:r>
              <w:rPr>
                <w:rFonts w:hint="eastAsia" w:ascii="宋体" w:hAnsi="宋体" w:cs="宋体"/>
                <w:color w:val="auto"/>
                <w:szCs w:val="21"/>
                <w:highlight w:val="none"/>
              </w:rPr>
              <w:t>分</w:t>
            </w:r>
          </w:p>
        </w:tc>
      </w:tr>
    </w:tbl>
    <w:p>
      <w:pPr>
        <w:spacing w:line="360" w:lineRule="auto"/>
        <w:rPr>
          <w:rFonts w:hint="eastAsia" w:ascii="宋体" w:hAnsi="宋体" w:cs="宋体"/>
          <w:b/>
          <w:color w:val="auto"/>
          <w:highlight w:val="none"/>
        </w:rPr>
      </w:pPr>
      <w:bookmarkStart w:id="380" w:name="_Toc6526"/>
      <w:bookmarkStart w:id="381" w:name="_Toc15661"/>
      <w:bookmarkStart w:id="382" w:name="_Toc22938"/>
      <w:bookmarkStart w:id="383" w:name="_Toc21999"/>
      <w:bookmarkStart w:id="384" w:name="_Toc504657625"/>
      <w:bookmarkStart w:id="385" w:name="_Toc17880"/>
    </w:p>
    <w:p>
      <w:pPr>
        <w:pStyle w:val="20"/>
        <w:rPr>
          <w:rFonts w:hint="eastAsia" w:ascii="宋体" w:hAnsi="宋体" w:cs="宋体"/>
          <w:b/>
          <w:color w:val="auto"/>
          <w:highlight w:val="none"/>
        </w:rPr>
      </w:pPr>
    </w:p>
    <w:p>
      <w:pPr>
        <w:rPr>
          <w:rFonts w:hint="eastAsia" w:ascii="宋体" w:hAnsi="宋体" w:cs="宋体"/>
          <w:b/>
          <w:color w:val="auto"/>
          <w:highlight w:val="none"/>
        </w:rPr>
      </w:pPr>
    </w:p>
    <w:p>
      <w:pPr>
        <w:pStyle w:val="20"/>
        <w:rPr>
          <w:rFonts w:hint="eastAsia" w:ascii="宋体" w:hAnsi="宋体" w:cs="宋体"/>
          <w:b/>
          <w:color w:val="auto"/>
          <w:highlight w:val="none"/>
        </w:rPr>
      </w:pPr>
    </w:p>
    <w:p>
      <w:pPr>
        <w:rPr>
          <w:rFonts w:hint="eastAsia" w:ascii="宋体" w:hAnsi="宋体" w:cs="宋体"/>
          <w:b/>
          <w:color w:val="auto"/>
          <w:highlight w:val="none"/>
        </w:rPr>
      </w:pPr>
    </w:p>
    <w:p>
      <w:pPr>
        <w:pStyle w:val="20"/>
        <w:rPr>
          <w:rFonts w:hint="eastAsia" w:ascii="宋体" w:hAnsi="宋体" w:cs="宋体"/>
          <w:b/>
          <w:color w:val="auto"/>
          <w:highlight w:val="none"/>
        </w:rPr>
      </w:pPr>
    </w:p>
    <w:p>
      <w:pPr>
        <w:rPr>
          <w:rFonts w:hint="eastAsia"/>
          <w:color w:val="auto"/>
          <w:highlight w:val="none"/>
        </w:rPr>
      </w:pPr>
    </w:p>
    <w:p>
      <w:pPr>
        <w:spacing w:line="360" w:lineRule="auto"/>
        <w:ind w:firstLine="481" w:firstLineChars="200"/>
        <w:outlineLvl w:val="2"/>
        <w:rPr>
          <w:rFonts w:hint="eastAsia" w:ascii="宋体" w:hAnsi="宋体" w:cs="宋体"/>
          <w:b/>
          <w:color w:val="auto"/>
          <w:sz w:val="24"/>
          <w:highlight w:val="none"/>
        </w:rPr>
      </w:pPr>
      <w:bookmarkStart w:id="386" w:name="_Toc18457"/>
      <w:r>
        <w:rPr>
          <w:rFonts w:hint="eastAsia" w:ascii="宋体" w:hAnsi="宋体" w:cs="宋体"/>
          <w:b/>
          <w:color w:val="auto"/>
          <w:sz w:val="24"/>
          <w:highlight w:val="none"/>
        </w:rPr>
        <w:t>（2）评标细则表</w:t>
      </w:r>
      <w:bookmarkEnd w:id="380"/>
      <w:bookmarkEnd w:id="381"/>
      <w:bookmarkEnd w:id="382"/>
      <w:bookmarkEnd w:id="383"/>
      <w:bookmarkEnd w:id="384"/>
      <w:bookmarkEnd w:id="385"/>
      <w:bookmarkEnd w:id="386"/>
    </w:p>
    <w:p>
      <w:pPr>
        <w:spacing w:before="120" w:beforeLines="50" w:after="120" w:afterLines="50" w:line="360" w:lineRule="auto"/>
        <w:ind w:firstLine="105" w:firstLineChars="50"/>
        <w:jc w:val="center"/>
        <w:rPr>
          <w:rFonts w:hint="eastAsia" w:ascii="宋体" w:hAnsi="宋体" w:cs="宋体"/>
          <w:color w:val="auto"/>
          <w:szCs w:val="21"/>
          <w:highlight w:val="none"/>
        </w:rPr>
      </w:pPr>
      <w:r>
        <w:rPr>
          <w:rFonts w:hint="eastAsia" w:ascii="宋体" w:hAnsi="宋体" w:cs="宋体"/>
          <w:b/>
          <w:color w:val="auto"/>
          <w:szCs w:val="21"/>
          <w:highlight w:val="none"/>
        </w:rPr>
        <w:t>表1  符合性评审表</w:t>
      </w:r>
    </w:p>
    <w:tbl>
      <w:tblPr>
        <w:tblStyle w:val="27"/>
        <w:tblW w:w="0" w:type="auto"/>
        <w:jc w:val="center"/>
        <w:tblLayout w:type="fixed"/>
        <w:tblCellMar>
          <w:top w:w="0" w:type="dxa"/>
          <w:left w:w="30" w:type="dxa"/>
          <w:bottom w:w="0" w:type="dxa"/>
          <w:right w:w="30" w:type="dxa"/>
        </w:tblCellMar>
      </w:tblPr>
      <w:tblGrid>
        <w:gridCol w:w="570"/>
        <w:gridCol w:w="2160"/>
        <w:gridCol w:w="6300"/>
      </w:tblGrid>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审查项目</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投标保证金</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投标人未提交投标保证金或保证金不足,投标保证金形式或保函内容不符合招标文件要求的不合格。</w:t>
            </w:r>
          </w:p>
        </w:tc>
      </w:tr>
      <w:tr>
        <w:tblPrEx>
          <w:tblCellMar>
            <w:top w:w="0" w:type="dxa"/>
            <w:left w:w="30" w:type="dxa"/>
            <w:bottom w:w="0" w:type="dxa"/>
            <w:right w:w="30" w:type="dxa"/>
          </w:tblCellMar>
        </w:tblPrEx>
        <w:trPr>
          <w:trHeight w:val="906"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2</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投标</w:t>
            </w:r>
            <w:r>
              <w:rPr>
                <w:rFonts w:hint="eastAsia" w:ascii="宋体" w:hAnsi="宋体" w:cs="宋体"/>
                <w:b/>
                <w:color w:val="auto"/>
                <w:highlight w:val="none"/>
                <w:lang w:val="en-US" w:eastAsia="zh-CN"/>
              </w:rPr>
              <w:t>文件</w:t>
            </w:r>
            <w:r>
              <w:rPr>
                <w:rFonts w:hint="eastAsia" w:ascii="宋体" w:hAnsi="宋体" w:cs="宋体"/>
                <w:b/>
                <w:color w:val="auto"/>
                <w:highlight w:val="none"/>
              </w:rPr>
              <w:t>的有效性</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招标文件要求签字盖章处未按相应要求进行法定代表人/授权代表签字（或签字者无投标人有效委托书）和/或加盖投标单位公章的不合格。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投标文件的内容</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未按规定的格式填写，内容不全或关键字迹模糊、无法辨认的不合格。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4</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投标人的有效性</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投标人是否满足招标文件“投标人资格要求”。</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5</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投标有效期</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投标有效期不足的不合格。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6</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交货期/服务期</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交货期/服务期不满足招标文件要求的不合格。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7</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付款条款</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不符合招标要求或有不利于招标人的偏离的不合格。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8</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投标文件的真实性</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投标文件中有虚假资料的不合格。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9</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投标报价</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在一份投标文件中对同一招标货物或服务报有两个或多个报价，且未声明哪一个为最终报价的不合格。超过最高限价（单价或总价）的不合格。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10</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低于成本价投标</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highlight w:val="none"/>
              </w:rPr>
              <w:t>投标人的报价明显低于其他投标报价或者报价可能低于其个别成本的，且投标人不能合理说明或者不能提供相关证明材料的，评标委员会认定该投标人以低于成本报价投标的不合格。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11</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highlight w:val="none"/>
              </w:rPr>
            </w:pPr>
            <w:r>
              <w:rPr>
                <w:rFonts w:hint="eastAsia" w:ascii="宋体" w:hAnsi="宋体" w:cs="宋体"/>
                <w:b/>
                <w:color w:val="auto"/>
                <w:highlight w:val="none"/>
              </w:rPr>
              <w:t>投标样品</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color w:val="auto"/>
                <w:highlight w:val="none"/>
              </w:rPr>
            </w:pPr>
            <w:r>
              <w:rPr>
                <w:rFonts w:hint="eastAsia" w:ascii="宋体" w:hAnsi="宋体" w:cs="宋体"/>
                <w:color w:val="auto"/>
                <w:szCs w:val="21"/>
                <w:highlight w:val="none"/>
              </w:rPr>
              <w:t>未按要求提供样品的不合格。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eastAsia="宋体"/>
                <w:color w:val="auto"/>
                <w:highlight w:val="none"/>
                <w:lang w:val="en-US" w:eastAsia="zh-CN"/>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2</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color w:val="auto"/>
                <w:highlight w:val="none"/>
              </w:rPr>
            </w:pPr>
            <w:r>
              <w:rPr>
                <w:rFonts w:hint="eastAsia" w:ascii="宋体" w:hAnsi="宋体" w:cs="宋体"/>
                <w:b/>
                <w:color w:val="auto"/>
                <w:highlight w:val="none"/>
              </w:rPr>
              <w:t>系统预警</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color w:val="auto"/>
                <w:highlight w:val="none"/>
              </w:rPr>
            </w:pPr>
            <w:r>
              <w:rPr>
                <w:rFonts w:hint="eastAsia"/>
                <w:color w:val="auto"/>
                <w:highlight w:val="none"/>
                <w:lang w:val="en-US" w:eastAsia="zh-CN"/>
              </w:rPr>
              <w:t>递交文件的供应商之间在本项目过程中</w:t>
            </w:r>
            <w:r>
              <w:rPr>
                <w:rFonts w:hint="eastAsia"/>
                <w:color w:val="auto"/>
                <w:highlight w:val="none"/>
              </w:rPr>
              <w:t>登陆</w:t>
            </w:r>
            <w:r>
              <w:rPr>
                <w:rFonts w:hint="eastAsia"/>
                <w:color w:val="auto"/>
                <w:highlight w:val="none"/>
                <w:lang w:eastAsia="zh-CN"/>
              </w:rPr>
              <w:t>，</w:t>
            </w:r>
            <w:r>
              <w:rPr>
                <w:rFonts w:hint="eastAsia"/>
                <w:color w:val="auto"/>
                <w:highlight w:val="none"/>
              </w:rPr>
              <w:t>购标、递标、开标解密</w:t>
            </w:r>
            <w:r>
              <w:rPr>
                <w:rFonts w:hint="eastAsia"/>
                <w:color w:val="auto"/>
                <w:highlight w:val="none"/>
                <w:lang w:val="en-US" w:eastAsia="zh-CN"/>
              </w:rPr>
              <w:t>等任何一个</w:t>
            </w:r>
            <w:r>
              <w:rPr>
                <w:rFonts w:hint="eastAsia"/>
                <w:color w:val="auto"/>
                <w:highlight w:val="none"/>
              </w:rPr>
              <w:t>环节存在IP地址异常一致</w:t>
            </w:r>
            <w:r>
              <w:rPr>
                <w:rFonts w:hint="eastAsia"/>
                <w:color w:val="auto"/>
                <w:highlight w:val="none"/>
                <w:lang w:val="en-US" w:eastAsia="zh-CN"/>
              </w:rPr>
              <w:t>且南航采购平台电子系统已经做出预警</w:t>
            </w:r>
            <w:r>
              <w:rPr>
                <w:rFonts w:hint="eastAsia"/>
                <w:color w:val="auto"/>
                <w:highlight w:val="none"/>
              </w:rPr>
              <w:t>的，或者</w:t>
            </w:r>
            <w:r>
              <w:rPr>
                <w:rFonts w:hint="eastAsia" w:ascii="宋体" w:hAnsi="宋体" w:cs="宋体"/>
                <w:color w:val="auto"/>
                <w:szCs w:val="21"/>
                <w:highlight w:val="none"/>
                <w:lang w:val="en-US" w:eastAsia="zh-CN"/>
              </w:rPr>
              <w:t>支付平台服务费</w:t>
            </w:r>
            <w:r>
              <w:rPr>
                <w:rFonts w:hint="eastAsia"/>
                <w:color w:val="auto"/>
                <w:highlight w:val="none"/>
                <w:lang w:val="en-US" w:eastAsia="zh-CN"/>
              </w:rPr>
              <w:t>、</w:t>
            </w:r>
            <w:r>
              <w:rPr>
                <w:rFonts w:hint="eastAsia"/>
                <w:color w:val="auto"/>
                <w:highlight w:val="none"/>
              </w:rPr>
              <w:t>提交各类保证金</w:t>
            </w:r>
            <w:r>
              <w:rPr>
                <w:rFonts w:hint="eastAsia"/>
                <w:color w:val="auto"/>
                <w:highlight w:val="none"/>
                <w:lang w:val="en-US" w:eastAsia="zh-CN"/>
              </w:rPr>
              <w:t>等付款行为</w:t>
            </w:r>
            <w:r>
              <w:rPr>
                <w:rFonts w:hint="eastAsia"/>
                <w:color w:val="auto"/>
                <w:highlight w:val="none"/>
              </w:rPr>
              <w:t>的银行账户一致的</w:t>
            </w:r>
            <w:r>
              <w:rPr>
                <w:rFonts w:hint="eastAsia"/>
                <w:color w:val="auto"/>
                <w:highlight w:val="none"/>
                <w:lang w:val="en-US" w:eastAsia="zh-CN"/>
              </w:rPr>
              <w:t>不合格。</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3</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szCs w:val="21"/>
                <w:highlight w:val="none"/>
              </w:rPr>
            </w:pPr>
            <w:r>
              <w:rPr>
                <w:rFonts w:hint="eastAsia" w:ascii="宋体" w:hAnsi="宋体" w:cs="宋体"/>
                <w:b/>
                <w:color w:val="auto"/>
                <w:highlight w:val="none"/>
              </w:rPr>
              <w:t>其他导致投标无效的条款</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招标文件中列明的（例如：</w:t>
            </w:r>
            <w:r>
              <w:rPr>
                <w:rFonts w:hint="eastAsia" w:ascii="宋体" w:hAnsi="宋体" w:cs="宋体"/>
                <w:color w:val="auto"/>
                <w:highlight w:val="none"/>
              </w:rPr>
              <w:t>标注“★”、“☆”符号的条款等</w:t>
            </w:r>
            <w:r>
              <w:rPr>
                <w:rFonts w:hint="eastAsia" w:ascii="宋体" w:hAnsi="宋体" w:cs="宋体"/>
                <w:color w:val="auto"/>
                <w:szCs w:val="21"/>
                <w:highlight w:val="none"/>
              </w:rPr>
              <w:t>）及法律法规列明的其他导致投标无效条款。</w:t>
            </w:r>
          </w:p>
        </w:tc>
      </w:tr>
      <w:tr>
        <w:tblPrEx>
          <w:tblCellMar>
            <w:top w:w="0" w:type="dxa"/>
            <w:left w:w="30" w:type="dxa"/>
            <w:bottom w:w="0" w:type="dxa"/>
            <w:right w:w="30" w:type="dxa"/>
          </w:tblCellMar>
        </w:tblPrEx>
        <w:trPr>
          <w:trHeight w:val="545" w:hRule="atLeast"/>
          <w:jc w:val="center"/>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4</w:t>
            </w:r>
          </w:p>
        </w:tc>
        <w:tc>
          <w:tcPr>
            <w:tcW w:w="2160" w:type="dxa"/>
            <w:tcBorders>
              <w:top w:val="single" w:color="auto" w:sz="6" w:space="0"/>
              <w:left w:val="single" w:color="auto" w:sz="6" w:space="0"/>
              <w:bottom w:val="single" w:color="auto" w:sz="6" w:space="0"/>
              <w:right w:val="single" w:color="auto" w:sz="6" w:space="0"/>
            </w:tcBorders>
            <w:noWrap w:val="0"/>
            <w:vAlign w:val="center"/>
          </w:tcPr>
          <w:p>
            <w:pPr>
              <w:pStyle w:val="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符合性审查结论</w:t>
            </w:r>
          </w:p>
        </w:tc>
        <w:tc>
          <w:tcPr>
            <w:tcW w:w="6300"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w:t>
            </w:r>
          </w:p>
        </w:tc>
      </w:tr>
    </w:tbl>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说明：</w:t>
      </w:r>
    </w:p>
    <w:p>
      <w:pPr>
        <w:spacing w:line="360" w:lineRule="auto"/>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1、符合性审查有一项不合格视为符合性审查不通过。</w:t>
      </w:r>
    </w:p>
    <w:p>
      <w:pPr>
        <w:spacing w:line="360" w:lineRule="auto"/>
        <w:ind w:firstLine="638" w:firstLineChars="304"/>
        <w:rPr>
          <w:rFonts w:hint="eastAsia" w:ascii="宋体" w:hAnsi="宋体" w:cs="宋体"/>
          <w:b/>
          <w:color w:val="auto"/>
          <w:szCs w:val="21"/>
          <w:highlight w:val="none"/>
        </w:rPr>
      </w:pPr>
      <w:r>
        <w:rPr>
          <w:rFonts w:hint="eastAsia" w:ascii="宋体" w:hAnsi="宋体" w:cs="宋体"/>
          <w:color w:val="auto"/>
          <w:szCs w:val="21"/>
          <w:highlight w:val="none"/>
        </w:rPr>
        <w:t>2、</w:t>
      </w:r>
      <w:r>
        <w:rPr>
          <w:rFonts w:hint="eastAsia" w:ascii="宋体" w:hAnsi="宋体" w:cs="宋体"/>
          <w:color w:val="auto"/>
          <w:highlight w:val="none"/>
        </w:rPr>
        <w:t>通过符合性审查的投标人不足三家的，将重新招标。</w:t>
      </w:r>
    </w:p>
    <w:p>
      <w:pPr>
        <w:spacing w:before="120" w:beforeLines="50" w:after="120" w:afterLines="50" w:line="360" w:lineRule="auto"/>
        <w:ind w:firstLine="105" w:firstLineChars="50"/>
        <w:jc w:val="center"/>
        <w:rPr>
          <w:rFonts w:hint="eastAsia" w:ascii="宋体" w:hAnsi="宋体" w:cs="宋体"/>
          <w:b/>
          <w:color w:val="auto"/>
          <w:szCs w:val="21"/>
          <w:highlight w:val="none"/>
        </w:rPr>
      </w:pPr>
      <w:r>
        <w:rPr>
          <w:rFonts w:hint="eastAsia" w:ascii="宋体" w:hAnsi="宋体" w:cs="宋体"/>
          <w:b/>
          <w:color w:val="auto"/>
          <w:szCs w:val="21"/>
          <w:highlight w:val="none"/>
        </w:rPr>
        <w:t>表2  商务评审表（</w:t>
      </w:r>
      <w:r>
        <w:rPr>
          <w:rFonts w:hint="eastAsia" w:ascii="宋体" w:hAnsi="宋体" w:cs="宋体"/>
          <w:b/>
          <w:color w:val="auto"/>
          <w:szCs w:val="21"/>
          <w:highlight w:val="none"/>
          <w:lang w:val="en-US" w:eastAsia="zh-CN"/>
        </w:rPr>
        <w:t>10</w:t>
      </w:r>
      <w:r>
        <w:rPr>
          <w:rFonts w:hint="eastAsia" w:ascii="宋体" w:hAnsi="宋体" w:cs="宋体"/>
          <w:b/>
          <w:color w:val="auto"/>
          <w:szCs w:val="21"/>
          <w:highlight w:val="none"/>
        </w:rPr>
        <w:t>分）</w:t>
      </w:r>
    </w:p>
    <w:tbl>
      <w:tblPr>
        <w:tblStyle w:val="2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2"/>
        <w:gridCol w:w="1964"/>
        <w:gridCol w:w="5008"/>
        <w:gridCol w:w="815"/>
        <w:gridCol w:w="127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94" w:hRule="atLeast"/>
          <w:jc w:val="center"/>
        </w:trPr>
        <w:tc>
          <w:tcPr>
            <w:tcW w:w="66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6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评审项目</w:t>
            </w:r>
          </w:p>
        </w:tc>
        <w:tc>
          <w:tcPr>
            <w:tcW w:w="50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评审内容</w:t>
            </w:r>
          </w:p>
        </w:tc>
        <w:tc>
          <w:tcPr>
            <w:tcW w:w="8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127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主</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4" w:hRule="atLeast"/>
          <w:jc w:val="center"/>
        </w:trPr>
        <w:tc>
          <w:tcPr>
            <w:tcW w:w="662"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964"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b w:val="0"/>
                <w:bCs/>
                <w:color w:val="auto"/>
                <w:szCs w:val="21"/>
                <w:highlight w:val="none"/>
              </w:rPr>
              <w:t>业绩</w:t>
            </w:r>
          </w:p>
        </w:tc>
        <w:tc>
          <w:tcPr>
            <w:tcW w:w="5008"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pStyle w:val="10"/>
              <w:spacing w:beforeLines="0" w:afterLines="0"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近</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年内（20</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月</w:t>
            </w:r>
            <w:r>
              <w:rPr>
                <w:rFonts w:hint="eastAsia" w:ascii="宋体" w:hAnsi="宋体" w:cs="宋体"/>
                <w:color w:val="auto"/>
                <w:szCs w:val="21"/>
                <w:highlight w:val="none"/>
                <w:lang w:eastAsia="zh-CN"/>
              </w:rPr>
              <w:t>【】</w:t>
            </w:r>
            <w:r>
              <w:rPr>
                <w:rFonts w:hint="eastAsia" w:ascii="宋体" w:hAnsi="宋体" w:cs="宋体"/>
                <w:color w:val="auto"/>
                <w:szCs w:val="21"/>
                <w:highlight w:val="none"/>
              </w:rPr>
              <w:t>日至</w:t>
            </w:r>
            <w:r>
              <w:rPr>
                <w:rFonts w:hint="eastAsia" w:ascii="宋体" w:hAnsi="宋体" w:cs="宋体"/>
                <w:color w:val="auto"/>
                <w:szCs w:val="21"/>
                <w:highlight w:val="none"/>
                <w:lang w:eastAsia="zh-CN"/>
              </w:rPr>
              <w:t>投标截止日</w:t>
            </w:r>
            <w:r>
              <w:rPr>
                <w:rFonts w:hint="eastAsia" w:ascii="宋体" w:hAnsi="宋体" w:cs="宋体"/>
                <w:color w:val="auto"/>
                <w:szCs w:val="21"/>
                <w:highlight w:val="none"/>
              </w:rPr>
              <w:t>）为企事业单位或团体提供过同类业绩且</w:t>
            </w:r>
            <w:r>
              <w:rPr>
                <w:rFonts w:hint="eastAsia" w:ascii="宋体" w:hAnsi="宋体" w:cs="宋体"/>
                <w:color w:val="auto"/>
                <w:szCs w:val="21"/>
                <w:highlight w:val="none"/>
                <w:lang w:eastAsia="zh-CN"/>
              </w:rPr>
              <w:t>单项</w:t>
            </w:r>
            <w:r>
              <w:rPr>
                <w:rFonts w:hint="eastAsia" w:ascii="宋体" w:hAnsi="宋体" w:cs="宋体"/>
                <w:color w:val="auto"/>
                <w:szCs w:val="21"/>
                <w:highlight w:val="none"/>
              </w:rPr>
              <w:t>合同金额在</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万（含）以上的（同类业绩指</w:t>
            </w:r>
            <w:r>
              <w:rPr>
                <w:rFonts w:hint="eastAsia" w:ascii="宋体" w:hAnsi="宋体" w:cs="宋体"/>
                <w:color w:val="auto"/>
                <w:szCs w:val="21"/>
                <w:highlight w:val="none"/>
                <w:lang w:eastAsia="zh-CN"/>
              </w:rPr>
              <w:t>丝袜、短丝袜、加厚裤袜）</w:t>
            </w:r>
            <w:r>
              <w:rPr>
                <w:rFonts w:hint="eastAsia" w:ascii="宋体" w:hAnsi="宋体" w:cs="宋体"/>
                <w:color w:val="auto"/>
                <w:szCs w:val="21"/>
                <w:highlight w:val="none"/>
              </w:rPr>
              <w:t>，</w:t>
            </w:r>
            <w:r>
              <w:rPr>
                <w:rFonts w:hint="eastAsia" w:ascii="宋体" w:hAnsi="宋体" w:cs="宋体"/>
                <w:color w:val="auto"/>
                <w:szCs w:val="21"/>
                <w:highlight w:val="none"/>
                <w:lang w:eastAsia="zh-CN"/>
              </w:rPr>
              <w:t>合同累计总金额</w:t>
            </w:r>
            <w:r>
              <w:rPr>
                <w:rFonts w:hint="eastAsia" w:ascii="宋体" w:hAnsi="宋体" w:cs="宋体"/>
                <w:color w:val="auto"/>
                <w:szCs w:val="21"/>
                <w:highlight w:val="none"/>
              </w:rPr>
              <w:t>排名第一的得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按排名依次递减1分，</w:t>
            </w:r>
            <w:r>
              <w:rPr>
                <w:rFonts w:hint="eastAsia" w:ascii="宋体" w:hAnsi="宋体" w:eastAsia="宋体" w:cs="宋体"/>
                <w:b w:val="0"/>
                <w:bCs w:val="0"/>
                <w:color w:val="auto"/>
                <w:kern w:val="2"/>
                <w:sz w:val="21"/>
                <w:szCs w:val="21"/>
                <w:highlight w:val="none"/>
                <w:lang w:val="en-US" w:eastAsia="zh-CN" w:bidi="ar-SA"/>
              </w:rPr>
              <w:t>到1分为止</w:t>
            </w:r>
            <w:r>
              <w:rPr>
                <w:rFonts w:hint="eastAsia" w:ascii="宋体" w:hAnsi="宋体" w:cs="宋体"/>
                <w:color w:val="auto"/>
                <w:szCs w:val="21"/>
                <w:highlight w:val="none"/>
                <w:lang w:val="en-US" w:eastAsia="zh-CN"/>
              </w:rPr>
              <w:t>，没有提供业绩的得0分。</w:t>
            </w:r>
          </w:p>
          <w:p>
            <w:pPr>
              <w:widowControl/>
              <w:spacing w:line="360" w:lineRule="auto"/>
              <w:jc w:val="left"/>
              <w:rPr>
                <w:rFonts w:hint="eastAsia" w:ascii="宋体" w:hAnsi="宋体" w:eastAsia="宋体" w:cs="宋体"/>
                <w:bCs/>
                <w:color w:val="auto"/>
                <w:kern w:val="2"/>
                <w:sz w:val="21"/>
                <w:szCs w:val="21"/>
                <w:highlight w:val="none"/>
                <w:lang w:val="en-US" w:eastAsia="zh-CN" w:bidi="ar-SA"/>
              </w:rPr>
            </w:pPr>
            <w:r>
              <w:rPr>
                <w:rFonts w:hint="eastAsia"/>
                <w:b/>
                <w:color w:val="auto"/>
                <w:highlight w:val="none"/>
              </w:rPr>
              <w:t>备注：</w:t>
            </w:r>
            <w:r>
              <w:rPr>
                <w:rFonts w:hint="eastAsia" w:ascii="宋体" w:hAnsi="宋体" w:cs="宋体"/>
                <w:b/>
                <w:bCs/>
                <w:color w:val="auto"/>
                <w:highlight w:val="none"/>
              </w:rPr>
              <w:t>投标人提供</w:t>
            </w:r>
            <w:r>
              <w:rPr>
                <w:rFonts w:hint="eastAsia" w:ascii="宋体" w:hAnsi="宋体" w:cs="宋体"/>
                <w:b/>
                <w:bCs/>
                <w:color w:val="auto"/>
                <w:highlight w:val="none"/>
                <w:lang w:eastAsia="zh-CN"/>
              </w:rPr>
              <w:t>《销售</w:t>
            </w:r>
            <w:r>
              <w:rPr>
                <w:rFonts w:hint="eastAsia" w:ascii="宋体" w:hAnsi="宋体" w:cs="宋体"/>
                <w:b/>
                <w:bCs/>
                <w:color w:val="auto"/>
                <w:highlight w:val="none"/>
              </w:rPr>
              <w:t>业绩清单</w:t>
            </w:r>
            <w:r>
              <w:rPr>
                <w:rFonts w:hint="eastAsia" w:ascii="宋体" w:hAnsi="宋体" w:cs="宋体"/>
                <w:b/>
                <w:bCs/>
                <w:color w:val="auto"/>
                <w:highlight w:val="none"/>
                <w:lang w:eastAsia="zh-CN"/>
              </w:rPr>
              <w:t>》（详见第六章格式九</w:t>
            </w:r>
            <w:r>
              <w:rPr>
                <w:rFonts w:hint="eastAsia" w:ascii="宋体" w:hAnsi="宋体" w:cs="宋体"/>
                <w:b/>
                <w:bCs/>
                <w:color w:val="auto"/>
                <w:highlight w:val="none"/>
                <w:lang w:val="en-US" w:eastAsia="zh-CN"/>
              </w:rPr>
              <w:t>-1</w:t>
            </w:r>
            <w:r>
              <w:rPr>
                <w:rFonts w:hint="eastAsia" w:ascii="宋体" w:hAnsi="宋体" w:cs="宋体"/>
                <w:b/>
                <w:bCs/>
                <w:color w:val="auto"/>
                <w:highlight w:val="none"/>
                <w:lang w:eastAsia="zh-CN"/>
              </w:rPr>
              <w:t>）</w:t>
            </w:r>
            <w:r>
              <w:rPr>
                <w:rFonts w:hint="eastAsia" w:ascii="宋体" w:hAnsi="宋体" w:cs="宋体"/>
                <w:b/>
                <w:bCs/>
                <w:color w:val="auto"/>
                <w:highlight w:val="none"/>
              </w:rPr>
              <w:t>，</w:t>
            </w:r>
            <w:r>
              <w:rPr>
                <w:rFonts w:hint="eastAsia" w:ascii="宋体" w:hAnsi="宋体" w:cs="宋体"/>
                <w:b/>
                <w:bCs/>
                <w:color w:val="auto"/>
                <w:highlight w:val="none"/>
                <w:lang w:eastAsia="zh-CN"/>
              </w:rPr>
              <w:t>清单</w:t>
            </w:r>
            <w:r>
              <w:rPr>
                <w:rFonts w:hint="eastAsia" w:ascii="宋体" w:hAnsi="宋体" w:cs="宋体"/>
                <w:b/>
                <w:bCs/>
                <w:color w:val="auto"/>
                <w:highlight w:val="none"/>
              </w:rPr>
              <w:t>须包括对应销售业绩使用单位名称、使用单位联系人及联系方式、销售</w:t>
            </w:r>
            <w:r>
              <w:rPr>
                <w:rFonts w:hint="eastAsia" w:ascii="宋体" w:hAnsi="宋体" w:cs="宋体"/>
                <w:b/>
                <w:bCs/>
                <w:color w:val="auto"/>
                <w:highlight w:val="none"/>
                <w:lang w:eastAsia="zh-CN"/>
              </w:rPr>
              <w:t>产品名称、</w:t>
            </w:r>
            <w:r>
              <w:rPr>
                <w:rFonts w:hint="eastAsia" w:ascii="宋体" w:hAnsi="宋体" w:cs="宋体"/>
                <w:b/>
                <w:bCs/>
                <w:color w:val="auto"/>
                <w:highlight w:val="none"/>
              </w:rPr>
              <w:t>销售数量</w:t>
            </w:r>
            <w:r>
              <w:rPr>
                <w:rFonts w:hint="eastAsia" w:ascii="宋体" w:hAnsi="宋体" w:cs="宋体"/>
                <w:b/>
                <w:bCs/>
                <w:color w:val="auto"/>
                <w:highlight w:val="none"/>
                <w:lang w:eastAsia="zh-CN"/>
              </w:rPr>
              <w:t>、销售总金额、合同签署时间</w:t>
            </w:r>
            <w:r>
              <w:rPr>
                <w:rFonts w:hint="eastAsia" w:ascii="宋体" w:hAnsi="宋体"/>
                <w:b/>
                <w:color w:val="auto"/>
                <w:szCs w:val="21"/>
                <w:highlight w:val="none"/>
              </w:rPr>
              <w:t>）</w:t>
            </w:r>
            <w:r>
              <w:rPr>
                <w:rFonts w:hint="eastAsia" w:ascii="宋体" w:hAnsi="宋体"/>
                <w:b/>
                <w:color w:val="auto"/>
                <w:szCs w:val="21"/>
                <w:highlight w:val="none"/>
                <w:lang w:eastAsia="zh-CN"/>
              </w:rPr>
              <w:t>，同时根据清单顺序附上对应的合同关键页</w:t>
            </w:r>
            <w:r>
              <w:rPr>
                <w:rFonts w:hint="eastAsia"/>
                <w:b/>
                <w:color w:val="auto"/>
                <w:highlight w:val="none"/>
              </w:rPr>
              <w:t>（包括产品名称、数量、金额合计、</w:t>
            </w:r>
            <w:r>
              <w:rPr>
                <w:rFonts w:hint="eastAsia"/>
                <w:b/>
                <w:color w:val="auto"/>
                <w:highlight w:val="none"/>
                <w:lang w:eastAsia="zh-CN"/>
              </w:rPr>
              <w:t>双方</w:t>
            </w:r>
            <w:r>
              <w:rPr>
                <w:rFonts w:hint="eastAsia"/>
                <w:b/>
                <w:color w:val="auto"/>
                <w:highlight w:val="none"/>
              </w:rPr>
              <w:t>盖章页、签订日期等）复印件并加盖公章，否则不得分。</w:t>
            </w:r>
          </w:p>
        </w:tc>
        <w:tc>
          <w:tcPr>
            <w:tcW w:w="815"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4</w:t>
            </w:r>
          </w:p>
        </w:tc>
        <w:tc>
          <w:tcPr>
            <w:tcW w:w="1273"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927" w:hRule="atLeast"/>
          <w:jc w:val="center"/>
        </w:trPr>
        <w:tc>
          <w:tcPr>
            <w:tcW w:w="66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p>
        </w:tc>
        <w:tc>
          <w:tcPr>
            <w:tcW w:w="196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b w:val="0"/>
                <w:bCs/>
                <w:color w:val="auto"/>
                <w:szCs w:val="21"/>
                <w:highlight w:val="none"/>
                <w:lang w:eastAsia="zh-CN"/>
              </w:rPr>
              <w:t>自有品牌</w:t>
            </w:r>
          </w:p>
        </w:tc>
        <w:tc>
          <w:tcPr>
            <w:tcW w:w="500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有自主丝袜品牌及专业生产能力，投标人需提供证明材料并加盖公章；提供主要生产设备（丝袜机、定型机等）清单、现场图片及购买发票复印件。符合得3分，没有提供证明材料的不得分。</w:t>
            </w:r>
          </w:p>
        </w:tc>
        <w:tc>
          <w:tcPr>
            <w:tcW w:w="81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127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w:t>
            </w:r>
          </w:p>
        </w:tc>
        <w:tc>
          <w:tcPr>
            <w:tcW w:w="196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b w:val="0"/>
                <w:bCs/>
                <w:color w:val="auto"/>
                <w:szCs w:val="21"/>
                <w:highlight w:val="none"/>
                <w:lang w:eastAsia="zh-CN"/>
              </w:rPr>
            </w:pPr>
            <w:r>
              <w:rPr>
                <w:rFonts w:hint="eastAsia" w:ascii="宋体" w:hAnsi="宋体"/>
                <w:b w:val="0"/>
                <w:bCs/>
                <w:color w:val="auto"/>
                <w:szCs w:val="21"/>
                <w:highlight w:val="none"/>
              </w:rPr>
              <w:t>售后服务</w:t>
            </w:r>
          </w:p>
        </w:tc>
        <w:tc>
          <w:tcPr>
            <w:tcW w:w="500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widowControl/>
              <w:numPr>
                <w:ilvl w:val="0"/>
                <w:numId w:val="0"/>
              </w:numPr>
              <w:spacing w:line="360" w:lineRule="auto"/>
              <w:jc w:val="left"/>
              <w:rPr>
                <w:rFonts w:hint="eastAsia" w:ascii="宋体" w:hAnsi="宋体"/>
                <w:color w:val="auto"/>
                <w:szCs w:val="21"/>
                <w:highlight w:val="none"/>
                <w:lang w:eastAsia="zh-CN"/>
              </w:rPr>
            </w:pPr>
            <w:r>
              <w:rPr>
                <w:rFonts w:hint="eastAsia" w:ascii="宋体" w:hAnsi="宋体"/>
                <w:color w:val="auto"/>
                <w:szCs w:val="21"/>
                <w:highlight w:val="none"/>
                <w:lang w:val="en-US" w:eastAsia="zh-CN"/>
              </w:rPr>
              <w:t>根据国家标准GB/T27922-2011获得的售后服务认证证书五星级（含五星级）以上的得3分，五星级以下的售后服务认证不得分，</w:t>
            </w:r>
            <w:r>
              <w:rPr>
                <w:rFonts w:hint="eastAsia" w:ascii="宋体" w:hAnsi="宋体"/>
                <w:b/>
                <w:color w:val="auto"/>
                <w:szCs w:val="21"/>
                <w:highlight w:val="none"/>
              </w:rPr>
              <w:t>没有</w:t>
            </w:r>
            <w:r>
              <w:rPr>
                <w:rFonts w:hint="eastAsia" w:ascii="宋体" w:hAnsi="宋体"/>
                <w:b/>
                <w:color w:val="auto"/>
                <w:szCs w:val="21"/>
                <w:highlight w:val="none"/>
                <w:lang w:eastAsia="zh-CN"/>
              </w:rPr>
              <w:t>提供证书</w:t>
            </w:r>
            <w:r>
              <w:rPr>
                <w:rFonts w:hint="eastAsia" w:ascii="宋体" w:hAnsi="宋体"/>
                <w:b/>
                <w:color w:val="auto"/>
                <w:szCs w:val="21"/>
                <w:highlight w:val="none"/>
              </w:rPr>
              <w:t>的不得分。</w:t>
            </w:r>
          </w:p>
        </w:tc>
        <w:tc>
          <w:tcPr>
            <w:tcW w:w="81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127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客观项</w:t>
            </w:r>
          </w:p>
        </w:tc>
      </w:tr>
    </w:tbl>
    <w:p>
      <w:pPr>
        <w:spacing w:line="360" w:lineRule="auto"/>
        <w:rPr>
          <w:rFonts w:hint="eastAsia" w:ascii="宋体" w:hAnsi="宋体" w:eastAsia="宋体" w:cs="宋体"/>
          <w:b/>
          <w:color w:val="auto"/>
          <w:sz w:val="21"/>
          <w:szCs w:val="21"/>
          <w:highlight w:val="none"/>
          <w:lang w:eastAsia="zh-CN"/>
        </w:rPr>
      </w:pPr>
    </w:p>
    <w:p>
      <w:pPr>
        <w:spacing w:before="120" w:beforeLines="50" w:after="120" w:afterLines="50" w:line="360" w:lineRule="auto"/>
        <w:ind w:firstLine="105" w:firstLineChars="50"/>
        <w:jc w:val="center"/>
        <w:rPr>
          <w:rFonts w:hint="eastAsia" w:ascii="宋体" w:hAnsi="宋体" w:eastAsia="宋体" w:cs="宋体"/>
          <w:b/>
          <w:color w:val="auto"/>
          <w:sz w:val="21"/>
          <w:szCs w:val="21"/>
          <w:highlight w:val="none"/>
        </w:rPr>
      </w:pPr>
    </w:p>
    <w:p>
      <w:pPr>
        <w:spacing w:before="120" w:beforeLines="50" w:after="120" w:afterLines="50" w:line="360" w:lineRule="auto"/>
        <w:ind w:firstLine="105" w:firstLineChars="50"/>
        <w:jc w:val="center"/>
        <w:rPr>
          <w:rFonts w:hint="eastAsia" w:ascii="宋体" w:hAnsi="宋体" w:eastAsia="宋体" w:cs="宋体"/>
          <w:b/>
          <w:color w:val="auto"/>
          <w:sz w:val="21"/>
          <w:szCs w:val="21"/>
          <w:highlight w:val="none"/>
        </w:rPr>
      </w:pPr>
    </w:p>
    <w:p>
      <w:pPr>
        <w:pStyle w:val="20"/>
        <w:rPr>
          <w:rFonts w:hint="eastAsia" w:ascii="宋体" w:hAnsi="宋体" w:eastAsia="宋体" w:cs="宋体"/>
          <w:b/>
          <w:color w:val="auto"/>
          <w:sz w:val="21"/>
          <w:szCs w:val="21"/>
          <w:highlight w:val="none"/>
        </w:rPr>
      </w:pPr>
    </w:p>
    <w:p>
      <w:pPr>
        <w:rPr>
          <w:rFonts w:hint="eastAsia" w:ascii="宋体" w:hAnsi="宋体" w:eastAsia="宋体" w:cs="宋体"/>
          <w:b/>
          <w:color w:val="auto"/>
          <w:sz w:val="21"/>
          <w:szCs w:val="21"/>
          <w:highlight w:val="none"/>
        </w:rPr>
      </w:pPr>
    </w:p>
    <w:p>
      <w:pPr>
        <w:pStyle w:val="20"/>
        <w:rPr>
          <w:rFonts w:hint="eastAsia" w:ascii="宋体" w:hAnsi="宋体" w:eastAsia="宋体" w:cs="宋体"/>
          <w:b/>
          <w:color w:val="auto"/>
          <w:sz w:val="21"/>
          <w:szCs w:val="21"/>
          <w:highlight w:val="none"/>
        </w:rPr>
      </w:pPr>
    </w:p>
    <w:p>
      <w:pPr>
        <w:rPr>
          <w:rFonts w:hint="eastAsia" w:ascii="宋体" w:hAnsi="宋体" w:eastAsia="宋体" w:cs="宋体"/>
          <w:b/>
          <w:color w:val="auto"/>
          <w:sz w:val="21"/>
          <w:szCs w:val="21"/>
          <w:highlight w:val="none"/>
        </w:rPr>
      </w:pPr>
    </w:p>
    <w:p>
      <w:pPr>
        <w:pStyle w:val="20"/>
        <w:rPr>
          <w:rFonts w:hint="eastAsia"/>
        </w:rPr>
      </w:pPr>
    </w:p>
    <w:p>
      <w:pPr>
        <w:rPr>
          <w:rFonts w:hint="eastAsia" w:ascii="宋体" w:hAnsi="宋体" w:eastAsia="宋体" w:cs="宋体"/>
          <w:b/>
          <w:color w:val="auto"/>
          <w:sz w:val="21"/>
          <w:szCs w:val="21"/>
          <w:highlight w:val="none"/>
        </w:rPr>
      </w:pPr>
    </w:p>
    <w:p>
      <w:pPr>
        <w:pStyle w:val="20"/>
        <w:rPr>
          <w:rFonts w:hint="eastAsia" w:ascii="宋体" w:hAnsi="宋体" w:eastAsia="宋体" w:cs="宋体"/>
          <w:b/>
          <w:color w:val="auto"/>
          <w:sz w:val="21"/>
          <w:szCs w:val="21"/>
          <w:highlight w:val="none"/>
        </w:rPr>
      </w:pPr>
    </w:p>
    <w:p>
      <w:pPr>
        <w:rPr>
          <w:rFonts w:hint="eastAsia" w:ascii="宋体" w:hAnsi="宋体" w:eastAsia="宋体" w:cs="宋体"/>
          <w:b/>
          <w:color w:val="auto"/>
          <w:sz w:val="21"/>
          <w:szCs w:val="21"/>
          <w:highlight w:val="none"/>
        </w:rPr>
      </w:pPr>
    </w:p>
    <w:p>
      <w:pPr>
        <w:pStyle w:val="20"/>
        <w:rPr>
          <w:rFonts w:hint="eastAsia"/>
          <w:color w:val="auto"/>
          <w:highlight w:val="none"/>
        </w:rPr>
      </w:pPr>
    </w:p>
    <w:p>
      <w:pPr>
        <w:spacing w:before="120" w:beforeLines="50" w:after="120" w:afterLines="50" w:line="360" w:lineRule="auto"/>
        <w:ind w:firstLine="105" w:firstLineChars="50"/>
        <w:jc w:val="center"/>
        <w:rPr>
          <w:rFonts w:hint="eastAsia" w:ascii="宋体" w:hAnsi="宋体" w:eastAsia="宋体" w:cs="宋体"/>
          <w:b/>
          <w:color w:val="auto"/>
          <w:sz w:val="21"/>
          <w:szCs w:val="21"/>
          <w:highlight w:val="none"/>
        </w:rPr>
      </w:pPr>
    </w:p>
    <w:p>
      <w:pPr>
        <w:pStyle w:val="20"/>
        <w:ind w:firstLine="3162" w:firstLineChars="1500"/>
        <w:rPr>
          <w:rFonts w:hint="eastAsia" w:ascii="宋体" w:hAnsi="宋体" w:eastAsia="宋体" w:cs="宋体"/>
          <w:b w:val="0"/>
          <w:bCs/>
          <w:color w:val="auto"/>
          <w:sz w:val="22"/>
          <w:szCs w:val="22"/>
          <w:highlight w:val="none"/>
          <w:lang w:eastAsia="zh-CN"/>
        </w:rPr>
      </w:pPr>
      <w:r>
        <w:rPr>
          <w:rFonts w:hint="eastAsia" w:ascii="宋体" w:hAnsi="宋体" w:eastAsia="宋体" w:cs="宋体"/>
          <w:b/>
          <w:color w:val="auto"/>
          <w:sz w:val="21"/>
          <w:szCs w:val="21"/>
          <w:highlight w:val="none"/>
        </w:rPr>
        <w:t>表3  技术评审表（</w:t>
      </w:r>
      <w:r>
        <w:rPr>
          <w:rFonts w:hint="eastAsia" w:ascii="宋体" w:hAnsi="宋体" w:eastAsia="宋体" w:cs="宋体"/>
          <w:b/>
          <w:color w:val="auto"/>
          <w:sz w:val="21"/>
          <w:szCs w:val="21"/>
          <w:highlight w:val="none"/>
          <w:lang w:val="en-US" w:eastAsia="zh-CN"/>
        </w:rPr>
        <w:t>30</w:t>
      </w:r>
      <w:r>
        <w:rPr>
          <w:rFonts w:hint="eastAsia" w:ascii="宋体" w:hAnsi="宋体" w:eastAsia="宋体" w:cs="宋体"/>
          <w:b/>
          <w:color w:val="auto"/>
          <w:sz w:val="21"/>
          <w:szCs w:val="21"/>
          <w:highlight w:val="none"/>
        </w:rPr>
        <w:t>分）</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50分</w:t>
      </w:r>
      <w:r>
        <w:rPr>
          <w:rFonts w:hint="eastAsia" w:ascii="宋体" w:hAnsi="宋体" w:eastAsia="宋体" w:cs="宋体"/>
          <w:b w:val="0"/>
          <w:bCs/>
          <w:color w:val="auto"/>
          <w:sz w:val="22"/>
          <w:szCs w:val="22"/>
          <w:highlight w:val="none"/>
          <w:lang w:eastAsia="zh-CN"/>
        </w:rPr>
        <w:t>）</w:t>
      </w:r>
    </w:p>
    <w:p>
      <w:pPr>
        <w:pStyle w:val="20"/>
        <w:spacing w:line="360" w:lineRule="auto"/>
        <w:ind w:firstLine="3162" w:firstLineChars="1500"/>
        <w:rPr>
          <w:rFonts w:hint="eastAsia" w:ascii="宋体" w:hAnsi="宋体" w:cs="宋体"/>
          <w:b/>
          <w:color w:val="auto"/>
          <w:szCs w:val="21"/>
          <w:highlight w:val="none"/>
          <w:lang w:eastAsia="zh-CN"/>
        </w:rPr>
      </w:pPr>
    </w:p>
    <w:p>
      <w:pPr>
        <w:pStyle w:val="20"/>
        <w:spacing w:line="360" w:lineRule="auto"/>
        <w:ind w:firstLine="3162" w:firstLineChars="1500"/>
        <w:rPr>
          <w:rFonts w:hint="default" w:eastAsia="宋体"/>
          <w:color w:val="auto"/>
          <w:highlight w:val="none"/>
          <w:lang w:val="en-US" w:eastAsia="zh-CN"/>
        </w:rPr>
      </w:pPr>
      <w:r>
        <w:rPr>
          <w:rFonts w:hint="eastAsia" w:ascii="宋体" w:hAnsi="宋体" w:cs="宋体"/>
          <w:b/>
          <w:color w:val="auto"/>
          <w:szCs w:val="21"/>
          <w:highlight w:val="none"/>
          <w:lang w:eastAsia="zh-CN"/>
        </w:rPr>
        <w:t>第一部分：非盲评技术分（</w:t>
      </w:r>
      <w:r>
        <w:rPr>
          <w:rFonts w:hint="eastAsia" w:ascii="宋体" w:hAnsi="宋体" w:cs="宋体"/>
          <w:b/>
          <w:color w:val="auto"/>
          <w:szCs w:val="21"/>
          <w:highlight w:val="none"/>
          <w:lang w:val="en-US" w:eastAsia="zh-CN"/>
        </w:rPr>
        <w:t>15分</w:t>
      </w:r>
      <w:r>
        <w:rPr>
          <w:rFonts w:hint="eastAsia" w:ascii="宋体" w:hAnsi="宋体" w:cs="宋体"/>
          <w:b/>
          <w:color w:val="auto"/>
          <w:szCs w:val="21"/>
          <w:highlight w:val="none"/>
          <w:lang w:eastAsia="zh-CN"/>
        </w:rPr>
        <w:t>）</w:t>
      </w:r>
    </w:p>
    <w:p>
      <w:pPr>
        <w:spacing w:before="120" w:beforeLines="50" w:after="120" w:afterLines="50" w:line="360" w:lineRule="auto"/>
        <w:ind w:firstLine="421" w:firstLineChars="200"/>
        <w:jc w:val="both"/>
        <w:rPr>
          <w:rFonts w:hint="eastAsia" w:ascii="宋体" w:hAnsi="宋体"/>
          <w:b/>
          <w:bCs/>
          <w:color w:val="auto"/>
          <w:szCs w:val="21"/>
          <w:highlight w:val="none"/>
          <w:lang w:eastAsia="zh-CN"/>
        </w:rPr>
      </w:pPr>
      <w:r>
        <w:rPr>
          <w:rFonts w:hint="eastAsia" w:ascii="宋体" w:hAnsi="宋体"/>
          <w:b/>
          <w:bCs/>
          <w:color w:val="auto"/>
          <w:kern w:val="2"/>
          <w:szCs w:val="21"/>
          <w:highlight w:val="none"/>
          <w:lang w:val="en-US" w:eastAsia="zh-CN"/>
        </w:rPr>
        <w:t>以下非盲评项目均</w:t>
      </w:r>
      <w:r>
        <w:rPr>
          <w:rFonts w:hint="eastAsia" w:ascii="宋体" w:hAnsi="宋体"/>
          <w:b/>
          <w:bCs/>
          <w:color w:val="auto"/>
          <w:szCs w:val="21"/>
          <w:highlight w:val="none"/>
        </w:rPr>
        <w:t>需要提供针对此次投标样品的省级以上检测报告证明材料</w:t>
      </w:r>
      <w:r>
        <w:rPr>
          <w:rFonts w:hint="eastAsia" w:ascii="宋体" w:hAnsi="宋体"/>
          <w:b/>
          <w:bCs/>
          <w:color w:val="auto"/>
          <w:szCs w:val="21"/>
          <w:highlight w:val="none"/>
          <w:lang w:eastAsia="zh-CN"/>
        </w:rPr>
        <w:t>和检测缴费发票</w:t>
      </w:r>
      <w:r>
        <w:rPr>
          <w:rFonts w:hint="eastAsia" w:ascii="宋体" w:hAnsi="宋体"/>
          <w:b/>
          <w:bCs/>
          <w:color w:val="auto"/>
          <w:szCs w:val="21"/>
          <w:highlight w:val="none"/>
        </w:rPr>
        <w:t>。无检测报告</w:t>
      </w:r>
      <w:r>
        <w:rPr>
          <w:rFonts w:hint="eastAsia" w:ascii="宋体" w:hAnsi="宋体"/>
          <w:b/>
          <w:bCs/>
          <w:color w:val="auto"/>
          <w:szCs w:val="21"/>
          <w:highlight w:val="none"/>
          <w:lang w:eastAsia="zh-CN"/>
        </w:rPr>
        <w:t>或省级以下单位出具的检测报告</w:t>
      </w:r>
      <w:r>
        <w:rPr>
          <w:rFonts w:hint="eastAsia" w:ascii="宋体" w:hAnsi="宋体"/>
          <w:b/>
          <w:bCs/>
          <w:color w:val="auto"/>
          <w:szCs w:val="21"/>
          <w:highlight w:val="none"/>
        </w:rPr>
        <w:t>不得分。</w:t>
      </w:r>
    </w:p>
    <w:tbl>
      <w:tblPr>
        <w:tblStyle w:val="2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2"/>
        <w:gridCol w:w="1975"/>
        <w:gridCol w:w="3670"/>
        <w:gridCol w:w="1385"/>
        <w:gridCol w:w="855"/>
        <w:gridCol w:w="12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94" w:hRule="atLeast"/>
          <w:jc w:val="center"/>
        </w:trPr>
        <w:tc>
          <w:tcPr>
            <w:tcW w:w="66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9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评审项目</w:t>
            </w:r>
          </w:p>
        </w:tc>
        <w:tc>
          <w:tcPr>
            <w:tcW w:w="50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评审内容</w:t>
            </w:r>
          </w:p>
        </w:tc>
        <w:tc>
          <w:tcPr>
            <w:tcW w:w="85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122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1"/>
                <w:szCs w:val="21"/>
                <w:highlight w:val="none"/>
              </w:rPr>
            </w:pPr>
            <w:r>
              <w:rPr>
                <w:rFonts w:hint="eastAsia" w:ascii="宋体" w:hAnsi="宋体" w:cs="宋体"/>
                <w:b/>
                <w:color w:val="auto"/>
                <w:szCs w:val="21"/>
                <w:highlight w:val="none"/>
                <w:lang w:eastAsia="zh-CN"/>
              </w:rPr>
              <w:t>主</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4" w:hRule="atLeast"/>
          <w:jc w:val="center"/>
        </w:trPr>
        <w:tc>
          <w:tcPr>
            <w:tcW w:w="662"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975"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left"/>
              <w:rPr>
                <w:rFonts w:hint="eastAsia" w:ascii="宋体" w:hAnsi="宋体" w:eastAsia="宋体" w:cs="宋体"/>
                <w:b w:val="0"/>
                <w:bCs/>
                <w:color w:val="auto"/>
                <w:kern w:val="2"/>
                <w:sz w:val="21"/>
                <w:szCs w:val="21"/>
                <w:highlight w:val="none"/>
                <w:lang w:val="en-US" w:eastAsia="zh-CN" w:bidi="ar-SA"/>
              </w:rPr>
            </w:pPr>
            <w:r>
              <w:rPr>
                <w:rFonts w:hint="eastAsia" w:ascii="宋体" w:hAnsi="宋体"/>
                <w:b w:val="0"/>
                <w:bCs/>
                <w:color w:val="auto"/>
                <w:szCs w:val="21"/>
                <w:highlight w:val="none"/>
                <w:lang w:eastAsia="zh-CN"/>
              </w:rPr>
              <w:t>女乘加厚裤袜直、横向延伸值合格率</w:t>
            </w:r>
          </w:p>
        </w:tc>
        <w:tc>
          <w:tcPr>
            <w:tcW w:w="5055" w:type="dxa"/>
            <w:gridSpan w:val="2"/>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widowControl/>
              <w:spacing w:line="360" w:lineRule="auto"/>
              <w:rPr>
                <w:rFonts w:hint="eastAsia" w:ascii="宋体" w:hAnsi="宋体" w:eastAsia="宋体" w:cs="宋体"/>
                <w:bCs/>
                <w:color w:val="auto"/>
                <w:kern w:val="2"/>
                <w:sz w:val="21"/>
                <w:szCs w:val="21"/>
                <w:highlight w:val="none"/>
                <w:lang w:val="en-US" w:eastAsia="zh-CN" w:bidi="ar-SA"/>
              </w:rPr>
            </w:pPr>
            <w:r>
              <w:rPr>
                <w:rFonts w:hint="eastAsia" w:ascii="宋体" w:hAnsi="宋体"/>
                <w:color w:val="auto"/>
                <w:szCs w:val="21"/>
                <w:highlight w:val="none"/>
                <w:lang w:val="en-US" w:eastAsia="zh-CN"/>
              </w:rPr>
              <w:t>投标人横向对比女乘加厚裤袜直、横向延伸值合格率检测结果，检测结果必须满足≥80%，合格率检测结果百分比越高得分越高，</w:t>
            </w:r>
            <w:r>
              <w:rPr>
                <w:rFonts w:hint="eastAsia" w:ascii="宋体" w:hAnsi="宋体"/>
                <w:color w:val="auto"/>
                <w:kern w:val="2"/>
                <w:szCs w:val="21"/>
                <w:highlight w:val="none"/>
                <w:lang w:eastAsia="zh-CN"/>
              </w:rPr>
              <w:t>排名第一得</w:t>
            </w:r>
            <w:r>
              <w:rPr>
                <w:rFonts w:hint="eastAsia" w:ascii="宋体" w:hAnsi="宋体"/>
                <w:color w:val="auto"/>
                <w:kern w:val="2"/>
                <w:szCs w:val="21"/>
                <w:highlight w:val="none"/>
                <w:lang w:val="en-US" w:eastAsia="zh-CN"/>
              </w:rPr>
              <w:t>3分；排名第二得2分；排名第三得1分；其他不得分。</w:t>
            </w:r>
          </w:p>
        </w:tc>
        <w:tc>
          <w:tcPr>
            <w:tcW w:w="855"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w:t>
            </w:r>
          </w:p>
        </w:tc>
        <w:tc>
          <w:tcPr>
            <w:tcW w:w="1226"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p>
        </w:tc>
        <w:tc>
          <w:tcPr>
            <w:tcW w:w="1975" w:type="dxa"/>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left"/>
              <w:rPr>
                <w:rFonts w:hint="eastAsia" w:ascii="宋体" w:hAnsi="宋体" w:eastAsia="宋体" w:cs="宋体"/>
                <w:b w:val="0"/>
                <w:bCs/>
                <w:color w:val="auto"/>
                <w:kern w:val="2"/>
                <w:sz w:val="21"/>
                <w:szCs w:val="21"/>
                <w:highlight w:val="none"/>
                <w:lang w:val="en-US" w:eastAsia="zh-CN" w:bidi="ar-SA"/>
              </w:rPr>
            </w:pPr>
            <w:r>
              <w:rPr>
                <w:rFonts w:hint="eastAsia" w:ascii="宋体" w:hAnsi="宋体"/>
                <w:b w:val="0"/>
                <w:bCs/>
                <w:color w:val="auto"/>
                <w:szCs w:val="21"/>
                <w:highlight w:val="none"/>
                <w:lang w:eastAsia="zh-CN"/>
              </w:rPr>
              <w:t>女乘丝袜</w:t>
            </w:r>
            <w:r>
              <w:rPr>
                <w:rFonts w:hint="eastAsia" w:ascii="宋体" w:hAnsi="宋体"/>
                <w:b w:val="0"/>
                <w:bCs/>
                <w:color w:val="auto"/>
                <w:szCs w:val="21"/>
                <w:highlight w:val="none"/>
                <w:lang w:val="en-US" w:eastAsia="zh-CN"/>
              </w:rPr>
              <w:t>直、</w:t>
            </w:r>
            <w:r>
              <w:rPr>
                <w:rFonts w:hint="eastAsia" w:ascii="宋体" w:hAnsi="宋体"/>
                <w:b w:val="0"/>
                <w:bCs/>
                <w:color w:val="auto"/>
                <w:szCs w:val="21"/>
                <w:highlight w:val="none"/>
                <w:lang w:eastAsia="zh-CN"/>
              </w:rPr>
              <w:t>横向</w:t>
            </w:r>
            <w:r>
              <w:rPr>
                <w:rFonts w:hint="eastAsia" w:ascii="宋体" w:hAnsi="宋体"/>
                <w:b w:val="0"/>
                <w:bCs/>
                <w:color w:val="auto"/>
                <w:szCs w:val="21"/>
                <w:highlight w:val="none"/>
                <w:lang w:val="en-US" w:eastAsia="zh-CN"/>
              </w:rPr>
              <w:t>延</w:t>
            </w:r>
            <w:r>
              <w:rPr>
                <w:rFonts w:hint="eastAsia" w:ascii="宋体" w:hAnsi="宋体"/>
                <w:b w:val="0"/>
                <w:bCs/>
                <w:color w:val="auto"/>
                <w:szCs w:val="21"/>
                <w:highlight w:val="none"/>
                <w:lang w:eastAsia="zh-CN"/>
              </w:rPr>
              <w:t>伸值合格率</w:t>
            </w:r>
          </w:p>
        </w:tc>
        <w:tc>
          <w:tcPr>
            <w:tcW w:w="5055"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color w:val="auto"/>
                <w:kern w:val="2"/>
                <w:szCs w:val="21"/>
                <w:highlight w:val="none"/>
                <w:lang w:val="en-US" w:eastAsia="zh-CN"/>
              </w:rPr>
              <w:t xml:space="preserve"> </w:t>
            </w:r>
            <w:r>
              <w:rPr>
                <w:rFonts w:hint="eastAsia" w:ascii="宋体" w:hAnsi="宋体"/>
                <w:color w:val="auto"/>
                <w:szCs w:val="21"/>
                <w:highlight w:val="none"/>
                <w:lang w:val="en-US" w:eastAsia="zh-CN"/>
              </w:rPr>
              <w:t>投标人横向对比女乘丝袜直、横向延伸值合格率检测结果，检测结果必须满足≥80%，合格率检测结果百分比越高得分越高，</w:t>
            </w:r>
            <w:r>
              <w:rPr>
                <w:rFonts w:hint="eastAsia" w:ascii="宋体" w:hAnsi="宋体"/>
                <w:color w:val="auto"/>
                <w:kern w:val="2"/>
                <w:szCs w:val="21"/>
                <w:highlight w:val="none"/>
                <w:lang w:eastAsia="zh-CN"/>
              </w:rPr>
              <w:t>排名第一得</w:t>
            </w:r>
            <w:r>
              <w:rPr>
                <w:rFonts w:hint="eastAsia" w:ascii="宋体" w:hAnsi="宋体"/>
                <w:color w:val="auto"/>
                <w:kern w:val="2"/>
                <w:szCs w:val="21"/>
                <w:highlight w:val="none"/>
                <w:lang w:val="en-US" w:eastAsia="zh-CN"/>
              </w:rPr>
              <w:t xml:space="preserve">3分；排名第二得2分；排名第三得1分；其他不得分。                                    </w:t>
            </w:r>
          </w:p>
        </w:tc>
        <w:tc>
          <w:tcPr>
            <w:tcW w:w="85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w:t>
            </w:r>
          </w:p>
        </w:tc>
        <w:tc>
          <w:tcPr>
            <w:tcW w:w="122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vMerge w:val="restart"/>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w:t>
            </w:r>
          </w:p>
        </w:tc>
        <w:tc>
          <w:tcPr>
            <w:tcW w:w="1975" w:type="dxa"/>
            <w:vMerge w:val="restart"/>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b w:val="0"/>
                <w:bCs/>
                <w:color w:val="auto"/>
                <w:szCs w:val="21"/>
                <w:highlight w:val="none"/>
                <w:lang w:eastAsia="zh-CN"/>
              </w:rPr>
              <w:t>女乘丝袜色牢度</w:t>
            </w:r>
          </w:p>
        </w:tc>
        <w:tc>
          <w:tcPr>
            <w:tcW w:w="5055"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left"/>
              <w:rPr>
                <w:rFonts w:hint="eastAsia" w:ascii="宋体" w:hAnsi="宋体" w:eastAsia="宋体"/>
                <w:color w:val="auto"/>
                <w:kern w:val="2"/>
                <w:sz w:val="21"/>
                <w:szCs w:val="21"/>
                <w:highlight w:val="none"/>
                <w:lang w:val="en-US" w:eastAsia="zh-CN" w:bidi="ar-SA"/>
              </w:rPr>
            </w:pPr>
            <w:r>
              <w:rPr>
                <w:rFonts w:hint="eastAsia" w:ascii="宋体" w:hAnsi="宋体"/>
                <w:color w:val="auto"/>
                <w:szCs w:val="21"/>
                <w:highlight w:val="none"/>
                <w:lang w:val="en-US" w:eastAsia="zh-CN"/>
              </w:rPr>
              <w:t>投标人</w:t>
            </w:r>
            <w:r>
              <w:rPr>
                <w:rFonts w:hint="eastAsia" w:ascii="宋体" w:hAnsi="宋体"/>
                <w:color w:val="auto"/>
                <w:szCs w:val="21"/>
                <w:highlight w:val="none"/>
                <w:lang w:eastAsia="zh-CN"/>
              </w:rPr>
              <w:t>女乘丝袜耐皂洗色牢度（变色和沾色）检测结果必须满足≥</w:t>
            </w:r>
            <w:r>
              <w:rPr>
                <w:rFonts w:hint="eastAsia" w:ascii="宋体" w:hAnsi="宋体"/>
                <w:color w:val="auto"/>
                <w:szCs w:val="21"/>
                <w:highlight w:val="none"/>
                <w:lang w:val="en-US" w:eastAsia="zh-CN"/>
              </w:rPr>
              <w:t>3级，等级数值越大得分越高，排名</w:t>
            </w:r>
            <w:r>
              <w:rPr>
                <w:rFonts w:hint="eastAsia" w:ascii="宋体" w:hAnsi="宋体"/>
                <w:color w:val="auto"/>
                <w:szCs w:val="21"/>
                <w:highlight w:val="none"/>
              </w:rPr>
              <w:t>第一得</w:t>
            </w:r>
            <w:r>
              <w:rPr>
                <w:rFonts w:hint="eastAsia" w:ascii="宋体" w:hAnsi="宋体"/>
                <w:color w:val="auto"/>
                <w:szCs w:val="21"/>
                <w:highlight w:val="none"/>
                <w:lang w:val="en-US" w:eastAsia="zh-CN"/>
              </w:rPr>
              <w:t xml:space="preserve"> 2</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排名</w:t>
            </w:r>
            <w:r>
              <w:rPr>
                <w:rFonts w:hint="eastAsia" w:ascii="宋体" w:hAnsi="宋体"/>
                <w:color w:val="auto"/>
                <w:szCs w:val="21"/>
                <w:highlight w:val="none"/>
              </w:rPr>
              <w:t>第二得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排名</w:t>
            </w:r>
            <w:r>
              <w:rPr>
                <w:rFonts w:hint="eastAsia" w:ascii="宋体" w:hAnsi="宋体"/>
                <w:color w:val="auto"/>
                <w:szCs w:val="21"/>
                <w:highlight w:val="none"/>
                <w:lang w:eastAsia="zh-CN"/>
              </w:rPr>
              <w:t>第三得</w:t>
            </w:r>
            <w:r>
              <w:rPr>
                <w:rFonts w:hint="eastAsia" w:ascii="宋体" w:hAnsi="宋体"/>
                <w:color w:val="auto"/>
                <w:szCs w:val="21"/>
                <w:highlight w:val="none"/>
                <w:lang w:val="en-US" w:eastAsia="zh-CN"/>
              </w:rPr>
              <w:t>0.5分；其他</w:t>
            </w:r>
            <w:r>
              <w:rPr>
                <w:rFonts w:hint="eastAsia" w:ascii="宋体" w:hAnsi="宋体"/>
                <w:color w:val="auto"/>
                <w:szCs w:val="21"/>
                <w:highlight w:val="none"/>
              </w:rPr>
              <w:t>不得分。</w:t>
            </w:r>
          </w:p>
        </w:tc>
        <w:tc>
          <w:tcPr>
            <w:tcW w:w="855" w:type="dxa"/>
            <w:vMerge w:val="restart"/>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4</w:t>
            </w:r>
          </w:p>
        </w:tc>
        <w:tc>
          <w:tcPr>
            <w:tcW w:w="1226" w:type="dxa"/>
            <w:vMerge w:val="restart"/>
            <w:tcBorders>
              <w:top w:val="single" w:color="auto" w:sz="4" w:space="0"/>
              <w:left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default" w:ascii="宋体" w:hAnsi="宋体" w:eastAsia="宋体" w:cs="宋体"/>
                <w:b/>
                <w:color w:val="auto"/>
                <w:sz w:val="21"/>
                <w:szCs w:val="21"/>
                <w:highlight w:val="none"/>
                <w:lang w:val="en-US" w:eastAsia="zh-CN"/>
              </w:rPr>
            </w:pPr>
          </w:p>
        </w:tc>
        <w:tc>
          <w:tcPr>
            <w:tcW w:w="1975"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 w:val="0"/>
                <w:bCs/>
                <w:color w:val="auto"/>
                <w:kern w:val="2"/>
                <w:sz w:val="21"/>
                <w:szCs w:val="21"/>
                <w:highlight w:val="none"/>
                <w:lang w:val="en-US" w:eastAsia="zh-CN" w:bidi="ar-SA"/>
              </w:rPr>
            </w:pPr>
          </w:p>
        </w:tc>
        <w:tc>
          <w:tcPr>
            <w:tcW w:w="5055"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left"/>
              <w:rPr>
                <w:rFonts w:hint="eastAsia" w:ascii="宋体" w:hAnsi="宋体" w:eastAsia="宋体"/>
                <w:color w:val="auto"/>
                <w:kern w:val="2"/>
                <w:sz w:val="21"/>
                <w:szCs w:val="21"/>
                <w:highlight w:val="none"/>
                <w:lang w:val="en-US" w:eastAsia="zh-CN" w:bidi="ar-SA"/>
              </w:rPr>
            </w:pPr>
            <w:r>
              <w:rPr>
                <w:rFonts w:hint="eastAsia" w:ascii="宋体" w:hAnsi="宋体"/>
                <w:color w:val="auto"/>
                <w:szCs w:val="21"/>
                <w:highlight w:val="none"/>
                <w:lang w:val="en-US" w:eastAsia="zh-CN"/>
              </w:rPr>
              <w:t>投标人</w:t>
            </w:r>
            <w:r>
              <w:rPr>
                <w:rFonts w:hint="eastAsia" w:ascii="宋体" w:hAnsi="宋体"/>
                <w:color w:val="auto"/>
                <w:szCs w:val="21"/>
                <w:highlight w:val="none"/>
                <w:lang w:eastAsia="zh-CN"/>
              </w:rPr>
              <w:t>女乘丝袜耐汗渍色牢度（变色和沾色）检测结果必须满足≥</w:t>
            </w:r>
            <w:r>
              <w:rPr>
                <w:rFonts w:hint="eastAsia" w:ascii="宋体" w:hAnsi="宋体"/>
                <w:color w:val="auto"/>
                <w:szCs w:val="21"/>
                <w:highlight w:val="none"/>
                <w:lang w:val="en-US" w:eastAsia="zh-CN"/>
              </w:rPr>
              <w:t>3级，等级数值越大得分越高，排名</w:t>
            </w:r>
            <w:r>
              <w:rPr>
                <w:rFonts w:hint="eastAsia" w:ascii="宋体" w:hAnsi="宋体"/>
                <w:color w:val="auto"/>
                <w:szCs w:val="21"/>
                <w:highlight w:val="none"/>
              </w:rPr>
              <w:t>第一得</w:t>
            </w:r>
            <w:r>
              <w:rPr>
                <w:rFonts w:hint="eastAsia" w:ascii="宋体" w:hAnsi="宋体"/>
                <w:color w:val="auto"/>
                <w:szCs w:val="21"/>
                <w:highlight w:val="none"/>
                <w:lang w:val="en-US" w:eastAsia="zh-CN"/>
              </w:rPr>
              <w:t xml:space="preserve"> 2</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排名</w:t>
            </w:r>
            <w:r>
              <w:rPr>
                <w:rFonts w:hint="eastAsia" w:ascii="宋体" w:hAnsi="宋体"/>
                <w:color w:val="auto"/>
                <w:szCs w:val="21"/>
                <w:highlight w:val="none"/>
              </w:rPr>
              <w:t>第二得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排名</w:t>
            </w:r>
            <w:r>
              <w:rPr>
                <w:rFonts w:hint="eastAsia" w:ascii="宋体" w:hAnsi="宋体"/>
                <w:color w:val="auto"/>
                <w:szCs w:val="21"/>
                <w:highlight w:val="none"/>
                <w:lang w:eastAsia="zh-CN"/>
              </w:rPr>
              <w:t>第三得</w:t>
            </w:r>
            <w:r>
              <w:rPr>
                <w:rFonts w:hint="eastAsia" w:ascii="宋体" w:hAnsi="宋体"/>
                <w:color w:val="auto"/>
                <w:szCs w:val="21"/>
                <w:highlight w:val="none"/>
                <w:lang w:val="en-US" w:eastAsia="zh-CN"/>
              </w:rPr>
              <w:t>0.5分；其他</w:t>
            </w:r>
            <w:r>
              <w:rPr>
                <w:rFonts w:hint="eastAsia" w:ascii="宋体" w:hAnsi="宋体"/>
                <w:color w:val="auto"/>
                <w:szCs w:val="21"/>
                <w:highlight w:val="none"/>
              </w:rPr>
              <w:t>不得分。</w:t>
            </w:r>
          </w:p>
        </w:tc>
        <w:tc>
          <w:tcPr>
            <w:tcW w:w="855"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Cs/>
                <w:color w:val="auto"/>
                <w:kern w:val="2"/>
                <w:sz w:val="21"/>
                <w:szCs w:val="21"/>
                <w:highlight w:val="none"/>
                <w:lang w:val="en-US" w:eastAsia="zh-CN" w:bidi="ar-SA"/>
              </w:rPr>
            </w:pPr>
          </w:p>
        </w:tc>
        <w:tc>
          <w:tcPr>
            <w:tcW w:w="1226"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hint="eastAsia" w:ascii="宋体" w:hAnsi="宋体" w:eastAsia="宋体" w:cs="宋体"/>
                <w:bCs/>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bottom w:val="single" w:color="auto" w:sz="4" w:space="0"/>
              <w:right w:val="single" w:color="auto" w:sz="4" w:space="0"/>
            </w:tcBorders>
            <w:noWrap w:val="0"/>
            <w:vAlign w:val="top"/>
          </w:tcPr>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4</w:t>
            </w:r>
          </w:p>
        </w:tc>
        <w:tc>
          <w:tcPr>
            <w:tcW w:w="1975" w:type="dxa"/>
            <w:tcBorders>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b w:val="0"/>
                <w:bCs/>
                <w:color w:val="auto"/>
                <w:szCs w:val="21"/>
                <w:highlight w:val="none"/>
                <w:lang w:eastAsia="zh-CN"/>
              </w:rPr>
              <w:t>加厚裤袜静电压半衰期</w:t>
            </w:r>
          </w:p>
        </w:tc>
        <w:tc>
          <w:tcPr>
            <w:tcW w:w="5055" w:type="dxa"/>
            <w:gridSpan w:val="2"/>
            <w:tcBorders>
              <w:left w:val="single" w:color="auto" w:sz="4" w:space="0"/>
              <w:bottom w:val="single" w:color="auto" w:sz="4" w:space="0"/>
              <w:right w:val="single" w:color="auto" w:sz="4" w:space="0"/>
            </w:tcBorders>
            <w:noWrap w:val="0"/>
            <w:vAlign w:val="center"/>
          </w:tcPr>
          <w:p>
            <w:pPr>
              <w:pStyle w:val="2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lang w:val="en-US" w:eastAsia="zh-CN"/>
              </w:rPr>
              <w:t>投标人</w:t>
            </w:r>
            <w:r>
              <w:rPr>
                <w:rFonts w:hint="eastAsia" w:ascii="宋体" w:hAnsi="宋体"/>
                <w:b/>
                <w:bCs/>
                <w:color w:val="auto"/>
                <w:szCs w:val="21"/>
                <w:highlight w:val="none"/>
                <w:lang w:eastAsia="zh-CN"/>
              </w:rPr>
              <w:t>加厚裤袜静电压半衰期</w:t>
            </w:r>
            <w:r>
              <w:rPr>
                <w:rFonts w:hint="eastAsia" w:ascii="宋体" w:hAnsi="宋体"/>
                <w:color w:val="auto"/>
                <w:szCs w:val="21"/>
                <w:highlight w:val="none"/>
                <w:lang w:eastAsia="zh-CN"/>
              </w:rPr>
              <w:t>检测结果必须满足＜</w:t>
            </w:r>
            <w:r>
              <w:rPr>
                <w:rFonts w:hint="eastAsia" w:ascii="宋体" w:hAnsi="宋体"/>
                <w:color w:val="auto"/>
                <w:szCs w:val="21"/>
                <w:highlight w:val="none"/>
                <w:lang w:val="en-US" w:eastAsia="zh-CN"/>
              </w:rPr>
              <w:t>15.0s，</w:t>
            </w:r>
            <w:r>
              <w:rPr>
                <w:rFonts w:hint="eastAsia" w:ascii="宋体" w:hAnsi="宋体"/>
                <w:b w:val="0"/>
                <w:bCs w:val="0"/>
                <w:color w:val="auto"/>
                <w:szCs w:val="21"/>
                <w:highlight w:val="none"/>
                <w:lang w:eastAsia="zh-CN"/>
              </w:rPr>
              <w:t>半衰期</w:t>
            </w:r>
            <w:r>
              <w:rPr>
                <w:rFonts w:hint="eastAsia" w:ascii="宋体" w:hAnsi="宋体"/>
                <w:color w:val="auto"/>
                <w:szCs w:val="21"/>
                <w:highlight w:val="none"/>
                <w:lang w:val="en-US" w:eastAsia="zh-CN"/>
              </w:rPr>
              <w:t>越短得分越高，排名</w:t>
            </w:r>
            <w:r>
              <w:rPr>
                <w:rFonts w:hint="eastAsia" w:ascii="宋体" w:hAnsi="宋体"/>
                <w:color w:val="auto"/>
                <w:szCs w:val="21"/>
                <w:highlight w:val="none"/>
              </w:rPr>
              <w:t>第一得</w:t>
            </w:r>
            <w:r>
              <w:rPr>
                <w:rFonts w:hint="eastAsia" w:ascii="宋体" w:hAnsi="宋体"/>
                <w:color w:val="auto"/>
                <w:szCs w:val="21"/>
                <w:highlight w:val="none"/>
                <w:lang w:val="en-US" w:eastAsia="zh-CN"/>
              </w:rPr>
              <w:t>2</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排名</w:t>
            </w:r>
            <w:r>
              <w:rPr>
                <w:rFonts w:hint="eastAsia" w:ascii="宋体" w:hAnsi="宋体"/>
                <w:color w:val="auto"/>
                <w:szCs w:val="21"/>
                <w:highlight w:val="none"/>
              </w:rPr>
              <w:t>第二得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其他</w:t>
            </w:r>
            <w:r>
              <w:rPr>
                <w:rFonts w:hint="eastAsia" w:ascii="宋体" w:hAnsi="宋体"/>
                <w:color w:val="auto"/>
                <w:szCs w:val="21"/>
                <w:highlight w:val="none"/>
              </w:rPr>
              <w:t>不得分。</w:t>
            </w:r>
          </w:p>
        </w:tc>
        <w:tc>
          <w:tcPr>
            <w:tcW w:w="855" w:type="dxa"/>
            <w:tcBorders>
              <w:left w:val="single" w:color="auto" w:sz="4" w:space="0"/>
              <w:bottom w:val="single" w:color="auto" w:sz="4" w:space="0"/>
            </w:tcBorders>
            <w:noWrap w:val="0"/>
            <w:vAlign w:val="center"/>
          </w:tcPr>
          <w:p>
            <w:pPr>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1226" w:type="dxa"/>
            <w:tcBorders>
              <w:left w:val="single" w:color="auto" w:sz="4" w:space="0"/>
              <w:bottom w:val="single" w:color="auto" w:sz="4" w:space="0"/>
            </w:tcBorders>
            <w:noWrap w:val="0"/>
            <w:vAlign w:val="center"/>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vMerge w:val="restart"/>
            <w:tcBorders>
              <w:top w:val="single" w:color="auto" w:sz="4" w:space="0"/>
              <w:right w:val="single" w:color="auto" w:sz="4" w:space="0"/>
            </w:tcBorders>
            <w:noWrap w:val="0"/>
            <w:vAlign w:val="top"/>
          </w:tcPr>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5</w:t>
            </w:r>
          </w:p>
        </w:tc>
        <w:tc>
          <w:tcPr>
            <w:tcW w:w="1975" w:type="dxa"/>
            <w:vMerge w:val="restart"/>
            <w:tcBorders>
              <w:top w:val="single" w:color="auto" w:sz="4" w:space="0"/>
              <w:left w:val="single" w:color="auto" w:sz="4" w:space="0"/>
              <w:right w:val="single" w:color="auto" w:sz="4" w:space="0"/>
            </w:tcBorders>
            <w:noWrap w:val="0"/>
            <w:vAlign w:val="center"/>
          </w:tcPr>
          <w:p>
            <w:pPr>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b w:val="0"/>
                <w:bCs/>
                <w:color w:val="auto"/>
                <w:szCs w:val="21"/>
                <w:highlight w:val="none"/>
                <w:lang w:eastAsia="zh-CN"/>
              </w:rPr>
              <w:t>加厚裤袜抗菌率（</w:t>
            </w:r>
            <w:r>
              <w:rPr>
                <w:rFonts w:hint="eastAsia" w:ascii="宋体" w:hAnsi="宋体"/>
                <w:b w:val="0"/>
                <w:bCs/>
                <w:color w:val="auto"/>
                <w:szCs w:val="21"/>
                <w:highlight w:val="none"/>
                <w:lang w:val="en-US" w:eastAsia="zh-CN"/>
              </w:rPr>
              <w:t>洗前</w:t>
            </w:r>
            <w:r>
              <w:rPr>
                <w:rFonts w:hint="eastAsia" w:ascii="宋体" w:hAnsi="宋体"/>
                <w:b w:val="0"/>
                <w:bCs/>
                <w:color w:val="auto"/>
                <w:szCs w:val="21"/>
                <w:highlight w:val="none"/>
                <w:lang w:eastAsia="zh-CN"/>
              </w:rPr>
              <w:t>）</w:t>
            </w:r>
          </w:p>
        </w:tc>
        <w:tc>
          <w:tcPr>
            <w:tcW w:w="5055"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olor w:val="auto"/>
                <w:kern w:val="2"/>
                <w:sz w:val="21"/>
                <w:szCs w:val="21"/>
                <w:highlight w:val="none"/>
                <w:lang w:val="en-US" w:eastAsia="zh-CN" w:bidi="ar-SA"/>
              </w:rPr>
            </w:pPr>
            <w:r>
              <w:rPr>
                <w:rFonts w:hint="eastAsia" w:ascii="宋体" w:hAnsi="宋体"/>
                <w:color w:val="auto"/>
                <w:szCs w:val="21"/>
                <w:highlight w:val="none"/>
                <w:lang w:val="en-US" w:eastAsia="zh-CN"/>
              </w:rPr>
              <w:t>投标人加厚裤袜</w:t>
            </w:r>
            <w:r>
              <w:rPr>
                <w:rFonts w:hint="eastAsia" w:ascii="宋体" w:hAnsi="宋体"/>
                <w:b/>
                <w:bCs/>
                <w:color w:val="auto"/>
                <w:szCs w:val="21"/>
                <w:highlight w:val="none"/>
                <w:lang w:val="en-US" w:eastAsia="zh-CN"/>
              </w:rPr>
              <w:t>金黄色葡萄球菌</w:t>
            </w:r>
            <w:r>
              <w:rPr>
                <w:rFonts w:hint="eastAsia" w:ascii="宋体" w:hAnsi="宋体"/>
                <w:color w:val="auto"/>
                <w:szCs w:val="21"/>
                <w:highlight w:val="none"/>
                <w:lang w:val="en-US" w:eastAsia="zh-CN"/>
              </w:rPr>
              <w:t>抑菌率</w:t>
            </w:r>
            <w:r>
              <w:rPr>
                <w:rFonts w:hint="eastAsia" w:ascii="宋体" w:hAnsi="宋体"/>
                <w:color w:val="auto"/>
                <w:szCs w:val="21"/>
                <w:highlight w:val="none"/>
              </w:rPr>
              <w:t>检测结果</w:t>
            </w:r>
            <w:r>
              <w:rPr>
                <w:rFonts w:hint="eastAsia" w:ascii="宋体" w:hAnsi="宋体"/>
                <w:color w:val="auto"/>
                <w:szCs w:val="21"/>
                <w:highlight w:val="none"/>
                <w:lang w:val="en-US" w:eastAsia="zh-CN"/>
              </w:rPr>
              <w:t>必须≥80，抑菌率数值越大得分越高，排名</w:t>
            </w:r>
            <w:r>
              <w:rPr>
                <w:rFonts w:hint="eastAsia" w:ascii="宋体" w:hAnsi="宋体"/>
                <w:color w:val="auto"/>
                <w:szCs w:val="21"/>
                <w:highlight w:val="none"/>
              </w:rPr>
              <w:t>第一得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排名</w:t>
            </w:r>
            <w:r>
              <w:rPr>
                <w:rFonts w:hint="eastAsia" w:ascii="宋体" w:hAnsi="宋体"/>
                <w:color w:val="auto"/>
                <w:szCs w:val="21"/>
                <w:highlight w:val="none"/>
              </w:rPr>
              <w:t>第二得</w:t>
            </w:r>
            <w:r>
              <w:rPr>
                <w:rFonts w:hint="eastAsia" w:ascii="宋体" w:hAnsi="宋体"/>
                <w:color w:val="auto"/>
                <w:szCs w:val="21"/>
                <w:highlight w:val="none"/>
                <w:lang w:val="en-US" w:eastAsia="zh-CN"/>
              </w:rPr>
              <w:t>0.5分；</w:t>
            </w:r>
            <w:r>
              <w:rPr>
                <w:rFonts w:hint="eastAsia" w:ascii="宋体" w:hAnsi="宋体"/>
                <w:color w:val="auto"/>
                <w:szCs w:val="21"/>
                <w:highlight w:val="none"/>
                <w:lang w:eastAsia="zh-CN"/>
              </w:rPr>
              <w:t>其他</w:t>
            </w:r>
            <w:r>
              <w:rPr>
                <w:rFonts w:hint="eastAsia" w:ascii="宋体" w:hAnsi="宋体"/>
                <w:color w:val="auto"/>
                <w:szCs w:val="21"/>
                <w:highlight w:val="none"/>
              </w:rPr>
              <w:t>不得分。</w:t>
            </w:r>
          </w:p>
        </w:tc>
        <w:tc>
          <w:tcPr>
            <w:tcW w:w="855" w:type="dxa"/>
            <w:vMerge w:val="restart"/>
            <w:tcBorders>
              <w:top w:val="single" w:color="auto" w:sz="4" w:space="0"/>
              <w:left w:val="single" w:color="auto" w:sz="4" w:space="0"/>
            </w:tcBorders>
            <w:noWrap w:val="0"/>
            <w:vAlign w:val="center"/>
          </w:tcPr>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default" w:ascii="宋体" w:hAnsi="宋体" w:eastAsia="宋体" w:cs="宋体"/>
                <w:color w:val="auto"/>
                <w:kern w:val="2"/>
                <w:sz w:val="21"/>
                <w:szCs w:val="21"/>
                <w:highlight w:val="none"/>
                <w:lang w:val="en-US" w:eastAsia="zh-CN" w:bidi="ar-SA"/>
              </w:rPr>
            </w:pPr>
          </w:p>
        </w:tc>
        <w:tc>
          <w:tcPr>
            <w:tcW w:w="1226" w:type="dxa"/>
            <w:vMerge w:val="restart"/>
            <w:tcBorders>
              <w:top w:val="single" w:color="auto" w:sz="4" w:space="0"/>
              <w:left w:val="single" w:color="auto" w:sz="4" w:space="0"/>
            </w:tcBorders>
            <w:noWrap w:val="0"/>
            <w:vAlign w:val="center"/>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vMerge w:val="continue"/>
            <w:tcBorders>
              <w:right w:val="single" w:color="auto" w:sz="4" w:space="0"/>
            </w:tcBorders>
            <w:noWrap w:val="0"/>
            <w:vAlign w:val="top"/>
          </w:tcPr>
          <w:p>
            <w:pPr>
              <w:jc w:val="center"/>
              <w:rPr>
                <w:rFonts w:hint="eastAsia" w:ascii="宋体" w:hAnsi="宋体" w:eastAsia="宋体" w:cs="宋体"/>
                <w:b/>
                <w:color w:val="auto"/>
                <w:sz w:val="21"/>
                <w:szCs w:val="21"/>
                <w:highlight w:val="none"/>
                <w:lang w:val="en-US" w:eastAsia="zh-CN"/>
              </w:rPr>
            </w:pPr>
          </w:p>
        </w:tc>
        <w:tc>
          <w:tcPr>
            <w:tcW w:w="1975" w:type="dxa"/>
            <w:vMerge w:val="continue"/>
            <w:tcBorders>
              <w:left w:val="single" w:color="auto" w:sz="4" w:space="0"/>
              <w:right w:val="single" w:color="auto" w:sz="4" w:space="0"/>
            </w:tcBorders>
            <w:noWrap w:val="0"/>
            <w:vAlign w:val="center"/>
          </w:tcPr>
          <w:p>
            <w:pPr>
              <w:jc w:val="center"/>
              <w:rPr>
                <w:rFonts w:hint="eastAsia" w:ascii="宋体" w:hAnsi="宋体"/>
                <w:b w:val="0"/>
                <w:bCs/>
                <w:color w:val="auto"/>
                <w:szCs w:val="21"/>
                <w:highlight w:val="none"/>
                <w:lang w:eastAsia="zh-CN"/>
              </w:rPr>
            </w:pPr>
          </w:p>
        </w:tc>
        <w:tc>
          <w:tcPr>
            <w:tcW w:w="5055"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olor w:val="auto"/>
                <w:kern w:val="2"/>
                <w:sz w:val="21"/>
                <w:szCs w:val="21"/>
                <w:highlight w:val="none"/>
                <w:lang w:val="en-US" w:eastAsia="zh-CN" w:bidi="ar-SA"/>
              </w:rPr>
            </w:pPr>
            <w:r>
              <w:rPr>
                <w:rFonts w:hint="eastAsia" w:ascii="宋体" w:hAnsi="宋体"/>
                <w:color w:val="auto"/>
                <w:szCs w:val="21"/>
                <w:highlight w:val="none"/>
                <w:lang w:val="en-US" w:eastAsia="zh-CN"/>
              </w:rPr>
              <w:t>投标人加厚裤袜</w:t>
            </w:r>
            <w:r>
              <w:rPr>
                <w:rFonts w:hint="eastAsia" w:ascii="宋体" w:hAnsi="宋体"/>
                <w:b/>
                <w:bCs/>
                <w:color w:val="auto"/>
                <w:szCs w:val="21"/>
                <w:highlight w:val="none"/>
                <w:lang w:val="en-US" w:eastAsia="zh-CN"/>
              </w:rPr>
              <w:t>大肠杆菌</w:t>
            </w:r>
            <w:r>
              <w:rPr>
                <w:rFonts w:hint="eastAsia" w:ascii="宋体" w:hAnsi="宋体"/>
                <w:b w:val="0"/>
                <w:bCs w:val="0"/>
                <w:color w:val="auto"/>
                <w:szCs w:val="21"/>
                <w:highlight w:val="none"/>
                <w:lang w:val="en-US" w:eastAsia="zh-CN"/>
              </w:rPr>
              <w:t>抑菌率</w:t>
            </w:r>
            <w:r>
              <w:rPr>
                <w:rFonts w:hint="eastAsia" w:ascii="宋体" w:hAnsi="宋体"/>
                <w:color w:val="auto"/>
                <w:szCs w:val="21"/>
                <w:highlight w:val="none"/>
              </w:rPr>
              <w:t>检测结果</w:t>
            </w:r>
            <w:r>
              <w:rPr>
                <w:rFonts w:hint="eastAsia" w:ascii="宋体" w:hAnsi="宋体"/>
                <w:color w:val="auto"/>
                <w:szCs w:val="21"/>
                <w:highlight w:val="none"/>
                <w:lang w:val="en-US" w:eastAsia="zh-CN"/>
              </w:rPr>
              <w:t>必须≥70</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抑菌率数值越大得分越高，排名</w:t>
            </w:r>
            <w:r>
              <w:rPr>
                <w:rFonts w:hint="eastAsia" w:ascii="宋体" w:hAnsi="宋体"/>
                <w:color w:val="auto"/>
                <w:szCs w:val="21"/>
                <w:highlight w:val="none"/>
              </w:rPr>
              <w:t>第一得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排名</w:t>
            </w:r>
            <w:r>
              <w:rPr>
                <w:rFonts w:hint="eastAsia" w:ascii="宋体" w:hAnsi="宋体"/>
                <w:color w:val="auto"/>
                <w:szCs w:val="21"/>
                <w:highlight w:val="none"/>
              </w:rPr>
              <w:t>第二得</w:t>
            </w:r>
            <w:r>
              <w:rPr>
                <w:rFonts w:hint="eastAsia" w:ascii="宋体" w:hAnsi="宋体"/>
                <w:color w:val="auto"/>
                <w:szCs w:val="21"/>
                <w:highlight w:val="none"/>
                <w:lang w:val="en-US" w:eastAsia="zh-CN"/>
              </w:rPr>
              <w:t>0.5分；</w:t>
            </w:r>
            <w:r>
              <w:rPr>
                <w:rFonts w:hint="eastAsia" w:ascii="宋体" w:hAnsi="宋体"/>
                <w:color w:val="auto"/>
                <w:szCs w:val="21"/>
                <w:highlight w:val="none"/>
                <w:lang w:eastAsia="zh-CN"/>
              </w:rPr>
              <w:t>其他</w:t>
            </w:r>
            <w:r>
              <w:rPr>
                <w:rFonts w:hint="eastAsia" w:ascii="宋体" w:hAnsi="宋体"/>
                <w:color w:val="auto"/>
                <w:szCs w:val="21"/>
                <w:highlight w:val="none"/>
              </w:rPr>
              <w:t>不得分。</w:t>
            </w:r>
          </w:p>
        </w:tc>
        <w:tc>
          <w:tcPr>
            <w:tcW w:w="855" w:type="dxa"/>
            <w:vMerge w:val="continue"/>
            <w:tcBorders>
              <w:left w:val="single" w:color="auto" w:sz="4" w:space="0"/>
            </w:tcBorders>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226" w:type="dxa"/>
            <w:vMerge w:val="continue"/>
            <w:tcBorders>
              <w:left w:val="single" w:color="auto" w:sz="4" w:space="0"/>
            </w:tcBorders>
            <w:noWrap w:val="0"/>
            <w:vAlign w:val="center"/>
          </w:tcPr>
          <w:p>
            <w:pPr>
              <w:jc w:val="center"/>
              <w:rPr>
                <w:rFonts w:hint="eastAsia" w:ascii="宋体" w:hAnsi="宋体" w:eastAsia="宋体" w:cs="宋体"/>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vMerge w:val="continue"/>
            <w:tcBorders>
              <w:bottom w:val="single" w:color="auto" w:sz="4" w:space="0"/>
              <w:right w:val="single" w:color="auto" w:sz="4" w:space="0"/>
            </w:tcBorders>
            <w:noWrap w:val="0"/>
            <w:vAlign w:val="top"/>
          </w:tcPr>
          <w:p>
            <w:pPr>
              <w:jc w:val="center"/>
              <w:rPr>
                <w:rFonts w:hint="eastAsia" w:ascii="宋体" w:hAnsi="宋体" w:eastAsia="宋体" w:cs="宋体"/>
                <w:b/>
                <w:color w:val="auto"/>
                <w:sz w:val="21"/>
                <w:szCs w:val="21"/>
                <w:highlight w:val="none"/>
                <w:lang w:val="en-US" w:eastAsia="zh-CN"/>
              </w:rPr>
            </w:pPr>
          </w:p>
        </w:tc>
        <w:tc>
          <w:tcPr>
            <w:tcW w:w="1975" w:type="dxa"/>
            <w:vMerge w:val="continue"/>
            <w:tcBorders>
              <w:left w:val="single" w:color="auto" w:sz="4" w:space="0"/>
              <w:bottom w:val="single" w:color="auto" w:sz="4" w:space="0"/>
              <w:right w:val="single" w:color="auto" w:sz="4" w:space="0"/>
            </w:tcBorders>
            <w:noWrap w:val="0"/>
            <w:vAlign w:val="center"/>
          </w:tcPr>
          <w:p>
            <w:pPr>
              <w:jc w:val="center"/>
              <w:rPr>
                <w:rFonts w:hint="eastAsia" w:ascii="宋体" w:hAnsi="宋体"/>
                <w:b w:val="0"/>
                <w:bCs/>
                <w:color w:val="auto"/>
                <w:szCs w:val="21"/>
                <w:highlight w:val="none"/>
                <w:lang w:eastAsia="zh-CN"/>
              </w:rPr>
            </w:pPr>
          </w:p>
        </w:tc>
        <w:tc>
          <w:tcPr>
            <w:tcW w:w="5055"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投标人加厚裤袜</w:t>
            </w:r>
            <w:r>
              <w:rPr>
                <w:rFonts w:hint="eastAsia" w:ascii="宋体" w:hAnsi="宋体"/>
                <w:b/>
                <w:bCs/>
                <w:color w:val="auto"/>
                <w:szCs w:val="21"/>
                <w:highlight w:val="none"/>
                <w:lang w:val="en-US" w:eastAsia="zh-CN"/>
              </w:rPr>
              <w:t>白色念球抑菌率</w:t>
            </w:r>
            <w:r>
              <w:rPr>
                <w:rFonts w:hint="eastAsia" w:ascii="宋体" w:hAnsi="宋体"/>
                <w:color w:val="auto"/>
                <w:szCs w:val="21"/>
                <w:highlight w:val="none"/>
              </w:rPr>
              <w:t>检测结果</w:t>
            </w:r>
            <w:r>
              <w:rPr>
                <w:rFonts w:hint="eastAsia" w:ascii="宋体" w:hAnsi="宋体"/>
                <w:color w:val="auto"/>
                <w:szCs w:val="21"/>
                <w:highlight w:val="none"/>
                <w:lang w:val="en-US" w:eastAsia="zh-CN"/>
              </w:rPr>
              <w:t>必须</w:t>
            </w:r>
            <w:r>
              <w:rPr>
                <w:rFonts w:hint="eastAsia" w:ascii="宋体" w:hAnsi="宋体"/>
                <w:color w:val="auto"/>
                <w:szCs w:val="21"/>
                <w:highlight w:val="none"/>
              </w:rPr>
              <w:t>≥</w:t>
            </w:r>
            <w:r>
              <w:rPr>
                <w:rFonts w:hint="eastAsia" w:ascii="宋体" w:hAnsi="宋体"/>
                <w:color w:val="auto"/>
                <w:szCs w:val="21"/>
                <w:highlight w:val="none"/>
                <w:lang w:val="en-US" w:eastAsia="zh-CN"/>
              </w:rPr>
              <w:t>60</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抑菌率数值越大得分越高，排名</w:t>
            </w:r>
            <w:r>
              <w:rPr>
                <w:rFonts w:hint="eastAsia" w:ascii="宋体" w:hAnsi="宋体"/>
                <w:color w:val="auto"/>
                <w:szCs w:val="21"/>
                <w:highlight w:val="none"/>
              </w:rPr>
              <w:t>第一得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排名</w:t>
            </w:r>
            <w:r>
              <w:rPr>
                <w:rFonts w:hint="eastAsia" w:ascii="宋体" w:hAnsi="宋体"/>
                <w:color w:val="auto"/>
                <w:szCs w:val="21"/>
                <w:highlight w:val="none"/>
              </w:rPr>
              <w:t>第二得</w:t>
            </w:r>
            <w:r>
              <w:rPr>
                <w:rFonts w:hint="eastAsia" w:ascii="宋体" w:hAnsi="宋体"/>
                <w:color w:val="auto"/>
                <w:szCs w:val="21"/>
                <w:highlight w:val="none"/>
                <w:lang w:val="en-US" w:eastAsia="zh-CN"/>
              </w:rPr>
              <w:t>0.5分；</w:t>
            </w:r>
            <w:r>
              <w:rPr>
                <w:rFonts w:hint="eastAsia" w:ascii="宋体" w:hAnsi="宋体"/>
                <w:color w:val="auto"/>
                <w:szCs w:val="21"/>
                <w:highlight w:val="none"/>
                <w:lang w:eastAsia="zh-CN"/>
              </w:rPr>
              <w:t>其他</w:t>
            </w:r>
            <w:r>
              <w:rPr>
                <w:rFonts w:hint="eastAsia" w:ascii="宋体" w:hAnsi="宋体"/>
                <w:color w:val="auto"/>
                <w:szCs w:val="21"/>
                <w:highlight w:val="none"/>
              </w:rPr>
              <w:t>不得分。</w:t>
            </w:r>
          </w:p>
        </w:tc>
        <w:tc>
          <w:tcPr>
            <w:tcW w:w="855" w:type="dxa"/>
            <w:vMerge w:val="continue"/>
            <w:tcBorders>
              <w:left w:val="single" w:color="auto" w:sz="4" w:space="0"/>
              <w:bottom w:val="single" w:color="auto" w:sz="4" w:space="0"/>
            </w:tcBorders>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226" w:type="dxa"/>
            <w:vMerge w:val="continue"/>
            <w:tcBorders>
              <w:left w:val="single" w:color="auto" w:sz="4" w:space="0"/>
              <w:bottom w:val="single" w:color="auto" w:sz="4" w:space="0"/>
            </w:tcBorders>
            <w:noWrap w:val="0"/>
            <w:vAlign w:val="center"/>
          </w:tcPr>
          <w:p>
            <w:pPr>
              <w:jc w:val="center"/>
              <w:rPr>
                <w:rFonts w:hint="eastAsia" w:ascii="宋体" w:hAnsi="宋体" w:eastAsia="宋体" w:cs="宋体"/>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3" w:hRule="atLeast"/>
          <w:jc w:val="center"/>
        </w:trPr>
        <w:tc>
          <w:tcPr>
            <w:tcW w:w="9773" w:type="dxa"/>
            <w:gridSpan w:val="6"/>
            <w:tcBorders>
              <w:top w:val="single" w:color="auto" w:sz="4" w:space="0"/>
              <w:left w:val="single" w:color="auto" w:sz="4" w:space="0"/>
              <w:bottom w:val="single" w:color="auto" w:sz="4" w:space="0"/>
            </w:tcBorders>
            <w:noWrap w:val="0"/>
            <w:vAlign w:val="center"/>
          </w:tcPr>
          <w:p>
            <w:pPr>
              <w:jc w:val="center"/>
              <w:rPr>
                <w:rFonts w:hint="eastAsia" w:ascii="宋体" w:hAnsi="宋体" w:eastAsia="宋体" w:cs="宋体"/>
                <w:color w:val="auto"/>
                <w:sz w:val="21"/>
                <w:szCs w:val="21"/>
                <w:highlight w:val="none"/>
                <w:lang w:eastAsia="zh-CN"/>
              </w:rPr>
            </w:pPr>
            <w:r>
              <w:rPr>
                <w:rFonts w:hint="eastAsia" w:ascii="宋体" w:hAnsi="宋体" w:cs="宋体"/>
                <w:b/>
                <w:color w:val="auto"/>
                <w:szCs w:val="21"/>
                <w:highlight w:val="none"/>
                <w:lang w:eastAsia="zh-CN"/>
              </w:rPr>
              <w:t>第</w:t>
            </w:r>
            <w:r>
              <w:rPr>
                <w:rFonts w:hint="eastAsia" w:ascii="宋体" w:hAnsi="宋体" w:cs="宋体"/>
                <w:b/>
                <w:color w:val="auto"/>
                <w:szCs w:val="21"/>
                <w:highlight w:val="none"/>
                <w:lang w:val="en-US" w:eastAsia="zh-CN"/>
              </w:rPr>
              <w:t>二</w:t>
            </w:r>
            <w:r>
              <w:rPr>
                <w:rFonts w:hint="eastAsia" w:ascii="宋体" w:hAnsi="宋体" w:cs="宋体"/>
                <w:b/>
                <w:color w:val="auto"/>
                <w:szCs w:val="21"/>
                <w:highlight w:val="none"/>
                <w:lang w:eastAsia="zh-CN"/>
              </w:rPr>
              <w:t>部分：盲评技术分（</w:t>
            </w:r>
            <w:r>
              <w:rPr>
                <w:rFonts w:hint="eastAsia" w:ascii="宋体" w:hAnsi="宋体" w:cs="宋体"/>
                <w:b/>
                <w:color w:val="auto"/>
                <w:szCs w:val="21"/>
                <w:highlight w:val="none"/>
                <w:lang w:val="en-US" w:eastAsia="zh-CN"/>
              </w:rPr>
              <w:t>35分</w:t>
            </w:r>
            <w:r>
              <w:rPr>
                <w:rFonts w:hint="eastAsia" w:ascii="宋体" w:hAnsi="宋体" w:cs="宋体"/>
                <w:b/>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33" w:hRule="atLeast"/>
          <w:jc w:val="center"/>
        </w:trPr>
        <w:tc>
          <w:tcPr>
            <w:tcW w:w="662" w:type="dxa"/>
            <w:vMerge w:val="restart"/>
            <w:tcBorders>
              <w:top w:val="single" w:color="auto" w:sz="4" w:space="0"/>
              <w:right w:val="single" w:color="auto" w:sz="4" w:space="0"/>
            </w:tcBorders>
            <w:noWrap w:val="0"/>
            <w:vAlign w:val="top"/>
          </w:tcPr>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w:t>
            </w:r>
          </w:p>
        </w:tc>
        <w:tc>
          <w:tcPr>
            <w:tcW w:w="1975" w:type="dxa"/>
            <w:vMerge w:val="restart"/>
            <w:tcBorders>
              <w:top w:val="single" w:color="auto" w:sz="4" w:space="0"/>
              <w:left w:val="single" w:color="auto" w:sz="4" w:space="0"/>
              <w:right w:val="single" w:color="auto" w:sz="4" w:space="0"/>
            </w:tcBorders>
            <w:noWrap w:val="0"/>
            <w:vAlign w:val="center"/>
          </w:tcPr>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b w:val="0"/>
                <w:bCs/>
                <w:color w:val="auto"/>
                <w:kern w:val="2"/>
                <w:szCs w:val="21"/>
                <w:highlight w:val="none"/>
              </w:rPr>
            </w:pPr>
          </w:p>
          <w:p>
            <w:pPr>
              <w:jc w:val="center"/>
              <w:rPr>
                <w:rFonts w:hint="eastAsia" w:ascii="宋体" w:hAnsi="宋体" w:eastAsia="宋体"/>
                <w:b w:val="0"/>
                <w:bCs/>
                <w:color w:val="auto"/>
                <w:szCs w:val="21"/>
                <w:highlight w:val="none"/>
                <w:lang w:eastAsia="zh-CN"/>
              </w:rPr>
            </w:pPr>
            <w:r>
              <w:rPr>
                <w:rFonts w:hint="eastAsia" w:ascii="宋体" w:hAnsi="宋体"/>
                <w:b w:val="0"/>
                <w:bCs/>
                <w:color w:val="auto"/>
                <w:kern w:val="2"/>
                <w:szCs w:val="21"/>
                <w:highlight w:val="none"/>
              </w:rPr>
              <w:t>材质</w:t>
            </w:r>
            <w:r>
              <w:rPr>
                <w:rFonts w:hint="eastAsia" w:ascii="宋体" w:hAnsi="宋体"/>
                <w:b w:val="0"/>
                <w:bCs/>
                <w:color w:val="auto"/>
                <w:kern w:val="2"/>
                <w:szCs w:val="21"/>
                <w:highlight w:val="none"/>
                <w:lang w:eastAsia="zh-CN"/>
              </w:rPr>
              <w:t>、</w:t>
            </w:r>
            <w:r>
              <w:rPr>
                <w:rFonts w:hint="eastAsia" w:ascii="宋体" w:hAnsi="宋体"/>
                <w:b w:val="0"/>
                <w:bCs/>
                <w:color w:val="auto"/>
                <w:szCs w:val="21"/>
                <w:highlight w:val="none"/>
              </w:rPr>
              <w:t>工艺</w:t>
            </w:r>
          </w:p>
        </w:tc>
        <w:tc>
          <w:tcPr>
            <w:tcW w:w="3670" w:type="dxa"/>
            <w:vMerge w:val="restart"/>
            <w:tcBorders>
              <w:top w:val="single" w:color="auto" w:sz="4" w:space="0"/>
              <w:left w:val="single" w:color="auto" w:sz="4" w:space="0"/>
              <w:right w:val="single" w:color="auto" w:sz="4" w:space="0"/>
            </w:tcBorders>
            <w:noWrap w:val="0"/>
            <w:vAlign w:val="center"/>
          </w:tcPr>
          <w:p>
            <w:pPr>
              <w:spacing w:line="360" w:lineRule="auto"/>
              <w:rPr>
                <w:rFonts w:hint="eastAsia" w:ascii="宋体" w:hAnsi="宋体"/>
                <w:b/>
                <w:bCs w:val="0"/>
                <w:color w:val="auto"/>
                <w:kern w:val="2"/>
                <w:szCs w:val="21"/>
                <w:highlight w:val="none"/>
                <w:lang w:val="en-US" w:eastAsia="zh-CN"/>
              </w:rPr>
            </w:pPr>
            <w:r>
              <w:rPr>
                <w:rFonts w:hint="eastAsia" w:ascii="宋体" w:hAnsi="宋体"/>
                <w:b/>
                <w:bCs w:val="0"/>
                <w:color w:val="auto"/>
                <w:kern w:val="2"/>
                <w:szCs w:val="21"/>
                <w:highlight w:val="none"/>
                <w:lang w:val="en-US" w:eastAsia="zh-CN"/>
              </w:rPr>
              <w:t>根据投标人提供</w:t>
            </w:r>
            <w:r>
              <w:rPr>
                <w:rFonts w:hint="eastAsia" w:ascii="宋体" w:hAnsi="宋体"/>
                <w:b/>
                <w:bCs w:val="0"/>
                <w:color w:val="auto"/>
                <w:sz w:val="21"/>
                <w:szCs w:val="21"/>
                <w:highlight w:val="none"/>
              </w:rPr>
              <w:t>样品</w:t>
            </w:r>
            <w:r>
              <w:rPr>
                <w:rFonts w:hint="eastAsia" w:ascii="宋体" w:hAnsi="宋体"/>
                <w:b/>
                <w:bCs w:val="0"/>
                <w:color w:val="auto"/>
                <w:sz w:val="21"/>
                <w:szCs w:val="21"/>
                <w:highlight w:val="none"/>
                <w:lang w:eastAsia="zh-CN"/>
              </w:rPr>
              <w:t>对比评分。</w:t>
            </w:r>
          </w:p>
          <w:p>
            <w:pPr>
              <w:spacing w:line="360" w:lineRule="auto"/>
              <w:rPr>
                <w:rFonts w:hint="eastAsia" w:ascii="宋体" w:hAnsi="宋体"/>
                <w:b w:val="0"/>
                <w:bCs/>
                <w:color w:val="auto"/>
                <w:kern w:val="2"/>
                <w:szCs w:val="21"/>
                <w:highlight w:val="none"/>
                <w:lang w:val="en-US" w:eastAsia="zh-CN"/>
              </w:rPr>
            </w:pPr>
            <w:r>
              <w:rPr>
                <w:rFonts w:hint="eastAsia" w:ascii="宋体" w:hAnsi="宋体"/>
                <w:b w:val="0"/>
                <w:bCs/>
                <w:color w:val="auto"/>
                <w:kern w:val="2"/>
                <w:szCs w:val="21"/>
                <w:highlight w:val="none"/>
                <w:lang w:eastAsia="zh-CN"/>
              </w:rPr>
              <w:t>质感细腻</w:t>
            </w:r>
            <w:r>
              <w:rPr>
                <w:rFonts w:hint="eastAsia" w:ascii="宋体" w:hAnsi="宋体"/>
                <w:color w:val="auto"/>
                <w:kern w:val="2"/>
                <w:szCs w:val="21"/>
                <w:highlight w:val="none"/>
              </w:rPr>
              <w:t>平滑柔软，</w:t>
            </w:r>
            <w:r>
              <w:rPr>
                <w:rFonts w:hint="eastAsia" w:ascii="宋体" w:hAnsi="宋体"/>
                <w:color w:val="auto"/>
                <w:kern w:val="2"/>
                <w:szCs w:val="21"/>
                <w:highlight w:val="none"/>
                <w:lang w:val="en-US" w:eastAsia="zh-CN"/>
              </w:rPr>
              <w:t>色泽均匀</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弹性</w:t>
            </w:r>
            <w:r>
              <w:rPr>
                <w:rFonts w:hint="eastAsia" w:ascii="宋体" w:hAnsi="宋体"/>
                <w:color w:val="auto"/>
                <w:kern w:val="2"/>
                <w:szCs w:val="21"/>
                <w:highlight w:val="none"/>
                <w:lang w:val="en-US" w:eastAsia="zh-CN"/>
              </w:rPr>
              <w:t>佳</w:t>
            </w:r>
            <w:r>
              <w:rPr>
                <w:rFonts w:hint="eastAsia" w:ascii="宋体" w:hAnsi="宋体"/>
                <w:color w:val="auto"/>
                <w:kern w:val="2"/>
                <w:szCs w:val="21"/>
                <w:highlight w:val="none"/>
                <w:lang w:eastAsia="zh-CN"/>
              </w:rPr>
              <w:t>，韧性强</w:t>
            </w:r>
            <w:r>
              <w:rPr>
                <w:rFonts w:hint="eastAsia" w:ascii="宋体" w:hAnsi="宋体"/>
                <w:color w:val="auto"/>
                <w:kern w:val="2"/>
                <w:szCs w:val="21"/>
                <w:highlight w:val="none"/>
              </w:rPr>
              <w:t>，不易</w:t>
            </w:r>
            <w:r>
              <w:rPr>
                <w:rFonts w:hint="eastAsia" w:ascii="宋体" w:hAnsi="宋体"/>
                <w:color w:val="auto"/>
                <w:kern w:val="2"/>
                <w:szCs w:val="21"/>
                <w:highlight w:val="none"/>
                <w:lang w:eastAsia="zh-CN"/>
              </w:rPr>
              <w:t>抽丝</w:t>
            </w:r>
            <w:r>
              <w:rPr>
                <w:rFonts w:hint="eastAsia" w:ascii="宋体" w:hAnsi="宋体"/>
                <w:color w:val="auto"/>
                <w:kern w:val="2"/>
                <w:szCs w:val="21"/>
                <w:highlight w:val="none"/>
              </w:rPr>
              <w:t>勾丝</w:t>
            </w:r>
            <w:r>
              <w:rPr>
                <w:rFonts w:hint="eastAsia" w:ascii="宋体" w:hAnsi="宋体"/>
                <w:color w:val="auto"/>
                <w:kern w:val="2"/>
                <w:szCs w:val="21"/>
                <w:highlight w:val="none"/>
                <w:lang w:eastAsia="zh-CN"/>
              </w:rPr>
              <w:t>，伸缩性好；</w:t>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优得</w:t>
            </w:r>
            <w:r>
              <w:rPr>
                <w:rFonts w:hint="eastAsia" w:ascii="宋体" w:hAnsi="宋体"/>
                <w:color w:val="auto"/>
                <w:szCs w:val="21"/>
                <w:highlight w:val="none"/>
                <w:lang w:val="en-US" w:eastAsia="zh-CN"/>
              </w:rPr>
              <w:t>5-4分；良得3-2分；一般得1分；</w:t>
            </w:r>
            <w:r>
              <w:rPr>
                <w:rStyle w:val="53"/>
                <w:color w:val="auto"/>
                <w:highlight w:val="none"/>
                <w:lang w:val="en-US" w:eastAsia="zh-CN" w:bidi="ar"/>
              </w:rPr>
              <w:t>其他不得分</w:t>
            </w:r>
            <w:r>
              <w:rPr>
                <w:rFonts w:hint="eastAsia" w:ascii="宋体" w:hAnsi="宋体"/>
                <w:color w:val="auto"/>
                <w:sz w:val="21"/>
                <w:szCs w:val="21"/>
                <w:highlight w:val="none"/>
              </w:rPr>
              <w:t>。</w:t>
            </w:r>
          </w:p>
        </w:tc>
        <w:tc>
          <w:tcPr>
            <w:tcW w:w="1385" w:type="dxa"/>
            <w:tcBorders>
              <w:top w:val="single" w:color="auto" w:sz="4" w:space="0"/>
              <w:left w:val="single" w:color="auto" w:sz="4" w:space="0"/>
              <w:right w:val="single" w:color="auto" w:sz="4" w:space="0"/>
            </w:tcBorders>
            <w:noWrap w:val="0"/>
            <w:vAlign w:val="center"/>
          </w:tcPr>
          <w:p>
            <w:pPr>
              <w:spacing w:line="360" w:lineRule="auto"/>
              <w:ind w:firstLine="210" w:firstLineChars="100"/>
              <w:rPr>
                <w:rFonts w:hint="eastAsia"/>
                <w:color w:val="auto"/>
                <w:highlight w:val="none"/>
                <w:lang w:val="en-US" w:eastAsia="zh-CN"/>
              </w:rPr>
            </w:pPr>
            <w:r>
              <w:rPr>
                <w:rFonts w:hint="eastAsia"/>
                <w:color w:val="auto"/>
                <w:highlight w:val="none"/>
                <w:lang w:val="en-US" w:eastAsia="zh-CN"/>
              </w:rPr>
              <w:t>丝袜</w:t>
            </w:r>
          </w:p>
          <w:p>
            <w:pPr>
              <w:pStyle w:val="20"/>
              <w:rPr>
                <w:rFonts w:hint="default"/>
                <w:color w:val="auto"/>
                <w:highlight w:val="none"/>
                <w:lang w:val="en-US" w:eastAsia="zh-CN"/>
              </w:rPr>
            </w:pPr>
            <w:r>
              <w:rPr>
                <w:rFonts w:hint="eastAsia"/>
                <w:color w:val="auto"/>
                <w:highlight w:val="none"/>
                <w:lang w:val="en-US" w:eastAsia="zh-CN"/>
              </w:rPr>
              <w:t>（5分）</w:t>
            </w:r>
          </w:p>
        </w:tc>
        <w:tc>
          <w:tcPr>
            <w:tcW w:w="855" w:type="dxa"/>
            <w:vMerge w:val="restart"/>
            <w:tcBorders>
              <w:top w:val="single" w:color="auto" w:sz="4" w:space="0"/>
              <w:left w:val="single" w:color="auto" w:sz="4" w:space="0"/>
            </w:tcBorders>
            <w:noWrap w:val="0"/>
            <w:vAlign w:val="center"/>
          </w:tcPr>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eastAsia" w:ascii="宋体" w:hAnsi="宋体" w:eastAsia="宋体" w:cs="宋体"/>
                <w:color w:val="auto"/>
                <w:kern w:val="2"/>
                <w:sz w:val="21"/>
                <w:szCs w:val="21"/>
                <w:highlight w:val="none"/>
                <w:lang w:val="en-US" w:eastAsia="zh-CN" w:bidi="ar-SA"/>
              </w:rPr>
            </w:pPr>
          </w:p>
          <w:p>
            <w:pPr>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28</w:t>
            </w:r>
          </w:p>
        </w:tc>
        <w:tc>
          <w:tcPr>
            <w:tcW w:w="1226" w:type="dxa"/>
            <w:vMerge w:val="restart"/>
            <w:tcBorders>
              <w:top w:val="single" w:color="auto" w:sz="4" w:space="0"/>
              <w:left w:val="single" w:color="auto" w:sz="4" w:space="0"/>
            </w:tcBorders>
            <w:noWrap w:val="0"/>
            <w:vAlign w:val="center"/>
          </w:tcPr>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主观项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33" w:hRule="atLeast"/>
          <w:jc w:val="center"/>
        </w:trPr>
        <w:tc>
          <w:tcPr>
            <w:tcW w:w="662" w:type="dxa"/>
            <w:vMerge w:val="continue"/>
            <w:tcBorders>
              <w:right w:val="single" w:color="auto" w:sz="4" w:space="0"/>
            </w:tcBorders>
            <w:noWrap w:val="0"/>
            <w:vAlign w:val="top"/>
          </w:tcPr>
          <w:p>
            <w:pPr>
              <w:spacing w:line="360" w:lineRule="auto"/>
              <w:rPr>
                <w:color w:val="auto"/>
                <w:highlight w:val="none"/>
              </w:rPr>
            </w:pPr>
          </w:p>
        </w:tc>
        <w:tc>
          <w:tcPr>
            <w:tcW w:w="1975" w:type="dxa"/>
            <w:vMerge w:val="continue"/>
            <w:tcBorders>
              <w:left w:val="single" w:color="auto" w:sz="4" w:space="0"/>
              <w:right w:val="single" w:color="auto" w:sz="4" w:space="0"/>
            </w:tcBorders>
            <w:noWrap w:val="0"/>
            <w:vAlign w:val="center"/>
          </w:tcPr>
          <w:p>
            <w:pPr>
              <w:spacing w:line="360" w:lineRule="auto"/>
              <w:rPr>
                <w:color w:val="auto"/>
                <w:highlight w:val="none"/>
              </w:rPr>
            </w:pPr>
          </w:p>
        </w:tc>
        <w:tc>
          <w:tcPr>
            <w:tcW w:w="3670" w:type="dxa"/>
            <w:vMerge w:val="continue"/>
            <w:tcBorders>
              <w:left w:val="single" w:color="auto" w:sz="4" w:space="0"/>
              <w:right w:val="single" w:color="auto" w:sz="4" w:space="0"/>
            </w:tcBorders>
            <w:noWrap w:val="0"/>
            <w:vAlign w:val="center"/>
          </w:tcPr>
          <w:p>
            <w:pPr>
              <w:spacing w:line="360" w:lineRule="auto"/>
              <w:rPr>
                <w:color w:val="auto"/>
                <w:highlight w:val="none"/>
              </w:rPr>
            </w:pPr>
          </w:p>
        </w:tc>
        <w:tc>
          <w:tcPr>
            <w:tcW w:w="1385" w:type="dxa"/>
            <w:tcBorders>
              <w:top w:val="single" w:color="auto" w:sz="4" w:space="0"/>
              <w:left w:val="single" w:color="auto" w:sz="4" w:space="0"/>
              <w:right w:val="single" w:color="auto" w:sz="4" w:space="0"/>
            </w:tcBorders>
            <w:noWrap w:val="0"/>
            <w:vAlign w:val="center"/>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加厚裤袜</w:t>
            </w:r>
          </w:p>
          <w:p>
            <w:pP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（5分）</w:t>
            </w:r>
          </w:p>
        </w:tc>
        <w:tc>
          <w:tcPr>
            <w:tcW w:w="855" w:type="dxa"/>
            <w:vMerge w:val="continue"/>
            <w:tcBorders>
              <w:left w:val="single" w:color="auto" w:sz="4" w:space="0"/>
            </w:tcBorders>
            <w:noWrap w:val="0"/>
            <w:vAlign w:val="center"/>
          </w:tcPr>
          <w:p>
            <w:pPr>
              <w:spacing w:line="360" w:lineRule="auto"/>
              <w:rPr>
                <w:rFonts w:hint="eastAsia" w:ascii="宋体" w:hAnsi="宋体"/>
                <w:color w:val="auto"/>
                <w:szCs w:val="21"/>
                <w:highlight w:val="none"/>
                <w:lang w:eastAsia="zh-CN"/>
              </w:rPr>
            </w:pPr>
          </w:p>
        </w:tc>
        <w:tc>
          <w:tcPr>
            <w:tcW w:w="1226" w:type="dxa"/>
            <w:vMerge w:val="continue"/>
            <w:tcBorders>
              <w:left w:val="single" w:color="auto" w:sz="4" w:space="0"/>
            </w:tcBorders>
            <w:noWrap w:val="0"/>
            <w:vAlign w:val="center"/>
          </w:tcPr>
          <w:p>
            <w:pPr>
              <w:spacing w:line="360" w:lineRule="auto"/>
              <w:rPr>
                <w:rFonts w:hint="eastAsia" w:ascii="宋体" w:hAnsi="宋体"/>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25" w:hRule="atLeast"/>
          <w:jc w:val="center"/>
        </w:trPr>
        <w:tc>
          <w:tcPr>
            <w:tcW w:w="662" w:type="dxa"/>
            <w:vMerge w:val="continue"/>
            <w:tcBorders>
              <w:right w:val="single" w:color="auto" w:sz="4" w:space="0"/>
            </w:tcBorders>
            <w:noWrap w:val="0"/>
            <w:vAlign w:val="top"/>
          </w:tcPr>
          <w:p>
            <w:pPr>
              <w:spacing w:line="360" w:lineRule="auto"/>
              <w:rPr>
                <w:color w:val="auto"/>
                <w:highlight w:val="none"/>
              </w:rPr>
            </w:pPr>
          </w:p>
        </w:tc>
        <w:tc>
          <w:tcPr>
            <w:tcW w:w="1975" w:type="dxa"/>
            <w:vMerge w:val="continue"/>
            <w:tcBorders>
              <w:left w:val="single" w:color="auto" w:sz="4" w:space="0"/>
              <w:right w:val="single" w:color="auto" w:sz="4" w:space="0"/>
            </w:tcBorders>
            <w:noWrap w:val="0"/>
            <w:vAlign w:val="center"/>
          </w:tcPr>
          <w:p>
            <w:pPr>
              <w:spacing w:line="360" w:lineRule="auto"/>
              <w:rPr>
                <w:color w:val="auto"/>
                <w:highlight w:val="none"/>
              </w:rPr>
            </w:pPr>
          </w:p>
        </w:tc>
        <w:tc>
          <w:tcPr>
            <w:tcW w:w="3670" w:type="dxa"/>
            <w:vMerge w:val="restart"/>
            <w:tcBorders>
              <w:top w:val="single" w:color="auto" w:sz="4" w:space="0"/>
              <w:left w:val="single" w:color="auto" w:sz="4" w:space="0"/>
              <w:right w:val="single" w:color="auto" w:sz="4" w:space="0"/>
            </w:tcBorders>
            <w:noWrap w:val="0"/>
            <w:vAlign w:val="center"/>
          </w:tcPr>
          <w:p>
            <w:pPr>
              <w:spacing w:line="360" w:lineRule="auto"/>
              <w:rPr>
                <w:rFonts w:hint="eastAsia" w:ascii="宋体" w:hAnsi="宋体"/>
                <w:b/>
                <w:bCs w:val="0"/>
                <w:color w:val="auto"/>
                <w:kern w:val="2"/>
                <w:szCs w:val="21"/>
                <w:highlight w:val="none"/>
                <w:lang w:val="en-US" w:eastAsia="zh-CN"/>
              </w:rPr>
            </w:pPr>
            <w:r>
              <w:rPr>
                <w:rFonts w:hint="eastAsia" w:ascii="宋体" w:hAnsi="宋体"/>
                <w:b/>
                <w:bCs w:val="0"/>
                <w:color w:val="auto"/>
                <w:kern w:val="2"/>
                <w:szCs w:val="21"/>
                <w:highlight w:val="none"/>
                <w:lang w:val="en-US" w:eastAsia="zh-CN"/>
              </w:rPr>
              <w:t>根据投标人提供</w:t>
            </w:r>
            <w:r>
              <w:rPr>
                <w:rFonts w:hint="eastAsia" w:ascii="宋体" w:hAnsi="宋体"/>
                <w:b/>
                <w:bCs w:val="0"/>
                <w:color w:val="auto"/>
                <w:sz w:val="21"/>
                <w:szCs w:val="21"/>
                <w:highlight w:val="none"/>
              </w:rPr>
              <w:t>样品</w:t>
            </w:r>
            <w:r>
              <w:rPr>
                <w:rFonts w:hint="eastAsia" w:ascii="宋体" w:hAnsi="宋体"/>
                <w:b/>
                <w:bCs w:val="0"/>
                <w:color w:val="auto"/>
                <w:sz w:val="21"/>
                <w:szCs w:val="21"/>
                <w:highlight w:val="none"/>
                <w:lang w:eastAsia="zh-CN"/>
              </w:rPr>
              <w:t>对比评分。</w:t>
            </w:r>
          </w:p>
          <w:p>
            <w:pPr>
              <w:spacing w:line="360" w:lineRule="auto"/>
              <w:rPr>
                <w:rFonts w:hint="eastAsia" w:ascii="宋体" w:hAnsi="宋体"/>
                <w:color w:val="auto"/>
                <w:szCs w:val="21"/>
                <w:highlight w:val="none"/>
              </w:rPr>
            </w:pPr>
            <w:r>
              <w:rPr>
                <w:rFonts w:hint="eastAsia" w:ascii="宋体" w:hAnsi="宋体"/>
                <w:color w:val="auto"/>
                <w:szCs w:val="21"/>
                <w:highlight w:val="none"/>
              </w:rPr>
              <w:t>织造精细，形态周正、无扭曲、抽紧等现象、收放适度，袜腰头、裆部、袜头等部位处理</w:t>
            </w:r>
            <w:r>
              <w:rPr>
                <w:rFonts w:hint="eastAsia" w:ascii="宋体" w:hAnsi="宋体"/>
                <w:color w:val="auto"/>
                <w:szCs w:val="21"/>
                <w:highlight w:val="none"/>
                <w:lang w:val="en-US" w:eastAsia="zh-CN"/>
              </w:rPr>
              <w:t>美观舒适</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服贴</w:t>
            </w:r>
            <w:r>
              <w:rPr>
                <w:rFonts w:hint="eastAsia" w:ascii="宋体" w:hAnsi="宋体"/>
                <w:color w:val="auto"/>
                <w:szCs w:val="21"/>
                <w:highlight w:val="none"/>
                <w:lang w:eastAsia="zh-CN"/>
              </w:rPr>
              <w:t>不易变形</w:t>
            </w:r>
            <w:r>
              <w:rPr>
                <w:rFonts w:hint="eastAsia" w:ascii="宋体" w:hAnsi="宋体"/>
                <w:color w:val="auto"/>
                <w:szCs w:val="21"/>
                <w:highlight w:val="none"/>
              </w:rPr>
              <w:t>。</w:t>
            </w:r>
          </w:p>
          <w:p>
            <w:pPr>
              <w:pStyle w:val="20"/>
              <w:rPr>
                <w:rFonts w:hint="eastAsia"/>
                <w:color w:val="auto"/>
                <w:highlight w:val="none"/>
              </w:rPr>
            </w:pPr>
            <w:r>
              <w:rPr>
                <w:rFonts w:hint="eastAsia" w:ascii="宋体" w:hAnsi="宋体"/>
                <w:color w:val="auto"/>
                <w:szCs w:val="21"/>
                <w:highlight w:val="none"/>
                <w:lang w:eastAsia="zh-CN"/>
              </w:rPr>
              <w:t>优得</w:t>
            </w:r>
            <w:r>
              <w:rPr>
                <w:rFonts w:hint="eastAsia" w:ascii="宋体" w:hAnsi="宋体"/>
                <w:color w:val="auto"/>
                <w:szCs w:val="21"/>
                <w:highlight w:val="none"/>
                <w:lang w:val="en-US" w:eastAsia="zh-CN"/>
              </w:rPr>
              <w:t>5-4分；良得3-2分；一般得1分；</w:t>
            </w:r>
            <w:r>
              <w:rPr>
                <w:rStyle w:val="53"/>
                <w:color w:val="auto"/>
                <w:highlight w:val="none"/>
                <w:lang w:val="en-US" w:eastAsia="zh-CN" w:bidi="ar"/>
              </w:rPr>
              <w:t>其他不得分</w:t>
            </w:r>
            <w:r>
              <w:rPr>
                <w:rFonts w:hint="eastAsia" w:ascii="宋体" w:hAnsi="宋体"/>
                <w:color w:val="auto"/>
                <w:sz w:val="21"/>
                <w:szCs w:val="21"/>
                <w:highlight w:val="none"/>
              </w:rPr>
              <w:t>。</w:t>
            </w:r>
          </w:p>
          <w:p>
            <w:pPr>
              <w:spacing w:line="360" w:lineRule="auto"/>
              <w:rPr>
                <w:rFonts w:hint="eastAsia" w:ascii="宋体" w:hAnsi="宋体"/>
                <w:color w:val="auto"/>
                <w:szCs w:val="21"/>
                <w:highlight w:val="none"/>
                <w:lang w:eastAsia="zh-CN"/>
              </w:rPr>
            </w:pPr>
          </w:p>
        </w:tc>
        <w:tc>
          <w:tcPr>
            <w:tcW w:w="1385" w:type="dxa"/>
            <w:tcBorders>
              <w:top w:val="single" w:color="auto" w:sz="4" w:space="0"/>
              <w:left w:val="single" w:color="auto" w:sz="4" w:space="0"/>
              <w:right w:val="single" w:color="auto" w:sz="4" w:space="0"/>
            </w:tcBorders>
            <w:noWrap w:val="0"/>
            <w:vAlign w:val="center"/>
          </w:tcPr>
          <w:p>
            <w:pPr>
              <w:spacing w:line="360" w:lineRule="auto"/>
              <w:ind w:firstLine="210" w:firstLineChars="100"/>
              <w:rPr>
                <w:rFonts w:hint="eastAsia"/>
                <w:color w:val="auto"/>
                <w:highlight w:val="none"/>
                <w:lang w:val="en-US" w:eastAsia="zh-CN"/>
              </w:rPr>
            </w:pPr>
            <w:r>
              <w:rPr>
                <w:rFonts w:hint="eastAsia"/>
                <w:color w:val="auto"/>
                <w:highlight w:val="none"/>
                <w:lang w:val="en-US" w:eastAsia="zh-CN"/>
              </w:rPr>
              <w:t>丝袜</w:t>
            </w:r>
          </w:p>
          <w:p>
            <w:pPr>
              <w:pStyle w:val="20"/>
              <w:rPr>
                <w:rFonts w:hint="eastAsia"/>
                <w:color w:val="auto"/>
                <w:kern w:val="2"/>
                <w:sz w:val="21"/>
                <w:szCs w:val="24"/>
                <w:highlight w:val="none"/>
                <w:lang w:val="en-US" w:eastAsia="zh-CN" w:bidi="ar-SA"/>
              </w:rPr>
            </w:pPr>
            <w:r>
              <w:rPr>
                <w:rFonts w:hint="eastAsia"/>
                <w:color w:val="auto"/>
                <w:highlight w:val="none"/>
                <w:lang w:val="en-US" w:eastAsia="zh-CN"/>
              </w:rPr>
              <w:t>（5分）</w:t>
            </w:r>
          </w:p>
        </w:tc>
        <w:tc>
          <w:tcPr>
            <w:tcW w:w="855" w:type="dxa"/>
            <w:vMerge w:val="continue"/>
            <w:tcBorders>
              <w:left w:val="single" w:color="auto" w:sz="4" w:space="0"/>
            </w:tcBorders>
            <w:noWrap w:val="0"/>
            <w:vAlign w:val="center"/>
          </w:tcPr>
          <w:p>
            <w:pPr>
              <w:spacing w:line="360" w:lineRule="auto"/>
              <w:rPr>
                <w:rFonts w:hint="eastAsia" w:ascii="宋体" w:hAnsi="宋体"/>
                <w:color w:val="auto"/>
                <w:szCs w:val="21"/>
                <w:highlight w:val="none"/>
                <w:lang w:eastAsia="zh-CN"/>
              </w:rPr>
            </w:pPr>
          </w:p>
        </w:tc>
        <w:tc>
          <w:tcPr>
            <w:tcW w:w="1226" w:type="dxa"/>
            <w:vMerge w:val="continue"/>
            <w:tcBorders>
              <w:left w:val="single" w:color="auto" w:sz="4" w:space="0"/>
            </w:tcBorders>
            <w:noWrap w:val="0"/>
            <w:vAlign w:val="center"/>
          </w:tcPr>
          <w:p>
            <w:pPr>
              <w:spacing w:line="360" w:lineRule="auto"/>
              <w:rPr>
                <w:rFonts w:hint="eastAsia" w:ascii="宋体" w:hAnsi="宋体"/>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25" w:hRule="atLeast"/>
          <w:jc w:val="center"/>
        </w:trPr>
        <w:tc>
          <w:tcPr>
            <w:tcW w:w="662" w:type="dxa"/>
            <w:vMerge w:val="continue"/>
            <w:tcBorders>
              <w:right w:val="single" w:color="auto" w:sz="4" w:space="0"/>
            </w:tcBorders>
            <w:noWrap w:val="0"/>
            <w:vAlign w:val="top"/>
          </w:tcPr>
          <w:p>
            <w:pPr>
              <w:spacing w:line="360" w:lineRule="auto"/>
              <w:rPr>
                <w:color w:val="auto"/>
                <w:highlight w:val="none"/>
              </w:rPr>
            </w:pPr>
          </w:p>
        </w:tc>
        <w:tc>
          <w:tcPr>
            <w:tcW w:w="1975" w:type="dxa"/>
            <w:vMerge w:val="continue"/>
            <w:tcBorders>
              <w:left w:val="single" w:color="auto" w:sz="4" w:space="0"/>
              <w:right w:val="single" w:color="auto" w:sz="4" w:space="0"/>
            </w:tcBorders>
            <w:noWrap w:val="0"/>
            <w:vAlign w:val="center"/>
          </w:tcPr>
          <w:p>
            <w:pPr>
              <w:spacing w:line="360" w:lineRule="auto"/>
              <w:rPr>
                <w:color w:val="auto"/>
                <w:highlight w:val="none"/>
              </w:rPr>
            </w:pPr>
          </w:p>
        </w:tc>
        <w:tc>
          <w:tcPr>
            <w:tcW w:w="3670" w:type="dxa"/>
            <w:vMerge w:val="continue"/>
            <w:tcBorders>
              <w:top w:val="single" w:color="auto" w:sz="4" w:space="0"/>
              <w:left w:val="single" w:color="auto" w:sz="4" w:space="0"/>
              <w:right w:val="single" w:color="auto" w:sz="4" w:space="0"/>
            </w:tcBorders>
            <w:noWrap w:val="0"/>
            <w:vAlign w:val="center"/>
          </w:tcPr>
          <w:p>
            <w:pPr>
              <w:spacing w:line="360" w:lineRule="auto"/>
              <w:rPr>
                <w:color w:val="auto"/>
                <w:highlight w:val="none"/>
              </w:rPr>
            </w:pPr>
          </w:p>
        </w:tc>
        <w:tc>
          <w:tcPr>
            <w:tcW w:w="1385" w:type="dxa"/>
            <w:tcBorders>
              <w:top w:val="single" w:color="auto" w:sz="4" w:space="0"/>
              <w:left w:val="single" w:color="auto" w:sz="4" w:space="0"/>
              <w:right w:val="single" w:color="auto" w:sz="4" w:space="0"/>
            </w:tcBorders>
            <w:noWrap w:val="0"/>
            <w:vAlign w:val="center"/>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加厚裤袜</w:t>
            </w:r>
          </w:p>
          <w:p>
            <w:pPr>
              <w:spacing w:line="360" w:lineRule="auto"/>
              <w:rPr>
                <w:rFonts w:hint="eastAsia" w:ascii="宋体" w:hAnsi="宋体"/>
                <w:color w:val="auto"/>
                <w:kern w:val="2"/>
                <w:sz w:val="21"/>
                <w:szCs w:val="21"/>
                <w:highlight w:val="none"/>
                <w:lang w:val="en-US" w:eastAsia="zh-CN" w:bidi="ar-SA"/>
              </w:rPr>
            </w:pPr>
            <w:r>
              <w:rPr>
                <w:rFonts w:hint="eastAsia" w:ascii="宋体" w:hAnsi="宋体"/>
                <w:color w:val="auto"/>
                <w:szCs w:val="21"/>
                <w:highlight w:val="none"/>
                <w:lang w:val="en-US" w:eastAsia="zh-CN"/>
              </w:rPr>
              <w:t>（5分）</w:t>
            </w:r>
          </w:p>
        </w:tc>
        <w:tc>
          <w:tcPr>
            <w:tcW w:w="855" w:type="dxa"/>
            <w:vMerge w:val="continue"/>
            <w:tcBorders>
              <w:left w:val="single" w:color="auto" w:sz="4" w:space="0"/>
            </w:tcBorders>
            <w:noWrap w:val="0"/>
            <w:vAlign w:val="center"/>
          </w:tcPr>
          <w:p>
            <w:pPr>
              <w:spacing w:line="360" w:lineRule="auto"/>
              <w:rPr>
                <w:rFonts w:hint="eastAsia" w:ascii="宋体" w:hAnsi="宋体"/>
                <w:color w:val="auto"/>
                <w:szCs w:val="21"/>
                <w:highlight w:val="none"/>
                <w:lang w:eastAsia="zh-CN"/>
              </w:rPr>
            </w:pPr>
          </w:p>
        </w:tc>
        <w:tc>
          <w:tcPr>
            <w:tcW w:w="1226" w:type="dxa"/>
            <w:vMerge w:val="continue"/>
            <w:tcBorders>
              <w:left w:val="single" w:color="auto" w:sz="4" w:space="0"/>
            </w:tcBorders>
            <w:noWrap w:val="0"/>
            <w:vAlign w:val="center"/>
          </w:tcPr>
          <w:p>
            <w:pPr>
              <w:spacing w:line="360" w:lineRule="auto"/>
              <w:rPr>
                <w:rFonts w:hint="eastAsia" w:ascii="宋体" w:hAnsi="宋体"/>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34" w:hRule="atLeast"/>
          <w:jc w:val="center"/>
        </w:trPr>
        <w:tc>
          <w:tcPr>
            <w:tcW w:w="662" w:type="dxa"/>
            <w:vMerge w:val="continue"/>
            <w:tcBorders>
              <w:right w:val="single" w:color="auto" w:sz="4" w:space="0"/>
            </w:tcBorders>
            <w:noWrap w:val="0"/>
            <w:vAlign w:val="top"/>
          </w:tcPr>
          <w:p>
            <w:pPr>
              <w:spacing w:line="360" w:lineRule="auto"/>
              <w:rPr>
                <w:rFonts w:hint="eastAsia" w:ascii="宋体" w:hAnsi="宋体"/>
                <w:color w:val="auto"/>
                <w:szCs w:val="21"/>
                <w:highlight w:val="none"/>
                <w:lang w:eastAsia="zh-CN"/>
              </w:rPr>
            </w:pPr>
          </w:p>
        </w:tc>
        <w:tc>
          <w:tcPr>
            <w:tcW w:w="1975" w:type="dxa"/>
            <w:vMerge w:val="continue"/>
            <w:tcBorders>
              <w:left w:val="single" w:color="auto" w:sz="4" w:space="0"/>
              <w:right w:val="single" w:color="auto" w:sz="4" w:space="0"/>
            </w:tcBorders>
            <w:noWrap w:val="0"/>
            <w:vAlign w:val="center"/>
          </w:tcPr>
          <w:p>
            <w:pPr>
              <w:spacing w:line="360" w:lineRule="auto"/>
              <w:rPr>
                <w:rFonts w:hint="eastAsia" w:ascii="宋体" w:hAnsi="宋体"/>
                <w:color w:val="auto"/>
                <w:szCs w:val="21"/>
                <w:highlight w:val="none"/>
                <w:lang w:eastAsia="zh-CN"/>
              </w:rPr>
            </w:pPr>
          </w:p>
        </w:tc>
        <w:tc>
          <w:tcPr>
            <w:tcW w:w="3670" w:type="dxa"/>
            <w:vMerge w:val="restart"/>
            <w:tcBorders>
              <w:top w:val="single" w:color="auto" w:sz="4" w:space="0"/>
              <w:left w:val="single" w:color="auto" w:sz="4" w:space="0"/>
              <w:right w:val="single" w:color="auto" w:sz="4" w:space="0"/>
            </w:tcBorders>
            <w:noWrap w:val="0"/>
            <w:vAlign w:val="center"/>
          </w:tcPr>
          <w:p>
            <w:pPr>
              <w:spacing w:line="360" w:lineRule="auto"/>
              <w:rPr>
                <w:rFonts w:hint="eastAsia" w:ascii="宋体" w:hAnsi="宋体"/>
                <w:b/>
                <w:bCs w:val="0"/>
                <w:color w:val="auto"/>
                <w:szCs w:val="21"/>
                <w:highlight w:val="none"/>
              </w:rPr>
            </w:pPr>
            <w:r>
              <w:rPr>
                <w:rFonts w:hint="eastAsia" w:ascii="宋体" w:hAnsi="宋体"/>
                <w:b/>
                <w:bCs w:val="0"/>
                <w:color w:val="auto"/>
                <w:kern w:val="2"/>
                <w:szCs w:val="21"/>
                <w:highlight w:val="none"/>
                <w:lang w:val="en-US" w:eastAsia="zh-CN"/>
              </w:rPr>
              <w:t>根据投标人提供</w:t>
            </w:r>
            <w:r>
              <w:rPr>
                <w:rFonts w:hint="eastAsia" w:ascii="宋体" w:hAnsi="宋体"/>
                <w:b/>
                <w:bCs w:val="0"/>
                <w:color w:val="auto"/>
                <w:sz w:val="21"/>
                <w:szCs w:val="21"/>
                <w:highlight w:val="none"/>
              </w:rPr>
              <w:t>样品</w:t>
            </w:r>
            <w:r>
              <w:rPr>
                <w:rFonts w:hint="eastAsia" w:ascii="宋体" w:hAnsi="宋体"/>
                <w:b/>
                <w:bCs w:val="0"/>
                <w:color w:val="auto"/>
                <w:sz w:val="21"/>
                <w:szCs w:val="21"/>
                <w:highlight w:val="none"/>
                <w:lang w:eastAsia="zh-CN"/>
              </w:rPr>
              <w:t>对比评分。</w:t>
            </w:r>
          </w:p>
          <w:p>
            <w:pPr>
              <w:spacing w:line="360" w:lineRule="auto"/>
              <w:rPr>
                <w:rFonts w:hint="eastAsia" w:ascii="宋体" w:hAnsi="宋体"/>
                <w:color w:val="auto"/>
                <w:kern w:val="2"/>
                <w:szCs w:val="21"/>
                <w:highlight w:val="none"/>
                <w:lang w:eastAsia="zh-CN"/>
              </w:rPr>
            </w:pPr>
            <w:r>
              <w:rPr>
                <w:rFonts w:hint="eastAsia" w:ascii="宋体" w:hAnsi="宋体"/>
                <w:color w:val="auto"/>
                <w:szCs w:val="21"/>
                <w:highlight w:val="none"/>
              </w:rPr>
              <w:t>线迹平顺、均匀</w:t>
            </w:r>
            <w:r>
              <w:rPr>
                <w:rFonts w:hint="eastAsia" w:ascii="宋体" w:hAnsi="宋体"/>
                <w:color w:val="auto"/>
                <w:szCs w:val="21"/>
                <w:highlight w:val="none"/>
                <w:lang w:eastAsia="zh-CN"/>
              </w:rPr>
              <w:t>，</w:t>
            </w:r>
            <w:r>
              <w:rPr>
                <w:rFonts w:hint="eastAsia" w:ascii="宋体" w:hAnsi="宋体"/>
                <w:color w:val="auto"/>
                <w:szCs w:val="21"/>
                <w:highlight w:val="none"/>
              </w:rPr>
              <w:t>松紧适度，缝制到位，无跳针、浮线、线结、转角；各部位缝制结实，不开线</w:t>
            </w:r>
            <w:r>
              <w:rPr>
                <w:rFonts w:ascii="宋体" w:hAnsi="宋体"/>
                <w:color w:val="auto"/>
                <w:kern w:val="2"/>
                <w:szCs w:val="21"/>
                <w:highlight w:val="none"/>
              </w:rPr>
              <w:t xml:space="preserve"> </w:t>
            </w:r>
            <w:r>
              <w:rPr>
                <w:rFonts w:hint="eastAsia" w:ascii="宋体" w:hAnsi="宋体"/>
                <w:color w:val="auto"/>
                <w:kern w:val="2"/>
                <w:szCs w:val="21"/>
                <w:highlight w:val="none"/>
              </w:rPr>
              <w:t>。</w:t>
            </w:r>
            <w:r>
              <w:rPr>
                <w:rFonts w:hint="eastAsia" w:ascii="宋体" w:hAnsi="宋体"/>
                <w:color w:val="auto"/>
                <w:kern w:val="2"/>
                <w:szCs w:val="21"/>
                <w:highlight w:val="none"/>
                <w:lang w:eastAsia="zh-CN"/>
              </w:rPr>
              <w:t>无花针、无缝纫打褶和错档。缝迹直向拉伸不脱不散。</w:t>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优得</w:t>
            </w:r>
            <w:r>
              <w:rPr>
                <w:rFonts w:hint="eastAsia" w:ascii="宋体" w:hAnsi="宋体"/>
                <w:color w:val="auto"/>
                <w:szCs w:val="21"/>
                <w:highlight w:val="none"/>
                <w:lang w:val="en-US" w:eastAsia="zh-CN"/>
              </w:rPr>
              <w:t>4-3分；良得2-1分；一般得0.5分；</w:t>
            </w:r>
            <w:r>
              <w:rPr>
                <w:rStyle w:val="53"/>
                <w:color w:val="auto"/>
                <w:highlight w:val="none"/>
                <w:lang w:val="en-US" w:eastAsia="zh-CN" w:bidi="ar"/>
              </w:rPr>
              <w:t>其他不得分。</w:t>
            </w:r>
          </w:p>
        </w:tc>
        <w:tc>
          <w:tcPr>
            <w:tcW w:w="1385" w:type="dxa"/>
            <w:tcBorders>
              <w:top w:val="single" w:color="auto" w:sz="4" w:space="0"/>
              <w:left w:val="single" w:color="auto" w:sz="4" w:space="0"/>
              <w:right w:val="single" w:color="auto" w:sz="4" w:space="0"/>
            </w:tcBorders>
            <w:noWrap w:val="0"/>
            <w:vAlign w:val="center"/>
          </w:tcPr>
          <w:p>
            <w:pPr>
              <w:spacing w:line="360" w:lineRule="auto"/>
              <w:ind w:firstLine="210" w:firstLineChars="100"/>
              <w:rPr>
                <w:rFonts w:hint="eastAsia"/>
                <w:color w:val="auto"/>
                <w:highlight w:val="none"/>
                <w:lang w:val="en-US" w:eastAsia="zh-CN"/>
              </w:rPr>
            </w:pPr>
            <w:r>
              <w:rPr>
                <w:rFonts w:hint="eastAsia"/>
                <w:color w:val="auto"/>
                <w:highlight w:val="none"/>
                <w:lang w:val="en-US" w:eastAsia="zh-CN"/>
              </w:rPr>
              <w:t>丝袜</w:t>
            </w:r>
          </w:p>
          <w:p>
            <w:pPr>
              <w:pStyle w:val="20"/>
              <w:rPr>
                <w:rFonts w:hint="eastAsia"/>
                <w:color w:val="auto"/>
                <w:kern w:val="2"/>
                <w:sz w:val="21"/>
                <w:szCs w:val="24"/>
                <w:highlight w:val="none"/>
                <w:lang w:val="en-US" w:eastAsia="zh-CN" w:bidi="ar-SA"/>
              </w:rPr>
            </w:pPr>
            <w:r>
              <w:rPr>
                <w:rFonts w:hint="eastAsia"/>
                <w:color w:val="auto"/>
                <w:highlight w:val="none"/>
                <w:lang w:val="en-US" w:eastAsia="zh-CN"/>
              </w:rPr>
              <w:t>（4分）</w:t>
            </w:r>
          </w:p>
        </w:tc>
        <w:tc>
          <w:tcPr>
            <w:tcW w:w="855" w:type="dxa"/>
            <w:vMerge w:val="continue"/>
            <w:tcBorders>
              <w:left w:val="single" w:color="auto" w:sz="4" w:space="0"/>
            </w:tcBorders>
            <w:noWrap w:val="0"/>
            <w:vAlign w:val="center"/>
          </w:tcPr>
          <w:p>
            <w:pPr>
              <w:spacing w:line="360" w:lineRule="auto"/>
              <w:rPr>
                <w:rFonts w:hint="eastAsia" w:ascii="宋体" w:hAnsi="宋体"/>
                <w:color w:val="auto"/>
                <w:szCs w:val="21"/>
                <w:highlight w:val="none"/>
                <w:lang w:eastAsia="zh-CN"/>
              </w:rPr>
            </w:pPr>
          </w:p>
        </w:tc>
        <w:tc>
          <w:tcPr>
            <w:tcW w:w="1226" w:type="dxa"/>
            <w:vMerge w:val="continue"/>
            <w:tcBorders>
              <w:left w:val="single" w:color="auto" w:sz="4" w:space="0"/>
              <w:bottom w:val="single" w:color="auto" w:sz="4" w:space="0"/>
            </w:tcBorders>
            <w:noWrap w:val="0"/>
            <w:vAlign w:val="center"/>
          </w:tcPr>
          <w:p>
            <w:pPr>
              <w:spacing w:line="360" w:lineRule="auto"/>
              <w:rPr>
                <w:rFonts w:hint="eastAsia" w:ascii="宋体" w:hAnsi="宋体"/>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34" w:hRule="atLeast"/>
          <w:jc w:val="center"/>
        </w:trPr>
        <w:tc>
          <w:tcPr>
            <w:tcW w:w="662" w:type="dxa"/>
            <w:vMerge w:val="continue"/>
            <w:tcBorders>
              <w:right w:val="single" w:color="auto" w:sz="4" w:space="0"/>
            </w:tcBorders>
            <w:noWrap w:val="0"/>
            <w:vAlign w:val="top"/>
          </w:tcPr>
          <w:p>
            <w:pPr>
              <w:spacing w:line="360" w:lineRule="auto"/>
              <w:rPr>
                <w:color w:val="auto"/>
                <w:highlight w:val="none"/>
              </w:rPr>
            </w:pPr>
          </w:p>
        </w:tc>
        <w:tc>
          <w:tcPr>
            <w:tcW w:w="1975" w:type="dxa"/>
            <w:vMerge w:val="continue"/>
            <w:tcBorders>
              <w:left w:val="single" w:color="auto" w:sz="4" w:space="0"/>
              <w:right w:val="single" w:color="auto" w:sz="4" w:space="0"/>
            </w:tcBorders>
            <w:noWrap w:val="0"/>
            <w:vAlign w:val="center"/>
          </w:tcPr>
          <w:p>
            <w:pPr>
              <w:spacing w:line="360" w:lineRule="auto"/>
              <w:rPr>
                <w:color w:val="auto"/>
                <w:highlight w:val="none"/>
              </w:rPr>
            </w:pPr>
          </w:p>
        </w:tc>
        <w:tc>
          <w:tcPr>
            <w:tcW w:w="3670" w:type="dxa"/>
            <w:vMerge w:val="continue"/>
            <w:tcBorders>
              <w:top w:val="single" w:color="auto" w:sz="4" w:space="0"/>
              <w:left w:val="single" w:color="auto" w:sz="4" w:space="0"/>
              <w:right w:val="single" w:color="auto" w:sz="4" w:space="0"/>
            </w:tcBorders>
            <w:noWrap w:val="0"/>
            <w:vAlign w:val="center"/>
          </w:tcPr>
          <w:p>
            <w:pPr>
              <w:spacing w:line="360" w:lineRule="auto"/>
              <w:rPr>
                <w:color w:val="auto"/>
                <w:highlight w:val="none"/>
              </w:rPr>
            </w:pPr>
          </w:p>
        </w:tc>
        <w:tc>
          <w:tcPr>
            <w:tcW w:w="1385" w:type="dxa"/>
            <w:tcBorders>
              <w:top w:val="single" w:color="auto" w:sz="4" w:space="0"/>
              <w:left w:val="single" w:color="auto" w:sz="4" w:space="0"/>
              <w:right w:val="single" w:color="auto" w:sz="4" w:space="0"/>
            </w:tcBorders>
            <w:noWrap w:val="0"/>
            <w:vAlign w:val="center"/>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加厚裤袜</w:t>
            </w:r>
          </w:p>
          <w:p>
            <w:pPr>
              <w:spacing w:line="360" w:lineRule="auto"/>
              <w:rPr>
                <w:rFonts w:hint="eastAsia" w:ascii="宋体" w:hAnsi="宋体"/>
                <w:color w:val="auto"/>
                <w:kern w:val="2"/>
                <w:sz w:val="21"/>
                <w:szCs w:val="21"/>
                <w:highlight w:val="none"/>
                <w:lang w:val="en-US" w:eastAsia="zh-CN" w:bidi="ar-SA"/>
              </w:rPr>
            </w:pPr>
            <w:r>
              <w:rPr>
                <w:rFonts w:hint="eastAsia" w:ascii="宋体" w:hAnsi="宋体"/>
                <w:color w:val="auto"/>
                <w:szCs w:val="21"/>
                <w:highlight w:val="none"/>
                <w:lang w:val="en-US" w:eastAsia="zh-CN"/>
              </w:rPr>
              <w:t>（</w:t>
            </w:r>
            <w:r>
              <w:rPr>
                <w:rFonts w:hint="eastAsia"/>
                <w:color w:val="auto"/>
                <w:highlight w:val="none"/>
                <w:lang w:val="en-US" w:eastAsia="zh-CN"/>
              </w:rPr>
              <w:t>4</w:t>
            </w:r>
            <w:r>
              <w:rPr>
                <w:rFonts w:hint="eastAsia" w:ascii="宋体" w:hAnsi="宋体"/>
                <w:color w:val="auto"/>
                <w:szCs w:val="21"/>
                <w:highlight w:val="none"/>
                <w:lang w:val="en-US" w:eastAsia="zh-CN"/>
              </w:rPr>
              <w:t>分）</w:t>
            </w:r>
          </w:p>
        </w:tc>
        <w:tc>
          <w:tcPr>
            <w:tcW w:w="855" w:type="dxa"/>
            <w:vMerge w:val="continue"/>
            <w:tcBorders>
              <w:left w:val="single" w:color="auto" w:sz="4" w:space="0"/>
            </w:tcBorders>
            <w:noWrap w:val="0"/>
            <w:vAlign w:val="center"/>
          </w:tcPr>
          <w:p>
            <w:pPr>
              <w:spacing w:line="360" w:lineRule="auto"/>
              <w:rPr>
                <w:rFonts w:hint="eastAsia" w:ascii="宋体" w:hAnsi="宋体"/>
                <w:color w:val="auto"/>
                <w:szCs w:val="21"/>
                <w:highlight w:val="none"/>
                <w:lang w:eastAsia="zh-CN"/>
              </w:rPr>
            </w:pPr>
          </w:p>
        </w:tc>
        <w:tc>
          <w:tcPr>
            <w:tcW w:w="1226" w:type="dxa"/>
            <w:vMerge w:val="continue"/>
            <w:tcBorders>
              <w:left w:val="single" w:color="auto" w:sz="4" w:space="0"/>
              <w:bottom w:val="single" w:color="auto" w:sz="4" w:space="0"/>
            </w:tcBorders>
            <w:noWrap w:val="0"/>
            <w:vAlign w:val="center"/>
          </w:tcPr>
          <w:p>
            <w:pPr>
              <w:spacing w:line="360" w:lineRule="auto"/>
              <w:rPr>
                <w:rFonts w:hint="eastAsia" w:ascii="宋体" w:hAnsi="宋体"/>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7" w:hRule="atLeast"/>
          <w:jc w:val="center"/>
        </w:trPr>
        <w:tc>
          <w:tcPr>
            <w:tcW w:w="662" w:type="dxa"/>
            <w:vMerge w:val="restart"/>
            <w:tcBorders>
              <w:top w:val="single" w:color="auto" w:sz="4" w:space="0"/>
              <w:right w:val="single" w:color="auto" w:sz="4" w:space="0"/>
            </w:tcBorders>
            <w:noWrap w:val="0"/>
            <w:vAlign w:val="top"/>
          </w:tcPr>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eastAsia" w:ascii="宋体" w:hAnsi="宋体" w:eastAsia="宋体" w:cs="宋体"/>
                <w:b/>
                <w:color w:val="auto"/>
                <w:sz w:val="21"/>
                <w:szCs w:val="21"/>
                <w:highlight w:val="none"/>
                <w:lang w:val="en-US" w:eastAsia="zh-CN"/>
              </w:rPr>
            </w:pPr>
          </w:p>
          <w:p>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w:t>
            </w:r>
          </w:p>
        </w:tc>
        <w:tc>
          <w:tcPr>
            <w:tcW w:w="1975" w:type="dxa"/>
            <w:vMerge w:val="restart"/>
            <w:tcBorders>
              <w:top w:val="single" w:color="auto" w:sz="4" w:space="0"/>
              <w:left w:val="single" w:color="auto" w:sz="4" w:space="0"/>
              <w:right w:val="single" w:color="auto" w:sz="4" w:space="0"/>
            </w:tcBorders>
            <w:noWrap w:val="0"/>
            <w:vAlign w:val="center"/>
          </w:tcPr>
          <w:p>
            <w:pPr>
              <w:jc w:val="center"/>
              <w:rPr>
                <w:rFonts w:hint="eastAsia" w:ascii="宋体" w:hAnsi="宋体" w:eastAsia="宋体"/>
                <w:b w:val="0"/>
                <w:bCs/>
                <w:color w:val="auto"/>
                <w:kern w:val="2"/>
                <w:szCs w:val="21"/>
                <w:highlight w:val="none"/>
                <w:lang w:val="en-US" w:eastAsia="zh-CN"/>
              </w:rPr>
            </w:pPr>
            <w:r>
              <w:rPr>
                <w:rFonts w:hint="eastAsia" w:ascii="宋体" w:hAnsi="宋体"/>
                <w:b w:val="0"/>
                <w:bCs/>
                <w:color w:val="auto"/>
                <w:szCs w:val="21"/>
                <w:highlight w:val="none"/>
                <w:lang w:val="en-US" w:eastAsia="zh-CN"/>
              </w:rPr>
              <w:t>尺寸</w:t>
            </w:r>
          </w:p>
        </w:tc>
        <w:tc>
          <w:tcPr>
            <w:tcW w:w="3670" w:type="dxa"/>
            <w:vMerge w:val="restart"/>
            <w:tcBorders>
              <w:top w:val="single" w:color="auto" w:sz="4" w:space="0"/>
              <w:left w:val="single" w:color="auto" w:sz="4" w:space="0"/>
              <w:right w:val="single" w:color="auto" w:sz="4" w:space="0"/>
            </w:tcBorders>
            <w:noWrap w:val="0"/>
            <w:vAlign w:val="center"/>
          </w:tcPr>
          <w:p>
            <w:pPr>
              <w:spacing w:line="360" w:lineRule="auto"/>
              <w:rPr>
                <w:rFonts w:hint="eastAsia" w:ascii="宋体" w:hAnsi="宋体"/>
                <w:b/>
                <w:bCs w:val="0"/>
                <w:color w:val="auto"/>
                <w:szCs w:val="21"/>
                <w:highlight w:val="none"/>
              </w:rPr>
            </w:pPr>
            <w:r>
              <w:rPr>
                <w:rFonts w:hint="eastAsia" w:ascii="宋体" w:hAnsi="宋体"/>
                <w:b/>
                <w:bCs w:val="0"/>
                <w:color w:val="auto"/>
                <w:kern w:val="2"/>
                <w:szCs w:val="21"/>
                <w:highlight w:val="none"/>
                <w:lang w:val="en-US" w:eastAsia="zh-CN"/>
              </w:rPr>
              <w:t>根据投标人提供</w:t>
            </w:r>
            <w:r>
              <w:rPr>
                <w:rFonts w:hint="eastAsia" w:ascii="宋体" w:hAnsi="宋体"/>
                <w:b/>
                <w:bCs w:val="0"/>
                <w:color w:val="auto"/>
                <w:sz w:val="21"/>
                <w:szCs w:val="21"/>
                <w:highlight w:val="none"/>
              </w:rPr>
              <w:t>样品</w:t>
            </w:r>
            <w:r>
              <w:rPr>
                <w:rFonts w:hint="eastAsia" w:ascii="宋体" w:hAnsi="宋体"/>
                <w:b/>
                <w:bCs w:val="0"/>
                <w:color w:val="auto"/>
                <w:sz w:val="21"/>
                <w:szCs w:val="21"/>
                <w:highlight w:val="none"/>
                <w:lang w:eastAsia="zh-CN"/>
              </w:rPr>
              <w:t>对比评分。</w:t>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总长度、腰口宽、臀部宽、裆宽尺寸均符合质量要求</w:t>
            </w:r>
          </w:p>
          <w:p>
            <w:pPr>
              <w:spacing w:line="360" w:lineRule="auto"/>
              <w:rPr>
                <w:rFonts w:hint="eastAsia" w:ascii="宋体" w:hAnsi="宋体"/>
                <w:color w:val="auto"/>
                <w:szCs w:val="21"/>
                <w:highlight w:val="none"/>
              </w:rPr>
            </w:pPr>
            <w:r>
              <w:rPr>
                <w:rFonts w:hint="eastAsia" w:ascii="宋体" w:hAnsi="宋体" w:eastAsia="宋体" w:cs="宋体"/>
                <w:i w:val="0"/>
                <w:color w:val="auto"/>
                <w:kern w:val="0"/>
                <w:sz w:val="21"/>
                <w:szCs w:val="21"/>
                <w:highlight w:val="none"/>
                <w:u w:val="none"/>
                <w:lang w:val="en-US" w:eastAsia="zh-CN" w:bidi="ar"/>
              </w:rPr>
              <w:t>按照用户需求样品尺寸（允许公差：符合国家相关标准），符合得1</w:t>
            </w:r>
            <w:r>
              <w:rPr>
                <w:rStyle w:val="53"/>
                <w:color w:val="auto"/>
                <w:highlight w:val="none"/>
                <w:lang w:val="en-US" w:eastAsia="zh-CN" w:bidi="ar"/>
              </w:rPr>
              <w:t>分，不符合的不得分</w:t>
            </w:r>
          </w:p>
        </w:tc>
        <w:tc>
          <w:tcPr>
            <w:tcW w:w="1385" w:type="dxa"/>
            <w:tcBorders>
              <w:top w:val="single" w:color="auto" w:sz="4" w:space="0"/>
              <w:left w:val="single" w:color="auto" w:sz="4" w:space="0"/>
              <w:bottom w:val="single" w:color="auto" w:sz="4" w:space="0"/>
              <w:right w:val="single" w:color="auto" w:sz="4" w:space="0"/>
            </w:tcBorders>
            <w:noWrap w:val="0"/>
            <w:vAlign w:val="center"/>
          </w:tcPr>
          <w:p>
            <w:pPr>
              <w:spacing w:line="360" w:lineRule="auto"/>
              <w:ind w:firstLine="210" w:firstLineChars="100"/>
              <w:rPr>
                <w:rFonts w:hint="eastAsia"/>
                <w:color w:val="auto"/>
                <w:highlight w:val="none"/>
                <w:lang w:val="en-US" w:eastAsia="zh-CN"/>
              </w:rPr>
            </w:pPr>
            <w:r>
              <w:rPr>
                <w:rFonts w:hint="eastAsia"/>
                <w:color w:val="auto"/>
                <w:highlight w:val="none"/>
                <w:lang w:val="en-US" w:eastAsia="zh-CN"/>
              </w:rPr>
              <w:t>丝袜</w:t>
            </w:r>
          </w:p>
          <w:p>
            <w:pPr>
              <w:pStyle w:val="20"/>
              <w:rPr>
                <w:rFonts w:hint="eastAsia"/>
                <w:color w:val="auto"/>
                <w:kern w:val="2"/>
                <w:sz w:val="21"/>
                <w:szCs w:val="24"/>
                <w:highlight w:val="none"/>
                <w:lang w:val="en-US" w:eastAsia="zh-CN" w:bidi="ar-SA"/>
              </w:rPr>
            </w:pPr>
            <w:r>
              <w:rPr>
                <w:rFonts w:hint="eastAsia"/>
                <w:color w:val="auto"/>
                <w:highlight w:val="none"/>
                <w:lang w:val="en-US" w:eastAsia="zh-CN"/>
              </w:rPr>
              <w:t>（1分）</w:t>
            </w:r>
          </w:p>
        </w:tc>
        <w:tc>
          <w:tcPr>
            <w:tcW w:w="855" w:type="dxa"/>
            <w:vMerge w:val="restart"/>
            <w:tcBorders>
              <w:top w:val="single" w:color="auto" w:sz="4" w:space="0"/>
              <w:left w:val="single" w:color="auto" w:sz="4" w:space="0"/>
            </w:tcBorders>
            <w:noWrap w:val="0"/>
            <w:vAlign w:val="center"/>
          </w:tcPr>
          <w:p>
            <w:pPr>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1226" w:type="dxa"/>
            <w:vMerge w:val="restart"/>
            <w:tcBorders>
              <w:top w:val="single" w:color="auto" w:sz="4" w:space="0"/>
              <w:left w:val="single" w:color="auto" w:sz="4" w:space="0"/>
            </w:tcBorders>
            <w:noWrap w:val="0"/>
            <w:vAlign w:val="center"/>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客</w:t>
            </w:r>
            <w:r>
              <w:rPr>
                <w:rFonts w:hint="eastAsia" w:ascii="宋体" w:hAnsi="宋体" w:eastAsia="宋体" w:cs="宋体"/>
                <w:color w:val="auto"/>
                <w:sz w:val="21"/>
                <w:szCs w:val="21"/>
                <w:highlight w:val="none"/>
                <w:lang w:eastAsia="zh-CN"/>
              </w:rPr>
              <w:t>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7" w:hRule="atLeast"/>
          <w:jc w:val="center"/>
        </w:trPr>
        <w:tc>
          <w:tcPr>
            <w:tcW w:w="662" w:type="dxa"/>
            <w:vMerge w:val="continue"/>
            <w:tcBorders>
              <w:top w:val="single" w:color="auto" w:sz="4" w:space="0"/>
              <w:bottom w:val="single" w:color="auto" w:sz="4" w:space="0"/>
              <w:right w:val="single" w:color="auto" w:sz="4" w:space="0"/>
            </w:tcBorders>
            <w:noWrap w:val="0"/>
            <w:vAlign w:val="top"/>
          </w:tcPr>
          <w:p>
            <w:pPr>
              <w:spacing w:line="360" w:lineRule="auto"/>
              <w:rPr>
                <w:color w:val="auto"/>
                <w:highlight w:val="none"/>
              </w:rPr>
            </w:pPr>
          </w:p>
        </w:tc>
        <w:tc>
          <w:tcPr>
            <w:tcW w:w="197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60" w:lineRule="auto"/>
              <w:rPr>
                <w:color w:val="auto"/>
                <w:highlight w:val="none"/>
              </w:rPr>
            </w:pPr>
          </w:p>
        </w:tc>
        <w:tc>
          <w:tcPr>
            <w:tcW w:w="367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60" w:lineRule="auto"/>
              <w:rPr>
                <w:color w:val="auto"/>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加厚裤袜</w:t>
            </w:r>
          </w:p>
          <w:p>
            <w:pPr>
              <w:spacing w:line="360" w:lineRule="auto"/>
              <w:rPr>
                <w:rFonts w:hint="eastAsia" w:ascii="宋体" w:hAnsi="宋体"/>
                <w:color w:val="auto"/>
                <w:kern w:val="2"/>
                <w:sz w:val="21"/>
                <w:szCs w:val="21"/>
                <w:highlight w:val="none"/>
                <w:lang w:val="en-US" w:eastAsia="zh-CN" w:bidi="ar-SA"/>
              </w:rPr>
            </w:pPr>
            <w:r>
              <w:rPr>
                <w:rFonts w:hint="eastAsia" w:ascii="宋体" w:hAnsi="宋体"/>
                <w:color w:val="auto"/>
                <w:szCs w:val="21"/>
                <w:highlight w:val="none"/>
                <w:lang w:val="en-US" w:eastAsia="zh-CN"/>
              </w:rPr>
              <w:t>（1分）</w:t>
            </w:r>
          </w:p>
        </w:tc>
        <w:tc>
          <w:tcPr>
            <w:tcW w:w="855" w:type="dxa"/>
            <w:vMerge w:val="continue"/>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color w:val="auto"/>
                <w:szCs w:val="21"/>
                <w:highlight w:val="none"/>
                <w:lang w:eastAsia="zh-CN"/>
              </w:rPr>
            </w:pPr>
          </w:p>
        </w:tc>
        <w:tc>
          <w:tcPr>
            <w:tcW w:w="1226" w:type="dxa"/>
            <w:vMerge w:val="continue"/>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jc w:val="center"/>
        </w:trPr>
        <w:tc>
          <w:tcPr>
            <w:tcW w:w="662" w:type="dxa"/>
            <w:vMerge w:val="restart"/>
            <w:tcBorders>
              <w:top w:val="single" w:color="auto" w:sz="4" w:space="0"/>
              <w:right w:val="single" w:color="auto" w:sz="4" w:space="0"/>
            </w:tcBorders>
            <w:noWrap w:val="0"/>
            <w:vAlign w:val="top"/>
          </w:tcPr>
          <w:p>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w:t>
            </w:r>
          </w:p>
        </w:tc>
        <w:tc>
          <w:tcPr>
            <w:tcW w:w="1975" w:type="dxa"/>
            <w:vMerge w:val="restart"/>
            <w:tcBorders>
              <w:top w:val="single" w:color="auto" w:sz="4" w:space="0"/>
              <w:left w:val="single" w:color="auto" w:sz="4" w:space="0"/>
              <w:right w:val="single" w:color="auto" w:sz="4" w:space="0"/>
            </w:tcBorders>
            <w:noWrap w:val="0"/>
            <w:vAlign w:val="center"/>
          </w:tcPr>
          <w:p>
            <w:pPr>
              <w:jc w:val="center"/>
              <w:rPr>
                <w:rFonts w:hint="default" w:ascii="宋体" w:hAnsi="宋体" w:eastAsia="宋体"/>
                <w:b w:val="0"/>
                <w:bCs/>
                <w:color w:val="auto"/>
                <w:szCs w:val="21"/>
                <w:highlight w:val="none"/>
                <w:lang w:val="en-US" w:eastAsia="zh-CN"/>
              </w:rPr>
            </w:pPr>
            <w:r>
              <w:rPr>
                <w:rFonts w:hint="eastAsia" w:ascii="宋体" w:hAnsi="宋体"/>
                <w:b w:val="0"/>
                <w:bCs/>
                <w:color w:val="auto"/>
                <w:szCs w:val="21"/>
                <w:highlight w:val="none"/>
                <w:lang w:val="en-US" w:eastAsia="zh-CN"/>
              </w:rPr>
              <w:t>与原样对比（颜色、款式）</w:t>
            </w:r>
          </w:p>
        </w:tc>
        <w:tc>
          <w:tcPr>
            <w:tcW w:w="3670" w:type="dxa"/>
            <w:vMerge w:val="restart"/>
            <w:tcBorders>
              <w:top w:val="single" w:color="auto" w:sz="4" w:space="0"/>
              <w:left w:val="single" w:color="auto" w:sz="4" w:space="0"/>
              <w:right w:val="single" w:color="auto" w:sz="4" w:space="0"/>
            </w:tcBorders>
            <w:noWrap w:val="0"/>
            <w:vAlign w:val="center"/>
          </w:tcPr>
          <w:p>
            <w:pPr>
              <w:spacing w:line="360" w:lineRule="auto"/>
              <w:rPr>
                <w:rFonts w:hint="default" w:ascii="宋体" w:hAnsi="宋体"/>
                <w:color w:val="auto"/>
                <w:szCs w:val="21"/>
                <w:highlight w:val="none"/>
                <w:lang w:val="en-US" w:eastAsia="zh-CN"/>
              </w:rPr>
            </w:pPr>
            <w:r>
              <w:rPr>
                <w:rFonts w:hint="eastAsia" w:ascii="宋体" w:hAnsi="宋体" w:eastAsia="宋体" w:cs="宋体"/>
                <w:i w:val="0"/>
                <w:color w:val="auto"/>
                <w:kern w:val="0"/>
                <w:sz w:val="21"/>
                <w:szCs w:val="21"/>
                <w:highlight w:val="none"/>
                <w:u w:val="none"/>
                <w:lang w:val="en-US" w:eastAsia="zh-CN" w:bidi="ar"/>
              </w:rPr>
              <w:t>与</w:t>
            </w:r>
            <w:r>
              <w:rPr>
                <w:rStyle w:val="53"/>
                <w:color w:val="auto"/>
                <w:highlight w:val="none"/>
                <w:lang w:val="en-US" w:eastAsia="zh-CN" w:bidi="ar"/>
              </w:rPr>
              <w:t>招标样板对比，优得2</w:t>
            </w:r>
            <w:r>
              <w:rPr>
                <w:rStyle w:val="53"/>
                <w:rFonts w:hint="eastAsia"/>
                <w:color w:val="auto"/>
                <w:highlight w:val="none"/>
                <w:lang w:val="en-US" w:eastAsia="zh-CN" w:bidi="ar"/>
              </w:rPr>
              <w:t>.5</w:t>
            </w:r>
            <w:r>
              <w:rPr>
                <w:rStyle w:val="53"/>
                <w:color w:val="auto"/>
                <w:highlight w:val="none"/>
                <w:lang w:val="en-US" w:eastAsia="zh-CN" w:bidi="ar"/>
              </w:rPr>
              <w:t>分；良得1</w:t>
            </w:r>
            <w:r>
              <w:rPr>
                <w:rStyle w:val="53"/>
                <w:rFonts w:hint="eastAsia"/>
                <w:color w:val="auto"/>
                <w:highlight w:val="none"/>
                <w:lang w:val="en-US" w:eastAsia="zh-CN" w:bidi="ar"/>
              </w:rPr>
              <w:t>.5</w:t>
            </w:r>
            <w:r>
              <w:rPr>
                <w:rStyle w:val="53"/>
                <w:color w:val="auto"/>
                <w:highlight w:val="none"/>
                <w:lang w:val="en-US" w:eastAsia="zh-CN" w:bidi="ar"/>
              </w:rPr>
              <w:t>分；</w:t>
            </w:r>
            <w:r>
              <w:rPr>
                <w:rStyle w:val="53"/>
                <w:rFonts w:hint="eastAsia"/>
                <w:color w:val="auto"/>
                <w:highlight w:val="none"/>
                <w:lang w:val="en-US" w:eastAsia="zh-CN" w:bidi="ar"/>
              </w:rPr>
              <w:t>其他不得分.</w:t>
            </w:r>
          </w:p>
        </w:tc>
        <w:tc>
          <w:tcPr>
            <w:tcW w:w="1385" w:type="dxa"/>
            <w:tcBorders>
              <w:top w:val="single" w:color="auto" w:sz="4" w:space="0"/>
              <w:left w:val="single" w:color="auto" w:sz="4" w:space="0"/>
              <w:right w:val="single" w:color="auto" w:sz="4" w:space="0"/>
            </w:tcBorders>
            <w:noWrap w:val="0"/>
            <w:vAlign w:val="center"/>
          </w:tcPr>
          <w:p>
            <w:pPr>
              <w:spacing w:line="360" w:lineRule="auto"/>
              <w:ind w:firstLine="210" w:firstLineChars="100"/>
              <w:rPr>
                <w:rFonts w:hint="eastAsia"/>
                <w:color w:val="auto"/>
                <w:highlight w:val="none"/>
                <w:lang w:val="en-US" w:eastAsia="zh-CN"/>
              </w:rPr>
            </w:pPr>
            <w:r>
              <w:rPr>
                <w:rFonts w:hint="eastAsia"/>
                <w:color w:val="auto"/>
                <w:highlight w:val="none"/>
                <w:lang w:val="en-US" w:eastAsia="zh-CN"/>
              </w:rPr>
              <w:t>丝袜</w:t>
            </w:r>
          </w:p>
          <w:p>
            <w:pPr>
              <w:pStyle w:val="20"/>
              <w:rPr>
                <w:rFonts w:hint="eastAsia"/>
                <w:color w:val="auto"/>
                <w:kern w:val="2"/>
                <w:sz w:val="21"/>
                <w:szCs w:val="24"/>
                <w:highlight w:val="none"/>
                <w:lang w:val="en-US" w:eastAsia="zh-CN" w:bidi="ar-SA"/>
              </w:rPr>
            </w:pPr>
            <w:r>
              <w:rPr>
                <w:rFonts w:hint="eastAsia"/>
                <w:color w:val="auto"/>
                <w:highlight w:val="none"/>
                <w:lang w:val="en-US" w:eastAsia="zh-CN"/>
              </w:rPr>
              <w:t>（2.5分）</w:t>
            </w:r>
          </w:p>
        </w:tc>
        <w:tc>
          <w:tcPr>
            <w:tcW w:w="855" w:type="dxa"/>
            <w:vMerge w:val="restart"/>
            <w:tcBorders>
              <w:top w:val="single" w:color="auto" w:sz="4" w:space="0"/>
              <w:left w:val="single" w:color="auto" w:sz="4" w:space="0"/>
            </w:tcBorders>
            <w:noWrap w:val="0"/>
            <w:vAlign w:val="center"/>
          </w:tcPr>
          <w:p>
            <w:pPr>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p>
        </w:tc>
        <w:tc>
          <w:tcPr>
            <w:tcW w:w="1226" w:type="dxa"/>
            <w:vMerge w:val="restart"/>
            <w:tcBorders>
              <w:top w:val="single" w:color="auto" w:sz="4" w:space="0"/>
              <w:left w:val="single" w:color="auto" w:sz="4" w:space="0"/>
            </w:tcBorders>
            <w:noWrap w:val="0"/>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jc w:val="center"/>
        </w:trPr>
        <w:tc>
          <w:tcPr>
            <w:tcW w:w="662" w:type="dxa"/>
            <w:vMerge w:val="continue"/>
            <w:tcBorders>
              <w:top w:val="single" w:color="auto" w:sz="4" w:space="0"/>
              <w:right w:val="single" w:color="auto" w:sz="4" w:space="0"/>
            </w:tcBorders>
            <w:noWrap w:val="0"/>
            <w:vAlign w:val="top"/>
          </w:tcPr>
          <w:p>
            <w:pPr>
              <w:spacing w:line="360" w:lineRule="auto"/>
              <w:rPr>
                <w:color w:val="auto"/>
                <w:highlight w:val="none"/>
              </w:rPr>
            </w:pPr>
          </w:p>
        </w:tc>
        <w:tc>
          <w:tcPr>
            <w:tcW w:w="1975" w:type="dxa"/>
            <w:vMerge w:val="continue"/>
            <w:tcBorders>
              <w:top w:val="single" w:color="auto" w:sz="4" w:space="0"/>
              <w:left w:val="single" w:color="auto" w:sz="4" w:space="0"/>
              <w:right w:val="single" w:color="auto" w:sz="4" w:space="0"/>
            </w:tcBorders>
            <w:noWrap w:val="0"/>
            <w:vAlign w:val="center"/>
          </w:tcPr>
          <w:p>
            <w:pPr>
              <w:spacing w:line="360" w:lineRule="auto"/>
              <w:rPr>
                <w:color w:val="auto"/>
                <w:highlight w:val="none"/>
              </w:rPr>
            </w:pPr>
          </w:p>
        </w:tc>
        <w:tc>
          <w:tcPr>
            <w:tcW w:w="3670" w:type="dxa"/>
            <w:vMerge w:val="continue"/>
            <w:tcBorders>
              <w:top w:val="single" w:color="auto" w:sz="4" w:space="0"/>
              <w:left w:val="single" w:color="auto" w:sz="4" w:space="0"/>
              <w:right w:val="single" w:color="auto" w:sz="4" w:space="0"/>
            </w:tcBorders>
            <w:noWrap w:val="0"/>
            <w:vAlign w:val="center"/>
          </w:tcPr>
          <w:p>
            <w:pPr>
              <w:spacing w:line="360" w:lineRule="auto"/>
              <w:rPr>
                <w:color w:val="auto"/>
                <w:highlight w:val="none"/>
              </w:rPr>
            </w:pPr>
          </w:p>
        </w:tc>
        <w:tc>
          <w:tcPr>
            <w:tcW w:w="1385" w:type="dxa"/>
            <w:tcBorders>
              <w:top w:val="single" w:color="auto" w:sz="4" w:space="0"/>
              <w:left w:val="single" w:color="auto" w:sz="4" w:space="0"/>
              <w:right w:val="single" w:color="auto" w:sz="4" w:space="0"/>
            </w:tcBorders>
            <w:noWrap w:val="0"/>
            <w:vAlign w:val="center"/>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加厚裤袜</w:t>
            </w:r>
          </w:p>
          <w:p>
            <w:pPr>
              <w:spacing w:line="360" w:lineRule="auto"/>
              <w:ind w:firstLine="0" w:firstLineChars="0"/>
              <w:rPr>
                <w:rFonts w:hint="eastAsia" w:ascii="宋体" w:hAnsi="宋体"/>
                <w:color w:val="auto"/>
                <w:kern w:val="2"/>
                <w:sz w:val="21"/>
                <w:szCs w:val="21"/>
                <w:highlight w:val="none"/>
                <w:lang w:val="en-US" w:eastAsia="zh-CN" w:bidi="ar-SA"/>
              </w:rPr>
            </w:pPr>
            <w:r>
              <w:rPr>
                <w:rFonts w:hint="eastAsia" w:ascii="宋体" w:hAnsi="宋体"/>
                <w:color w:val="auto"/>
                <w:szCs w:val="21"/>
                <w:highlight w:val="none"/>
                <w:lang w:val="en-US" w:eastAsia="zh-CN"/>
              </w:rPr>
              <w:t>（2.5分）</w:t>
            </w:r>
          </w:p>
        </w:tc>
        <w:tc>
          <w:tcPr>
            <w:tcW w:w="855" w:type="dxa"/>
            <w:vMerge w:val="continue"/>
            <w:tcBorders>
              <w:top w:val="single" w:color="auto" w:sz="4" w:space="0"/>
              <w:left w:val="single" w:color="auto" w:sz="4" w:space="0"/>
            </w:tcBorders>
            <w:noWrap w:val="0"/>
            <w:vAlign w:val="center"/>
          </w:tcPr>
          <w:p>
            <w:pPr>
              <w:spacing w:line="360" w:lineRule="auto"/>
              <w:rPr>
                <w:rFonts w:hint="eastAsia" w:ascii="宋体" w:hAnsi="宋体" w:eastAsia="宋体" w:cs="宋体"/>
                <w:i w:val="0"/>
                <w:color w:val="auto"/>
                <w:kern w:val="0"/>
                <w:sz w:val="21"/>
                <w:szCs w:val="21"/>
                <w:highlight w:val="none"/>
                <w:u w:val="none"/>
                <w:lang w:val="en-US" w:eastAsia="zh-CN" w:bidi="ar"/>
              </w:rPr>
            </w:pPr>
          </w:p>
        </w:tc>
        <w:tc>
          <w:tcPr>
            <w:tcW w:w="1226" w:type="dxa"/>
            <w:vMerge w:val="continue"/>
            <w:tcBorders>
              <w:top w:val="single" w:color="auto" w:sz="4" w:space="0"/>
              <w:left w:val="single" w:color="auto" w:sz="4" w:space="0"/>
            </w:tcBorders>
            <w:noWrap w:val="0"/>
            <w:vAlign w:val="center"/>
          </w:tcPr>
          <w:p>
            <w:pPr>
              <w:spacing w:line="360" w:lineRule="auto"/>
              <w:rPr>
                <w:rFonts w:hint="eastAsia" w:ascii="宋体" w:hAnsi="宋体" w:eastAsia="宋体" w:cs="宋体"/>
                <w:i w:val="0"/>
                <w:color w:val="auto"/>
                <w:kern w:val="0"/>
                <w:sz w:val="21"/>
                <w:szCs w:val="21"/>
                <w:highlight w:val="none"/>
                <w:u w:val="none"/>
                <w:lang w:val="en-US" w:eastAsia="zh-CN" w:bidi="ar"/>
              </w:rPr>
            </w:pPr>
          </w:p>
        </w:tc>
      </w:tr>
    </w:tbl>
    <w:p>
      <w:pPr>
        <w:spacing w:before="120" w:beforeLines="50" w:after="120" w:afterLines="50" w:line="360" w:lineRule="auto"/>
        <w:jc w:val="both"/>
        <w:rPr>
          <w:rFonts w:hint="eastAsia" w:ascii="宋体" w:hAnsi="宋体" w:cs="宋体"/>
          <w:b/>
          <w:color w:val="auto"/>
          <w:szCs w:val="21"/>
          <w:highlight w:val="none"/>
        </w:rPr>
      </w:pPr>
    </w:p>
    <w:p>
      <w:pPr>
        <w:spacing w:before="120" w:beforeLines="50" w:after="120" w:afterLines="50" w:line="360" w:lineRule="auto"/>
        <w:ind w:firstLine="105" w:firstLineChars="50"/>
        <w:jc w:val="center"/>
        <w:rPr>
          <w:rFonts w:hint="eastAsia" w:ascii="宋体" w:hAnsi="宋体" w:cs="宋体"/>
          <w:b/>
          <w:color w:val="auto"/>
          <w:szCs w:val="21"/>
          <w:highlight w:val="none"/>
        </w:rPr>
      </w:pPr>
    </w:p>
    <w:p>
      <w:pPr>
        <w:spacing w:before="120" w:beforeLines="50" w:after="120" w:afterLines="50" w:line="360" w:lineRule="auto"/>
        <w:ind w:firstLine="105" w:firstLineChars="50"/>
        <w:jc w:val="center"/>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表4  价格评审细则</w:t>
      </w:r>
      <w:r>
        <w:rPr>
          <w:rFonts w:hint="default" w:ascii="宋体" w:hAnsi="宋体" w:cs="宋体"/>
          <w:b/>
          <w:color w:val="auto"/>
          <w:szCs w:val="21"/>
          <w:highlight w:val="none"/>
          <w:lang w:val="en-US"/>
        </w:rPr>
        <w:t xml:space="preserve"> (</w:t>
      </w:r>
      <w:r>
        <w:rPr>
          <w:rFonts w:hint="eastAsia" w:ascii="宋体" w:hAnsi="宋体" w:cs="宋体"/>
          <w:b/>
          <w:color w:val="auto"/>
          <w:szCs w:val="21"/>
          <w:highlight w:val="none"/>
          <w:lang w:val="en-US" w:eastAsia="zh-CN"/>
        </w:rPr>
        <w:t>4</w:t>
      </w:r>
      <w:r>
        <w:rPr>
          <w:rFonts w:hint="default" w:ascii="宋体" w:hAnsi="宋体" w:cs="宋体"/>
          <w:b/>
          <w:color w:val="auto"/>
          <w:szCs w:val="21"/>
          <w:highlight w:val="none"/>
          <w:lang w:val="en-US"/>
        </w:rPr>
        <w:t>0</w:t>
      </w:r>
      <w:r>
        <w:rPr>
          <w:rFonts w:hint="eastAsia" w:ascii="宋体" w:hAnsi="宋体" w:cs="宋体"/>
          <w:b/>
          <w:color w:val="auto"/>
          <w:szCs w:val="21"/>
          <w:highlight w:val="none"/>
          <w:lang w:val="en-US" w:eastAsia="zh-CN"/>
        </w:rPr>
        <w:t>分）</w:t>
      </w:r>
    </w:p>
    <w:p>
      <w:pPr>
        <w:pStyle w:val="11"/>
        <w:spacing w:line="360" w:lineRule="auto"/>
        <w:ind w:left="0" w:leftChars="0" w:firstLine="630" w:firstLineChars="300"/>
        <w:rPr>
          <w:rFonts w:hint="eastAsia" w:ascii="宋体" w:hAnsi="宋体" w:eastAsia="宋体" w:cs="宋体"/>
          <w:color w:val="auto"/>
          <w:sz w:val="21"/>
          <w:szCs w:val="21"/>
          <w:highlight w:val="none"/>
          <w:lang w:val="en-US" w:eastAsia="zh-CN"/>
        </w:rPr>
      </w:pPr>
      <w:bookmarkStart w:id="387" w:name="_Toc7426"/>
      <w:bookmarkStart w:id="388" w:name="_Toc27234"/>
      <w:bookmarkStart w:id="389" w:name="_Toc12300"/>
      <w:bookmarkStart w:id="390" w:name="_Toc6180"/>
      <w:bookmarkStart w:id="391" w:name="_Toc7783"/>
      <w:bookmarkStart w:id="392" w:name="_Toc31263"/>
      <w:r>
        <w:rPr>
          <w:rFonts w:hint="eastAsia" w:ascii="宋体" w:hAnsi="宋体" w:eastAsia="宋体" w:cs="宋体"/>
          <w:color w:val="auto"/>
          <w:sz w:val="21"/>
          <w:szCs w:val="21"/>
          <w:highlight w:val="none"/>
          <w:lang w:val="en-US" w:eastAsia="zh-CN"/>
        </w:rPr>
        <w:t>★商务评审和技术评审两项总分前5家的投标人进入价格评审环节，如出现同分，以技术得分</w:t>
      </w:r>
      <w:r>
        <w:rPr>
          <w:rFonts w:hint="eastAsia" w:ascii="宋体" w:hAnsi="宋体" w:cs="宋体"/>
          <w:color w:val="auto"/>
          <w:sz w:val="21"/>
          <w:szCs w:val="21"/>
          <w:highlight w:val="none"/>
          <w:lang w:val="en-US" w:eastAsia="zh-CN"/>
        </w:rPr>
        <w:t>由</w:t>
      </w:r>
      <w:r>
        <w:rPr>
          <w:rFonts w:hint="eastAsia" w:ascii="宋体" w:hAnsi="宋体" w:eastAsia="宋体" w:cs="宋体"/>
          <w:color w:val="auto"/>
          <w:sz w:val="21"/>
          <w:szCs w:val="21"/>
          <w:highlight w:val="none"/>
          <w:lang w:val="en-US" w:eastAsia="zh-CN"/>
        </w:rPr>
        <w:t>高</w:t>
      </w:r>
      <w:r>
        <w:rPr>
          <w:rFonts w:hint="eastAsia" w:ascii="宋体" w:hAnsi="宋体" w:cs="宋体"/>
          <w:color w:val="auto"/>
          <w:sz w:val="21"/>
          <w:szCs w:val="21"/>
          <w:highlight w:val="none"/>
          <w:lang w:val="en-US" w:eastAsia="zh-CN"/>
        </w:rPr>
        <w:t>至</w:t>
      </w:r>
      <w:r>
        <w:rPr>
          <w:rFonts w:hint="eastAsia" w:ascii="宋体" w:hAnsi="宋体" w:eastAsia="宋体" w:cs="宋体"/>
          <w:color w:val="auto"/>
          <w:sz w:val="21"/>
          <w:szCs w:val="21"/>
          <w:highlight w:val="none"/>
          <w:lang w:val="en-US" w:eastAsia="zh-CN"/>
        </w:rPr>
        <w:t>低来确定顺序，若技术仍同分，以价格由低至高来确定顺序；如不足5家时，则全部进入价格评审环节。</w:t>
      </w:r>
    </w:p>
    <w:p>
      <w:pPr>
        <w:pStyle w:val="11"/>
        <w:spacing w:line="360" w:lineRule="auto"/>
        <w:ind w:left="0" w:leftChars="0" w:firstLine="630" w:firstLineChars="300"/>
        <w:rPr>
          <w:rFonts w:hint="eastAsia" w:ascii="宋体" w:hAnsi="宋体" w:cs="宋体"/>
          <w:color w:val="auto"/>
          <w:sz w:val="21"/>
          <w:szCs w:val="21"/>
          <w:highlight w:val="none"/>
        </w:rPr>
      </w:pPr>
      <w:r>
        <w:rPr>
          <w:rFonts w:hint="eastAsia" w:ascii="宋体" w:hAnsi="宋体" w:cs="宋体"/>
          <w:color w:val="auto"/>
          <w:sz w:val="21"/>
          <w:szCs w:val="21"/>
          <w:highlight w:val="none"/>
        </w:rPr>
        <w:t>价格评审为客观计算得分。以投标总价作为评审的依据，投标人价格得分评分方法如下：</w:t>
      </w:r>
    </w:p>
    <w:p>
      <w:pPr>
        <w:pStyle w:val="11"/>
        <w:spacing w:line="360" w:lineRule="auto"/>
        <w:ind w:left="0" w:leftChars="0" w:firstLine="630" w:firstLineChars="300"/>
        <w:rPr>
          <w:rFonts w:hint="eastAsia" w:ascii="宋体" w:hAnsi="宋体" w:cs="宋体"/>
          <w:color w:val="auto"/>
          <w:sz w:val="21"/>
          <w:szCs w:val="21"/>
          <w:highlight w:val="none"/>
        </w:rPr>
      </w:pPr>
      <w:r>
        <w:rPr>
          <w:rFonts w:hint="eastAsia" w:ascii="宋体" w:hAnsi="宋体" w:cs="宋体"/>
          <w:color w:val="auto"/>
          <w:sz w:val="21"/>
          <w:szCs w:val="21"/>
          <w:highlight w:val="none"/>
        </w:rPr>
        <w:t>1、所有进入价格评审的投标人，经修正后的有效评标价的算术平均值为评标基准价，投标报价等于评标基准价得满分，每高于评标基准价1%扣【1】分，扣到0分为止。每低于评标基准价1%加【0.2】分。</w:t>
      </w:r>
    </w:p>
    <w:p>
      <w:pPr>
        <w:pStyle w:val="11"/>
        <w:spacing w:line="360" w:lineRule="auto"/>
        <w:ind w:left="0" w:leftChars="0" w:firstLine="630" w:firstLineChars="300"/>
        <w:rPr>
          <w:rFonts w:hint="eastAsia" w:ascii="宋体" w:hAnsi="宋体" w:cs="宋体"/>
          <w:color w:val="auto"/>
          <w:sz w:val="21"/>
          <w:szCs w:val="21"/>
          <w:highlight w:val="none"/>
        </w:rPr>
      </w:pPr>
      <w:r>
        <w:rPr>
          <w:rFonts w:hint="eastAsia" w:ascii="宋体" w:hAnsi="宋体" w:cs="宋体"/>
          <w:color w:val="auto"/>
          <w:sz w:val="21"/>
          <w:szCs w:val="21"/>
          <w:highlight w:val="none"/>
        </w:rPr>
        <w:t>2、价格得分＝价格分数-（投标总价-评标基准价）/评标基准价×100×【1】</w:t>
      </w:r>
    </w:p>
    <w:p>
      <w:pPr>
        <w:pStyle w:val="11"/>
        <w:spacing w:line="360" w:lineRule="auto"/>
        <w:ind w:left="0" w:leftChars="0" w:firstLine="630" w:firstLineChars="300"/>
        <w:rPr>
          <w:rFonts w:hint="eastAsia" w:ascii="宋体" w:hAnsi="宋体" w:cs="宋体"/>
          <w:color w:val="auto"/>
          <w:sz w:val="21"/>
          <w:szCs w:val="21"/>
          <w:highlight w:val="none"/>
        </w:rPr>
      </w:pPr>
      <w:r>
        <w:rPr>
          <w:rFonts w:hint="eastAsia" w:ascii="宋体" w:hAnsi="宋体" w:cs="宋体"/>
          <w:color w:val="auto"/>
          <w:sz w:val="21"/>
          <w:szCs w:val="21"/>
          <w:highlight w:val="none"/>
        </w:rPr>
        <w:t>或 价格分数+（评标基准价-投标总价）/评标基准价×100×【0.2】</w:t>
      </w:r>
    </w:p>
    <w:p>
      <w:pPr>
        <w:pStyle w:val="11"/>
        <w:spacing w:line="360" w:lineRule="auto"/>
        <w:ind w:left="0" w:leftChars="0" w:firstLine="630" w:firstLineChars="300"/>
        <w:rPr>
          <w:rFonts w:hint="eastAsia" w:ascii="宋体" w:hAnsi="宋体" w:cs="宋体"/>
          <w:color w:val="auto"/>
          <w:sz w:val="21"/>
          <w:szCs w:val="21"/>
          <w:highlight w:val="none"/>
        </w:rPr>
      </w:pPr>
      <w:r>
        <w:rPr>
          <w:rFonts w:hint="eastAsia" w:ascii="宋体" w:hAnsi="宋体" w:cs="宋体"/>
          <w:color w:val="auto"/>
          <w:sz w:val="21"/>
          <w:szCs w:val="21"/>
          <w:highlight w:val="none"/>
        </w:rPr>
        <w:t>3、分数出现小数点，保留小数点后二位，第三位小数四舍五入。</w:t>
      </w:r>
    </w:p>
    <w:p>
      <w:pPr>
        <w:spacing w:line="360" w:lineRule="auto"/>
        <w:ind w:firstLine="240" w:firstLineChars="100"/>
        <w:outlineLvl w:val="2"/>
        <w:rPr>
          <w:rFonts w:hint="eastAsia" w:ascii="宋体" w:hAnsi="宋体" w:cs="宋体"/>
          <w:b/>
          <w:color w:val="auto"/>
          <w:sz w:val="24"/>
          <w:highlight w:val="none"/>
        </w:rPr>
      </w:pPr>
      <w:r>
        <w:rPr>
          <w:rFonts w:hint="eastAsia" w:ascii="宋体" w:hAnsi="宋体" w:cs="宋体"/>
          <w:b/>
          <w:color w:val="auto"/>
          <w:sz w:val="24"/>
          <w:highlight w:val="none"/>
        </w:rPr>
        <w:t>（3）计算总分</w:t>
      </w:r>
      <w:bookmarkEnd w:id="387"/>
      <w:bookmarkEnd w:id="388"/>
      <w:bookmarkEnd w:id="389"/>
      <w:bookmarkEnd w:id="390"/>
      <w:bookmarkEnd w:id="391"/>
      <w:bookmarkEnd w:id="392"/>
    </w:p>
    <w:p>
      <w:pPr>
        <w:pStyle w:val="11"/>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每个投标的综合总得分由以下三部分组成(每部分得分计算以四舍五入的方式精确到小数点后两位):</w:t>
      </w:r>
    </w:p>
    <w:p>
      <w:pPr>
        <w:pStyle w:val="11"/>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①商务得分：全体评委的商务评分（各商务细项评分总和）总和，取其算术平均值；</w:t>
      </w:r>
    </w:p>
    <w:p>
      <w:pPr>
        <w:pStyle w:val="11"/>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②技术得分：全体评委的技术评分（各技术细项评分总和）总和，取其算术平均值；</w:t>
      </w:r>
    </w:p>
    <w:p>
      <w:pPr>
        <w:pStyle w:val="11"/>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③价格得分：价格评审的客观计算得分；</w:t>
      </w:r>
    </w:p>
    <w:p>
      <w:pPr>
        <w:pStyle w:val="11"/>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④综合总得分＝商务得分＋技术得分＋价格得分-扣分（如有）。</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按总得分由高至低排出中标候选人的名次顺序（</w:t>
      </w:r>
      <w:r>
        <w:rPr>
          <w:rFonts w:hint="eastAsia" w:ascii="宋体" w:hAnsi="宋体" w:cs="宋体"/>
          <w:color w:val="auto"/>
          <w:highlight w:val="none"/>
        </w:rPr>
        <w:t>综合评分相等时，以投标报价低的优先；投标报价也相等的，以技术得分高的优先来确定中标候选人顺序</w:t>
      </w:r>
      <w:r>
        <w:rPr>
          <w:rFonts w:hint="eastAsia" w:ascii="宋体" w:hAnsi="宋体" w:cs="宋体"/>
          <w:color w:val="auto"/>
          <w:szCs w:val="21"/>
          <w:highlight w:val="none"/>
        </w:rPr>
        <w:t>），各评委对计分表校核无误后全体评委在综合总得分计算表上签名确认。</w:t>
      </w:r>
      <w:bookmarkStart w:id="393" w:name="_Toc12775"/>
      <w:bookmarkStart w:id="394" w:name="_Toc24608"/>
      <w:bookmarkStart w:id="395" w:name="_Toc23817"/>
      <w:bookmarkStart w:id="396" w:name="_Toc27449"/>
      <w:bookmarkStart w:id="397" w:name="_Toc23020"/>
      <w:bookmarkStart w:id="398" w:name="_Toc26380"/>
    </w:p>
    <w:p>
      <w:pPr>
        <w:pStyle w:val="20"/>
        <w:rPr>
          <w:rFonts w:hint="eastAsia" w:ascii="宋体" w:hAnsi="宋体" w:cs="宋体"/>
          <w:color w:val="auto"/>
          <w:szCs w:val="21"/>
          <w:highlight w:val="none"/>
        </w:rPr>
      </w:pPr>
    </w:p>
    <w:p>
      <w:pPr>
        <w:rPr>
          <w:rFonts w:hint="eastAsia"/>
          <w:color w:val="auto"/>
          <w:highlight w:val="none"/>
        </w:rPr>
      </w:pPr>
    </w:p>
    <w:p>
      <w:pPr>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br w:type="page"/>
      </w:r>
    </w:p>
    <w:p>
      <w:pPr>
        <w:pStyle w:val="20"/>
        <w:rPr>
          <w:rFonts w:hint="eastAsia" w:ascii="宋体" w:hAnsi="宋体" w:cs="宋体"/>
          <w:color w:val="auto"/>
          <w:szCs w:val="21"/>
          <w:highlight w:val="none"/>
        </w:rPr>
      </w:pPr>
    </w:p>
    <w:p>
      <w:pPr>
        <w:rPr>
          <w:rFonts w:hint="eastAsia"/>
          <w:color w:val="auto"/>
          <w:highlight w:val="none"/>
        </w:rPr>
      </w:pPr>
    </w:p>
    <w:p>
      <w:pPr>
        <w:pStyle w:val="20"/>
        <w:rPr>
          <w:rFonts w:hint="eastAsia" w:ascii="宋体" w:hAnsi="宋体" w:cs="宋体"/>
          <w:color w:val="auto"/>
          <w:szCs w:val="21"/>
          <w:highlight w:val="none"/>
        </w:rPr>
      </w:pPr>
    </w:p>
    <w:p>
      <w:pPr>
        <w:rPr>
          <w:rFonts w:hint="eastAsia"/>
          <w:color w:val="auto"/>
          <w:highlight w:val="none"/>
        </w:rPr>
      </w:pPr>
    </w:p>
    <w:p>
      <w:pPr>
        <w:pStyle w:val="2"/>
        <w:numPr>
          <w:ilvl w:val="0"/>
          <w:numId w:val="0"/>
        </w:numPr>
        <w:spacing w:line="360" w:lineRule="auto"/>
        <w:jc w:val="center"/>
        <w:rPr>
          <w:rStyle w:val="33"/>
          <w:rFonts w:hint="eastAsia" w:ascii="方正仿宋_GBK" w:hAnsi="方正仿宋_GBK" w:eastAsia="方正仿宋_GBK" w:cs="方正仿宋_GBK"/>
          <w:color w:val="auto"/>
          <w:sz w:val="30"/>
          <w:szCs w:val="30"/>
          <w:highlight w:val="none"/>
        </w:rPr>
      </w:pPr>
      <w:bookmarkStart w:id="399" w:name="_Toc1670115654"/>
      <w:bookmarkStart w:id="400" w:name="_Toc1631748946"/>
      <w:bookmarkStart w:id="401" w:name="_Toc1978353103"/>
      <w:r>
        <w:rPr>
          <w:rStyle w:val="33"/>
          <w:rFonts w:hint="eastAsia" w:ascii="宋体" w:hAnsi="宋体" w:eastAsia="宋体" w:cs="宋体"/>
          <w:color w:val="auto"/>
          <w:sz w:val="44"/>
          <w:szCs w:val="44"/>
          <w:highlight w:val="none"/>
        </w:rPr>
        <w:t>第四章</w:t>
      </w:r>
      <w:r>
        <w:rPr>
          <w:rStyle w:val="33"/>
          <w:rFonts w:hint="eastAsia" w:ascii="宋体" w:hAnsi="宋体" w:eastAsia="宋体" w:cs="宋体"/>
          <w:color w:val="auto"/>
          <w:sz w:val="44"/>
          <w:szCs w:val="44"/>
          <w:highlight w:val="none"/>
          <w:lang w:val="en-US"/>
        </w:rPr>
        <w:t xml:space="preserve"> </w:t>
      </w:r>
      <w:r>
        <w:rPr>
          <w:rStyle w:val="33"/>
          <w:rFonts w:hint="eastAsia" w:ascii="宋体" w:hAnsi="宋体" w:eastAsia="宋体" w:cs="宋体"/>
          <w:color w:val="auto"/>
          <w:sz w:val="44"/>
          <w:szCs w:val="44"/>
          <w:highlight w:val="none"/>
        </w:rPr>
        <w:t>用户需求</w:t>
      </w:r>
    </w:p>
    <w:bookmarkEnd w:id="399"/>
    <w:bookmarkEnd w:id="400"/>
    <w:bookmarkEnd w:id="401"/>
    <w:p>
      <w:pPr>
        <w:ind w:firstLine="3533" w:firstLineChars="1100"/>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2023年丝袜系列技术</w:t>
      </w:r>
    </w:p>
    <w:p>
      <w:pPr>
        <w:rPr>
          <w:rFonts w:hint="eastAsia"/>
          <w:color w:val="auto"/>
          <w:highlight w:val="none"/>
        </w:rPr>
      </w:pPr>
    </w:p>
    <w:bookmarkEnd w:id="393"/>
    <w:bookmarkEnd w:id="394"/>
    <w:bookmarkEnd w:id="395"/>
    <w:bookmarkEnd w:id="396"/>
    <w:bookmarkEnd w:id="397"/>
    <w:bookmarkEnd w:id="398"/>
    <w:p>
      <w:pPr>
        <w:tabs>
          <w:tab w:val="center" w:pos="4213"/>
          <w:tab w:val="left" w:pos="6462"/>
        </w:tabs>
        <w:spacing w:line="240" w:lineRule="auto"/>
        <w:jc w:val="left"/>
        <w:rPr>
          <w:rFonts w:hint="eastAsia" w:ascii="宋体" w:hAnsi="宋体" w:eastAsia="宋体" w:cs="宋体"/>
          <w:b/>
          <w:bCs/>
          <w:color w:val="auto"/>
          <w:sz w:val="21"/>
          <w:szCs w:val="21"/>
          <w:highlight w:val="none"/>
          <w:lang w:val="en-US" w:eastAsia="zh-CN"/>
        </w:rPr>
      </w:pPr>
    </w:p>
    <w:p>
      <w:pPr>
        <w:tabs>
          <w:tab w:val="center" w:pos="4213"/>
          <w:tab w:val="left" w:pos="6462"/>
        </w:tabs>
        <w:spacing w:line="240" w:lineRule="auto"/>
        <w:ind w:firstLine="421" w:firstLineChars="200"/>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u w:val="single"/>
          <w:lang w:val="en-US" w:eastAsia="zh-CN"/>
        </w:rPr>
        <w:t>女乘丝袜</w:t>
      </w:r>
    </w:p>
    <w:p>
      <w:pPr>
        <w:rPr>
          <w:rFonts w:hint="eastAsia" w:ascii="宋体" w:hAnsi="宋体" w:eastAsia="宋体" w:cs="宋体"/>
          <w:color w:val="auto"/>
          <w:sz w:val="21"/>
          <w:szCs w:val="21"/>
          <w:highlight w:val="none"/>
          <w:lang w:val="en-US" w:eastAsia="zh-CN"/>
        </w:rPr>
      </w:pPr>
    </w:p>
    <w:p>
      <w:pPr>
        <w:rPr>
          <w:rFonts w:hint="eastAsia" w:ascii="宋体" w:hAnsi="宋体" w:eastAsia="宋体" w:cs="宋体"/>
          <w:color w:val="auto"/>
          <w:sz w:val="21"/>
          <w:szCs w:val="21"/>
          <w:highlight w:val="none"/>
        </w:rPr>
      </w:pPr>
    </w:p>
    <w:p>
      <w:pPr>
        <w:pStyle w:val="2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u w:val="none"/>
          <w:lang w:val="en-US" w:eastAsia="zh-CN"/>
        </w:rPr>
        <w:drawing>
          <wp:anchor distT="0" distB="0" distL="114300" distR="114300" simplePos="0" relativeHeight="251660288" behindDoc="1" locked="0" layoutInCell="1" allowOverlap="1">
            <wp:simplePos x="0" y="0"/>
            <wp:positionH relativeFrom="column">
              <wp:posOffset>154305</wp:posOffset>
            </wp:positionH>
            <wp:positionV relativeFrom="paragraph">
              <wp:posOffset>393700</wp:posOffset>
            </wp:positionV>
            <wp:extent cx="1739900" cy="1397000"/>
            <wp:effectExtent l="0" t="0" r="12700" b="12700"/>
            <wp:wrapNone/>
            <wp:docPr id="1" name="图片 3" descr="D:\办公文件\服装管理手册\2022年手册修订\2022新服装图片\南航服装矢量图 -3\南航服装矢量图 -3\配件\乘务\K020女乘丝袜\K020女乘丝袜2.pngK020女乘丝袜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办公文件\服装管理手册\2022年手册修订\2022新服装图片\南航服装矢量图 -3\南航服装矢量图 -3\配件\乘务\K020女乘丝袜\K020女乘丝袜2.pngK020女乘丝袜2"/>
                    <pic:cNvPicPr>
                      <a:picLocks noChangeAspect="1"/>
                    </pic:cNvPicPr>
                  </pic:nvPicPr>
                  <pic:blipFill>
                    <a:blip r:embed="rId9"/>
                    <a:stretch>
                      <a:fillRect/>
                    </a:stretch>
                  </pic:blipFill>
                  <pic:spPr>
                    <a:xfrm>
                      <a:off x="0" y="0"/>
                      <a:ext cx="1739900" cy="1397000"/>
                    </a:xfrm>
                    <a:prstGeom prst="rect">
                      <a:avLst/>
                    </a:prstGeom>
                    <a:noFill/>
                    <a:ln>
                      <a:noFill/>
                    </a:ln>
                  </pic:spPr>
                </pic:pic>
              </a:graphicData>
            </a:graphic>
          </wp:anchor>
        </w:drawing>
      </w:r>
    </w:p>
    <w:p>
      <w:pPr>
        <w:rPr>
          <w:rFonts w:hint="eastAsia"/>
          <w:color w:val="auto"/>
          <w:highlight w:val="none"/>
          <w:lang w:val="en-US" w:eastAsia="zh-CN"/>
        </w:rPr>
      </w:pPr>
    </w:p>
    <w:p>
      <w:pPr>
        <w:ind w:firstLine="421"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u w:val="single"/>
          <w:lang w:val="en-US" w:eastAsia="zh-CN"/>
        </w:rPr>
        <w:t>女乘短袜</w:t>
      </w:r>
      <w:r>
        <w:rPr>
          <w:rFonts w:hint="eastAsia" w:ascii="宋体" w:hAnsi="宋体" w:eastAsia="宋体" w:cs="宋体"/>
          <w:color w:val="auto"/>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2840990</wp:posOffset>
                </wp:positionH>
                <wp:positionV relativeFrom="paragraph">
                  <wp:posOffset>-190500</wp:posOffset>
                </wp:positionV>
                <wp:extent cx="2809240" cy="3375660"/>
                <wp:effectExtent l="0" t="0" r="10160" b="15240"/>
                <wp:wrapTopAndBottom/>
                <wp:docPr id="6" name="文本框 2"/>
                <wp:cNvGraphicFramePr/>
                <a:graphic xmlns:a="http://schemas.openxmlformats.org/drawingml/2006/main">
                  <a:graphicData uri="http://schemas.microsoft.com/office/word/2010/wordprocessingShape">
                    <wps:wsp>
                      <wps:cNvSpPr txBox="1"/>
                      <wps:spPr>
                        <a:xfrm>
                          <a:off x="0" y="0"/>
                          <a:ext cx="3466465" cy="2080260"/>
                        </a:xfrm>
                        <a:prstGeom prst="rect">
                          <a:avLst/>
                        </a:prstGeom>
                        <a:solidFill>
                          <a:srgbClr val="FFFFFF"/>
                        </a:solidFill>
                        <a:ln w="6350">
                          <a:noFill/>
                        </a:ln>
                        <a:effectLst/>
                      </wps:spPr>
                      <wps:txbx>
                        <w:txbxContent>
                          <w:p>
                            <w:pPr>
                              <w:spacing w:beforeLines="30" w:line="280" w:lineRule="exact"/>
                              <w:jc w:val="left"/>
                              <w:rPr>
                                <w:rFonts w:ascii="FZFSK--GBK1-0" w:hAnsi="FZFSK--GBK1-0" w:eastAsia="FZFSK--GBK1-0"/>
                                <w:b/>
                                <w:bCs/>
                                <w:sz w:val="18"/>
                                <w:szCs w:val="18"/>
                              </w:rPr>
                            </w:pPr>
                            <w:r>
                              <w:rPr>
                                <w:rFonts w:hint="eastAsia" w:ascii="FZFSK--GBK1-0" w:hAnsi="FZFSK--GBK1-0" w:eastAsia="FZFSK--GBK1-0"/>
                                <w:b/>
                                <w:bCs/>
                                <w:sz w:val="18"/>
                                <w:szCs w:val="18"/>
                              </w:rPr>
                              <w:t>款式</w:t>
                            </w:r>
                          </w:p>
                          <w:p>
                            <w:pPr>
                              <w:spacing w:line="280" w:lineRule="exact"/>
                              <w:jc w:val="left"/>
                              <w:rPr>
                                <w:rFonts w:ascii="FZFSK--GBK1-0" w:hAnsi="FZFSK--GBK1-0" w:eastAsia="FZFSK--GBK1-0"/>
                                <w:sz w:val="18"/>
                                <w:szCs w:val="18"/>
                              </w:rPr>
                            </w:pPr>
                            <w:r>
                              <w:rPr>
                                <w:rFonts w:hint="eastAsia" w:ascii="FZFSK--GBK1-0" w:hAnsi="FZFSK--GBK1-0" w:eastAsia="FZFSK--GBK1-0"/>
                                <w:sz w:val="18"/>
                                <w:szCs w:val="18"/>
                              </w:rPr>
                              <w:t>藕荷色包臀裤袜</w:t>
                            </w:r>
                          </w:p>
                          <w:p>
                            <w:pPr>
                              <w:spacing w:line="280" w:lineRule="exact"/>
                              <w:jc w:val="left"/>
                              <w:rPr>
                                <w:rFonts w:hint="eastAsia" w:ascii="FZFSK--GBK1-0" w:hAnsi="FZFSK--GBK1-0" w:eastAsia="FZFSK--GBK1-0"/>
                                <w:b/>
                                <w:bCs/>
                                <w:sz w:val="18"/>
                                <w:szCs w:val="18"/>
                              </w:rPr>
                            </w:pPr>
                          </w:p>
                          <w:p>
                            <w:pPr>
                              <w:spacing w:line="280" w:lineRule="exact"/>
                              <w:jc w:val="left"/>
                              <w:rPr>
                                <w:rFonts w:ascii="FZFSK--GBK1-0" w:hAnsi="FZFSK--GBK1-0" w:eastAsia="FZFSK--GBK1-0"/>
                                <w:sz w:val="18"/>
                                <w:szCs w:val="18"/>
                              </w:rPr>
                            </w:pPr>
                            <w:r>
                              <w:rPr>
                                <w:rFonts w:hint="eastAsia" w:ascii="FZFSK--GBK1-0" w:hAnsi="FZFSK--GBK1-0" w:eastAsia="FZFSK--GBK1-0"/>
                                <w:b/>
                                <w:bCs/>
                                <w:sz w:val="18"/>
                                <w:szCs w:val="18"/>
                              </w:rPr>
                              <w:t>规格</w:t>
                            </w:r>
                          </w:p>
                          <w:p>
                            <w:pPr>
                              <w:spacing w:line="280" w:lineRule="exact"/>
                              <w:jc w:val="left"/>
                              <w:rPr>
                                <w:rFonts w:hint="eastAsia" w:ascii="FZFSK--GBK1-0" w:hAnsi="FZFSK--GBK1-0" w:eastAsia="FZFSK--GBK1-0"/>
                                <w:color w:val="000000"/>
                                <w:sz w:val="18"/>
                                <w:szCs w:val="18"/>
                                <w:lang w:val="en-US" w:eastAsia="zh-CN"/>
                              </w:rPr>
                            </w:pPr>
                            <w:r>
                              <w:rPr>
                                <w:rFonts w:hint="eastAsia" w:ascii="FZFSK--GBK1-0" w:hAnsi="FZFSK--GBK1-0" w:eastAsia="FZFSK--GBK1-0"/>
                                <w:sz w:val="18"/>
                                <w:szCs w:val="18"/>
                              </w:rPr>
                              <w:t>总长度100CM，腰口宽22.5CM，臀部宽21CM</w:t>
                            </w:r>
                            <w:r>
                              <w:rPr>
                                <w:rFonts w:hint="eastAsia" w:ascii="FZFSK--GBK1-0" w:hAnsi="FZFSK--GBK1-0" w:eastAsia="FZFSK--GBK1-0"/>
                                <w:color w:val="000000"/>
                                <w:sz w:val="18"/>
                                <w:szCs w:val="18"/>
                              </w:rPr>
                              <w:t>，</w:t>
                            </w:r>
                            <w:r>
                              <w:rPr>
                                <w:rFonts w:hint="eastAsia" w:ascii="FZFSK--GBK1-0" w:hAnsi="FZFSK--GBK1-0" w:eastAsia="FZFSK--GBK1-0"/>
                                <w:color w:val="000000"/>
                                <w:sz w:val="18"/>
                                <w:szCs w:val="18"/>
                                <w:lang w:val="en-US" w:eastAsia="zh-CN"/>
                              </w:rPr>
                              <w:t>裆宽21CM</w:t>
                            </w:r>
                          </w:p>
                          <w:p>
                            <w:pPr>
                              <w:spacing w:line="280" w:lineRule="exact"/>
                              <w:jc w:val="left"/>
                              <w:rPr>
                                <w:rFonts w:hint="eastAsia" w:ascii="FZFSK--GBK1-0" w:hAnsi="FZFSK--GBK1-0" w:eastAsia="FZFSK--GBK1-0"/>
                                <w:b/>
                                <w:bCs/>
                                <w:color w:val="000000"/>
                                <w:sz w:val="18"/>
                                <w:szCs w:val="18"/>
                              </w:rPr>
                            </w:pPr>
                          </w:p>
                          <w:p>
                            <w:pPr>
                              <w:spacing w:line="280" w:lineRule="exact"/>
                              <w:jc w:val="left"/>
                              <w:rPr>
                                <w:rFonts w:hint="eastAsia" w:ascii="FZFSK--GBK1-0" w:hAnsi="FZFSK--GBK1-0" w:eastAsia="FZFSK--GBK1-0"/>
                                <w:b/>
                                <w:bCs/>
                                <w:color w:val="000000"/>
                                <w:sz w:val="18"/>
                                <w:szCs w:val="18"/>
                              </w:rPr>
                            </w:pPr>
                            <w:r>
                              <w:rPr>
                                <w:rFonts w:hint="eastAsia" w:ascii="FZFSK--GBK1-0" w:hAnsi="FZFSK--GBK1-0" w:eastAsia="FZFSK--GBK1-0"/>
                                <w:b/>
                                <w:bCs/>
                                <w:color w:val="000000"/>
                                <w:sz w:val="18"/>
                                <w:szCs w:val="18"/>
                              </w:rPr>
                              <w:t>原料</w:t>
                            </w:r>
                          </w:p>
                          <w:p>
                            <w:pPr>
                              <w:spacing w:line="280" w:lineRule="exact"/>
                              <w:jc w:val="left"/>
                              <w:rPr>
                                <w:rFonts w:hint="default" w:ascii="FZFSK--GBK1-0" w:hAnsi="FZFSK--GBK1-0" w:eastAsia="FZFSK--GBK1-0"/>
                                <w:color w:val="000000"/>
                                <w:sz w:val="18"/>
                                <w:szCs w:val="18"/>
                                <w:lang w:val="en-US" w:eastAsia="zh-CN"/>
                              </w:rPr>
                            </w:pPr>
                            <w:r>
                              <w:rPr>
                                <w:rFonts w:hint="eastAsia" w:ascii="FZFSK--GBK1-0" w:hAnsi="FZFSK--GBK1-0" w:eastAsia="FZFSK--GBK1-0"/>
                                <w:color w:val="000000"/>
                                <w:sz w:val="18"/>
                                <w:szCs w:val="18"/>
                                <w:lang w:val="en-US" w:eastAsia="zh-CN"/>
                              </w:rPr>
                              <w:t>80%锦纶：</w:t>
                            </w:r>
                            <w:r>
                              <w:rPr>
                                <w:rFonts w:hint="eastAsia" w:ascii="FZFSK--GBK1-0" w:hAnsi="FZFSK--GBK1-0" w:eastAsia="FZFSK--GBK1-0"/>
                                <w:color w:val="000000"/>
                                <w:sz w:val="18"/>
                                <w:szCs w:val="18"/>
                              </w:rPr>
                              <w:t>30D/12F锦纶，2030/12F包纱，2012/5F（莱卡）包纱，15D/3F直丝</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lang w:val="en-US" w:eastAsia="zh-CN"/>
                              </w:rPr>
                              <w:t>20%</w:t>
                            </w:r>
                            <w:r>
                              <w:rPr>
                                <w:rFonts w:hint="eastAsia" w:ascii="FZFSK--GBK1-0" w:hAnsi="FZFSK--GBK1-0" w:eastAsia="FZFSK--GBK1-0"/>
                                <w:color w:val="000000"/>
                                <w:sz w:val="18"/>
                                <w:szCs w:val="18"/>
                              </w:rPr>
                              <w:t>氨纶</w:t>
                            </w:r>
                            <w:r>
                              <w:rPr>
                                <w:rFonts w:hint="eastAsia" w:ascii="FZFSK--GBK1-0" w:hAnsi="FZFSK--GBK1-0" w:eastAsia="FZFSK--GBK1-0"/>
                                <w:color w:val="000000"/>
                                <w:sz w:val="18"/>
                                <w:szCs w:val="18"/>
                                <w:lang w:val="en-US" w:eastAsia="zh-CN"/>
                              </w:rPr>
                              <w:t>(140D)</w:t>
                            </w:r>
                          </w:p>
                          <w:p>
                            <w:pPr>
                              <w:spacing w:line="280" w:lineRule="exact"/>
                              <w:jc w:val="left"/>
                              <w:rPr>
                                <w:rFonts w:hint="eastAsia" w:ascii="FZFSK--GBK1-0" w:hAnsi="FZFSK--GBK1-0" w:eastAsia="FZFSK--GBK1-0"/>
                                <w:b/>
                                <w:bCs/>
                                <w:color w:val="000000"/>
                                <w:sz w:val="18"/>
                                <w:szCs w:val="18"/>
                              </w:rPr>
                            </w:pPr>
                          </w:p>
                          <w:p>
                            <w:pPr>
                              <w:spacing w:line="280" w:lineRule="exact"/>
                              <w:jc w:val="left"/>
                              <w:rPr>
                                <w:rFonts w:ascii="FZFSK--GBK1-0" w:hAnsi="FZFSK--GBK1-0" w:eastAsia="FZFSK--GBK1-0"/>
                                <w:color w:val="000000"/>
                                <w:sz w:val="18"/>
                                <w:szCs w:val="18"/>
                              </w:rPr>
                            </w:pPr>
                            <w:r>
                              <w:rPr>
                                <w:rFonts w:hint="eastAsia" w:ascii="FZFSK--GBK1-0" w:hAnsi="FZFSK--GBK1-0" w:eastAsia="FZFSK--GBK1-0"/>
                                <w:b/>
                                <w:bCs/>
                                <w:color w:val="000000"/>
                                <w:sz w:val="18"/>
                                <w:szCs w:val="18"/>
                              </w:rPr>
                              <w:t>工艺要求</w:t>
                            </w:r>
                          </w:p>
                          <w:p>
                            <w:pPr>
                              <w:spacing w:line="280" w:lineRule="exact"/>
                              <w:jc w:val="left"/>
                              <w:rPr>
                                <w:rFonts w:hint="eastAsia" w:ascii="FZFSK--GBK1-0" w:hAnsi="FZFSK--GBK1-0" w:eastAsia="FZFSK--GBK1-0"/>
                                <w:color w:val="000000"/>
                                <w:sz w:val="18"/>
                                <w:szCs w:val="18"/>
                              </w:rPr>
                            </w:pPr>
                            <w:r>
                              <w:rPr>
                                <w:rFonts w:hint="eastAsia" w:ascii="FZFSK--GBK1-0" w:hAnsi="FZFSK--GBK1-0" w:eastAsia="FZFSK--GBK1-0"/>
                                <w:color w:val="000000"/>
                                <w:sz w:val="18"/>
                                <w:szCs w:val="18"/>
                              </w:rPr>
                              <w:t>纹路清晰弹性高，颜色纯正不掉色，无甲醛</w:t>
                            </w:r>
                          </w:p>
                          <w:p>
                            <w:pPr>
                              <w:spacing w:line="280" w:lineRule="exact"/>
                              <w:jc w:val="left"/>
                              <w:rPr>
                                <w:rFonts w:hint="eastAsia" w:ascii="FZFSK--GBK1-0" w:hAnsi="FZFSK--GBK1-0" w:eastAsia="FZFSK--GBK1-0" w:cs="Times New Roman"/>
                                <w:b/>
                                <w:bCs/>
                                <w:color w:val="000000"/>
                                <w:sz w:val="18"/>
                                <w:szCs w:val="18"/>
                                <w:lang w:val="en-US" w:eastAsia="zh-CN"/>
                              </w:rPr>
                            </w:pPr>
                          </w:p>
                          <w:p>
                            <w:pPr>
                              <w:spacing w:line="280" w:lineRule="exact"/>
                              <w:jc w:val="left"/>
                              <w:rPr>
                                <w:rFonts w:hint="default" w:ascii="FZFSK--GBK1-0" w:hAnsi="FZFSK--GBK1-0" w:eastAsia="FZFSK--GBK1-0" w:cs="Times New Roman"/>
                                <w:sz w:val="18"/>
                                <w:szCs w:val="18"/>
                                <w:lang w:val="en-US" w:eastAsia="zh-CN"/>
                              </w:rPr>
                            </w:pPr>
                          </w:p>
                          <w:p>
                            <w:pPr>
                              <w:pStyle w:val="20"/>
                              <w:rPr>
                                <w:rFonts w:hint="eastAsia"/>
                                <w:lang w:val="en-US" w:eastAsia="zh-CN"/>
                              </w:rPr>
                            </w:pPr>
                          </w:p>
                          <w:p>
                            <w:pPr>
                              <w:pStyle w:val="20"/>
                              <w:rPr>
                                <w:rFonts w:hint="eastAsia"/>
                                <w:lang w:val="en-US" w:eastAsia="zh-CN"/>
                              </w:rPr>
                            </w:pPr>
                          </w:p>
                          <w:p>
                            <w:pPr>
                              <w:pStyle w:val="20"/>
                              <w:rPr>
                                <w:rFonts w:hint="default"/>
                                <w:lang w:val="en-US" w:eastAsia="zh-CN"/>
                              </w:rPr>
                            </w:pPr>
                          </w:p>
                          <w:p>
                            <w:pPr>
                              <w:spacing w:line="280" w:lineRule="exact"/>
                              <w:jc w:val="left"/>
                              <w:rPr>
                                <w:rFonts w:hint="eastAsia" w:ascii="FZFSK--GBK1-0" w:hAnsi="FZFSK--GBK1-0" w:eastAsia="FZFSK--GBK1-0" w:cs="Times New Roman"/>
                                <w:b/>
                                <w:bCs/>
                                <w:sz w:val="18"/>
                                <w:szCs w:val="18"/>
                                <w:lang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223.7pt;margin-top:-15pt;height:265.8pt;width:221.2pt;mso-wrap-distance-bottom:0pt;mso-wrap-distance-top:0pt;z-index:251665408;mso-width-relative:page;mso-height-relative:page;" fillcolor="#FFFFFF" filled="t" stroked="f" coordsize="21600,21600" o:gfxdata="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">
                <v:fill on="t" focussize="0,0"/>
                <v:stroke on="f" weight="0.5pt"/>
                <v:imagedata o:title=""/>
                <o:lock v:ext="edit" aspectratio="f"/>
                <v:textbox>
                  <w:txbxContent>
                    <w:p>
                      <w:pPr>
                        <w:spacing w:beforeLines="30" w:line="280" w:lineRule="exact"/>
                        <w:jc w:val="left"/>
                        <w:rPr>
                          <w:rFonts w:ascii="FZFSK--GBK1-0" w:hAnsi="FZFSK--GBK1-0" w:eastAsia="FZFSK--GBK1-0"/>
                          <w:b/>
                          <w:bCs/>
                          <w:sz w:val="18"/>
                          <w:szCs w:val="18"/>
                        </w:rPr>
                      </w:pPr>
                      <w:r>
                        <w:rPr>
                          <w:rFonts w:hint="eastAsia" w:ascii="FZFSK--GBK1-0" w:hAnsi="FZFSK--GBK1-0" w:eastAsia="FZFSK--GBK1-0"/>
                          <w:b/>
                          <w:bCs/>
                          <w:sz w:val="18"/>
                          <w:szCs w:val="18"/>
                        </w:rPr>
                        <w:t>款式</w:t>
                      </w:r>
                    </w:p>
                    <w:p>
                      <w:pPr>
                        <w:spacing w:line="280" w:lineRule="exact"/>
                        <w:jc w:val="left"/>
                        <w:rPr>
                          <w:rFonts w:ascii="FZFSK--GBK1-0" w:hAnsi="FZFSK--GBK1-0" w:eastAsia="FZFSK--GBK1-0"/>
                          <w:sz w:val="18"/>
                          <w:szCs w:val="18"/>
                        </w:rPr>
                      </w:pPr>
                      <w:r>
                        <w:rPr>
                          <w:rFonts w:hint="eastAsia" w:ascii="FZFSK--GBK1-0" w:hAnsi="FZFSK--GBK1-0" w:eastAsia="FZFSK--GBK1-0"/>
                          <w:sz w:val="18"/>
                          <w:szCs w:val="18"/>
                        </w:rPr>
                        <w:t>藕荷色包臀裤袜</w:t>
                      </w:r>
                    </w:p>
                    <w:p>
                      <w:pPr>
                        <w:spacing w:line="280" w:lineRule="exact"/>
                        <w:jc w:val="left"/>
                        <w:rPr>
                          <w:rFonts w:hint="eastAsia" w:ascii="FZFSK--GBK1-0" w:hAnsi="FZFSK--GBK1-0" w:eastAsia="FZFSK--GBK1-0"/>
                          <w:b/>
                          <w:bCs/>
                          <w:sz w:val="18"/>
                          <w:szCs w:val="18"/>
                        </w:rPr>
                      </w:pPr>
                    </w:p>
                    <w:p>
                      <w:pPr>
                        <w:spacing w:line="280" w:lineRule="exact"/>
                        <w:jc w:val="left"/>
                        <w:rPr>
                          <w:rFonts w:ascii="FZFSK--GBK1-0" w:hAnsi="FZFSK--GBK1-0" w:eastAsia="FZFSK--GBK1-0"/>
                          <w:sz w:val="18"/>
                          <w:szCs w:val="18"/>
                        </w:rPr>
                      </w:pPr>
                      <w:r>
                        <w:rPr>
                          <w:rFonts w:hint="eastAsia" w:ascii="FZFSK--GBK1-0" w:hAnsi="FZFSK--GBK1-0" w:eastAsia="FZFSK--GBK1-0"/>
                          <w:b/>
                          <w:bCs/>
                          <w:sz w:val="18"/>
                          <w:szCs w:val="18"/>
                        </w:rPr>
                        <w:t>规格</w:t>
                      </w:r>
                    </w:p>
                    <w:p>
                      <w:pPr>
                        <w:spacing w:line="280" w:lineRule="exact"/>
                        <w:jc w:val="left"/>
                        <w:rPr>
                          <w:rFonts w:hint="eastAsia" w:ascii="FZFSK--GBK1-0" w:hAnsi="FZFSK--GBK1-0" w:eastAsia="FZFSK--GBK1-0"/>
                          <w:color w:val="000000"/>
                          <w:sz w:val="18"/>
                          <w:szCs w:val="18"/>
                          <w:lang w:val="en-US" w:eastAsia="zh-CN"/>
                        </w:rPr>
                      </w:pPr>
                      <w:r>
                        <w:rPr>
                          <w:rFonts w:hint="eastAsia" w:ascii="FZFSK--GBK1-0" w:hAnsi="FZFSK--GBK1-0" w:eastAsia="FZFSK--GBK1-0"/>
                          <w:sz w:val="18"/>
                          <w:szCs w:val="18"/>
                        </w:rPr>
                        <w:t>总长度100CM，腰口宽22.5CM，臀部宽21CM</w:t>
                      </w:r>
                      <w:r>
                        <w:rPr>
                          <w:rFonts w:hint="eastAsia" w:ascii="FZFSK--GBK1-0" w:hAnsi="FZFSK--GBK1-0" w:eastAsia="FZFSK--GBK1-0"/>
                          <w:color w:val="000000"/>
                          <w:sz w:val="18"/>
                          <w:szCs w:val="18"/>
                        </w:rPr>
                        <w:t>，</w:t>
                      </w:r>
                      <w:r>
                        <w:rPr>
                          <w:rFonts w:hint="eastAsia" w:ascii="FZFSK--GBK1-0" w:hAnsi="FZFSK--GBK1-0" w:eastAsia="FZFSK--GBK1-0"/>
                          <w:color w:val="000000"/>
                          <w:sz w:val="18"/>
                          <w:szCs w:val="18"/>
                          <w:lang w:val="en-US" w:eastAsia="zh-CN"/>
                        </w:rPr>
                        <w:t>裆宽21CM</w:t>
                      </w:r>
                    </w:p>
                    <w:p>
                      <w:pPr>
                        <w:spacing w:line="280" w:lineRule="exact"/>
                        <w:jc w:val="left"/>
                        <w:rPr>
                          <w:rFonts w:hint="eastAsia" w:ascii="FZFSK--GBK1-0" w:hAnsi="FZFSK--GBK1-0" w:eastAsia="FZFSK--GBK1-0"/>
                          <w:b/>
                          <w:bCs/>
                          <w:color w:val="000000"/>
                          <w:sz w:val="18"/>
                          <w:szCs w:val="18"/>
                        </w:rPr>
                      </w:pPr>
                    </w:p>
                    <w:p>
                      <w:pPr>
                        <w:spacing w:line="280" w:lineRule="exact"/>
                        <w:jc w:val="left"/>
                        <w:rPr>
                          <w:rFonts w:hint="eastAsia" w:ascii="FZFSK--GBK1-0" w:hAnsi="FZFSK--GBK1-0" w:eastAsia="FZFSK--GBK1-0"/>
                          <w:b/>
                          <w:bCs/>
                          <w:color w:val="000000"/>
                          <w:sz w:val="18"/>
                          <w:szCs w:val="18"/>
                        </w:rPr>
                      </w:pPr>
                      <w:r>
                        <w:rPr>
                          <w:rFonts w:hint="eastAsia" w:ascii="FZFSK--GBK1-0" w:hAnsi="FZFSK--GBK1-0" w:eastAsia="FZFSK--GBK1-0"/>
                          <w:b/>
                          <w:bCs/>
                          <w:color w:val="000000"/>
                          <w:sz w:val="18"/>
                          <w:szCs w:val="18"/>
                        </w:rPr>
                        <w:t>原料</w:t>
                      </w:r>
                    </w:p>
                    <w:p>
                      <w:pPr>
                        <w:spacing w:line="280" w:lineRule="exact"/>
                        <w:jc w:val="left"/>
                        <w:rPr>
                          <w:rFonts w:hint="default" w:ascii="FZFSK--GBK1-0" w:hAnsi="FZFSK--GBK1-0" w:eastAsia="FZFSK--GBK1-0"/>
                          <w:color w:val="000000"/>
                          <w:sz w:val="18"/>
                          <w:szCs w:val="18"/>
                          <w:lang w:val="en-US" w:eastAsia="zh-CN"/>
                        </w:rPr>
                      </w:pPr>
                      <w:r>
                        <w:rPr>
                          <w:rFonts w:hint="eastAsia" w:ascii="FZFSK--GBK1-0" w:hAnsi="FZFSK--GBK1-0" w:eastAsia="FZFSK--GBK1-0"/>
                          <w:color w:val="000000"/>
                          <w:sz w:val="18"/>
                          <w:szCs w:val="18"/>
                          <w:lang w:val="en-US" w:eastAsia="zh-CN"/>
                        </w:rPr>
                        <w:t>80%锦纶：</w:t>
                      </w:r>
                      <w:r>
                        <w:rPr>
                          <w:rFonts w:hint="eastAsia" w:ascii="FZFSK--GBK1-0" w:hAnsi="FZFSK--GBK1-0" w:eastAsia="FZFSK--GBK1-0"/>
                          <w:color w:val="000000"/>
                          <w:sz w:val="18"/>
                          <w:szCs w:val="18"/>
                        </w:rPr>
                        <w:t>30D/12F锦纶，2030/12F包纱，2012/5F（莱卡）包纱，15D/3F直丝</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lang w:val="en-US" w:eastAsia="zh-CN"/>
                        </w:rPr>
                        <w:t>20%</w:t>
                      </w:r>
                      <w:r>
                        <w:rPr>
                          <w:rFonts w:hint="eastAsia" w:ascii="FZFSK--GBK1-0" w:hAnsi="FZFSK--GBK1-0" w:eastAsia="FZFSK--GBK1-0"/>
                          <w:color w:val="000000"/>
                          <w:sz w:val="18"/>
                          <w:szCs w:val="18"/>
                        </w:rPr>
                        <w:t>氨纶</w:t>
                      </w:r>
                      <w:r>
                        <w:rPr>
                          <w:rFonts w:hint="eastAsia" w:ascii="FZFSK--GBK1-0" w:hAnsi="FZFSK--GBK1-0" w:eastAsia="FZFSK--GBK1-0"/>
                          <w:color w:val="000000"/>
                          <w:sz w:val="18"/>
                          <w:szCs w:val="18"/>
                          <w:lang w:val="en-US" w:eastAsia="zh-CN"/>
                        </w:rPr>
                        <w:t>(140D)</w:t>
                      </w:r>
                    </w:p>
                    <w:p>
                      <w:pPr>
                        <w:spacing w:line="280" w:lineRule="exact"/>
                        <w:jc w:val="left"/>
                        <w:rPr>
                          <w:rFonts w:hint="eastAsia" w:ascii="FZFSK--GBK1-0" w:hAnsi="FZFSK--GBK1-0" w:eastAsia="FZFSK--GBK1-0"/>
                          <w:b/>
                          <w:bCs/>
                          <w:color w:val="000000"/>
                          <w:sz w:val="18"/>
                          <w:szCs w:val="18"/>
                        </w:rPr>
                      </w:pPr>
                    </w:p>
                    <w:p>
                      <w:pPr>
                        <w:spacing w:line="280" w:lineRule="exact"/>
                        <w:jc w:val="left"/>
                        <w:rPr>
                          <w:rFonts w:ascii="FZFSK--GBK1-0" w:hAnsi="FZFSK--GBK1-0" w:eastAsia="FZFSK--GBK1-0"/>
                          <w:color w:val="000000"/>
                          <w:sz w:val="18"/>
                          <w:szCs w:val="18"/>
                        </w:rPr>
                      </w:pPr>
                      <w:r>
                        <w:rPr>
                          <w:rFonts w:hint="eastAsia" w:ascii="FZFSK--GBK1-0" w:hAnsi="FZFSK--GBK1-0" w:eastAsia="FZFSK--GBK1-0"/>
                          <w:b/>
                          <w:bCs/>
                          <w:color w:val="000000"/>
                          <w:sz w:val="18"/>
                          <w:szCs w:val="18"/>
                        </w:rPr>
                        <w:t>工艺要求</w:t>
                      </w:r>
                    </w:p>
                    <w:p>
                      <w:pPr>
                        <w:spacing w:line="280" w:lineRule="exact"/>
                        <w:jc w:val="left"/>
                        <w:rPr>
                          <w:rFonts w:hint="eastAsia" w:ascii="FZFSK--GBK1-0" w:hAnsi="FZFSK--GBK1-0" w:eastAsia="FZFSK--GBK1-0"/>
                          <w:color w:val="000000"/>
                          <w:sz w:val="18"/>
                          <w:szCs w:val="18"/>
                        </w:rPr>
                      </w:pPr>
                      <w:r>
                        <w:rPr>
                          <w:rFonts w:hint="eastAsia" w:ascii="FZFSK--GBK1-0" w:hAnsi="FZFSK--GBK1-0" w:eastAsia="FZFSK--GBK1-0"/>
                          <w:color w:val="000000"/>
                          <w:sz w:val="18"/>
                          <w:szCs w:val="18"/>
                        </w:rPr>
                        <w:t>纹路清晰弹性高，颜色纯正不掉色，无甲醛</w:t>
                      </w:r>
                    </w:p>
                    <w:p>
                      <w:pPr>
                        <w:spacing w:line="280" w:lineRule="exact"/>
                        <w:jc w:val="left"/>
                        <w:rPr>
                          <w:rFonts w:hint="eastAsia" w:ascii="FZFSK--GBK1-0" w:hAnsi="FZFSK--GBK1-0" w:eastAsia="FZFSK--GBK1-0" w:cs="Times New Roman"/>
                          <w:b/>
                          <w:bCs/>
                          <w:color w:val="000000"/>
                          <w:sz w:val="18"/>
                          <w:szCs w:val="18"/>
                          <w:lang w:val="en-US" w:eastAsia="zh-CN"/>
                        </w:rPr>
                      </w:pPr>
                    </w:p>
                    <w:p>
                      <w:pPr>
                        <w:spacing w:line="280" w:lineRule="exact"/>
                        <w:jc w:val="left"/>
                        <w:rPr>
                          <w:rFonts w:hint="default" w:ascii="FZFSK--GBK1-0" w:hAnsi="FZFSK--GBK1-0" w:eastAsia="FZFSK--GBK1-0" w:cs="Times New Roman"/>
                          <w:sz w:val="18"/>
                          <w:szCs w:val="18"/>
                          <w:lang w:val="en-US" w:eastAsia="zh-CN"/>
                        </w:rPr>
                      </w:pPr>
                    </w:p>
                    <w:p>
                      <w:pPr>
                        <w:pStyle w:val="20"/>
                        <w:rPr>
                          <w:rFonts w:hint="eastAsia"/>
                          <w:lang w:val="en-US" w:eastAsia="zh-CN"/>
                        </w:rPr>
                      </w:pPr>
                    </w:p>
                    <w:p>
                      <w:pPr>
                        <w:pStyle w:val="20"/>
                        <w:rPr>
                          <w:rFonts w:hint="eastAsia"/>
                          <w:lang w:val="en-US" w:eastAsia="zh-CN"/>
                        </w:rPr>
                      </w:pPr>
                    </w:p>
                    <w:p>
                      <w:pPr>
                        <w:pStyle w:val="20"/>
                        <w:rPr>
                          <w:rFonts w:hint="default"/>
                          <w:lang w:val="en-US" w:eastAsia="zh-CN"/>
                        </w:rPr>
                      </w:pPr>
                    </w:p>
                    <w:p>
                      <w:pPr>
                        <w:spacing w:line="280" w:lineRule="exact"/>
                        <w:jc w:val="left"/>
                        <w:rPr>
                          <w:rFonts w:hint="eastAsia" w:ascii="FZFSK--GBK1-0" w:hAnsi="FZFSK--GBK1-0" w:eastAsia="FZFSK--GBK1-0" w:cs="Times New Roman"/>
                          <w:b/>
                          <w:bCs/>
                          <w:sz w:val="18"/>
                          <w:szCs w:val="18"/>
                          <w:lang w:eastAsia="zh-CN"/>
                        </w:rPr>
                      </w:pPr>
                    </w:p>
                  </w:txbxContent>
                </v:textbox>
                <w10:wrap type="topAndBottom"/>
              </v:shape>
            </w:pict>
          </mc:Fallback>
        </mc:AlternateContent>
      </w:r>
    </w:p>
    <w:p>
      <w:pPr>
        <w:pStyle w:val="20"/>
        <w:rPr>
          <w:rFonts w:hint="eastAsia" w:ascii="宋体" w:hAnsi="宋体" w:eastAsia="宋体" w:cs="宋体"/>
          <w:color w:val="auto"/>
          <w:sz w:val="21"/>
          <w:szCs w:val="21"/>
          <w:highlight w:val="none"/>
          <w:lang w:val="en-US" w:eastAsia="zh-CN"/>
        </w:rPr>
      </w:pP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s">
            <w:drawing>
              <wp:anchor distT="0" distB="0" distL="114300" distR="114300" simplePos="0" relativeHeight="251659264" behindDoc="1" locked="0" layoutInCell="1" allowOverlap="1">
                <wp:simplePos x="0" y="0"/>
                <wp:positionH relativeFrom="column">
                  <wp:posOffset>2752725</wp:posOffset>
                </wp:positionH>
                <wp:positionV relativeFrom="paragraph">
                  <wp:posOffset>174625</wp:posOffset>
                </wp:positionV>
                <wp:extent cx="2966720" cy="1821180"/>
                <wp:effectExtent l="0" t="0" r="5080" b="7620"/>
                <wp:wrapNone/>
                <wp:docPr id="337" name="文本框 337"/>
                <wp:cNvGraphicFramePr/>
                <a:graphic xmlns:a="http://schemas.openxmlformats.org/drawingml/2006/main">
                  <a:graphicData uri="http://schemas.microsoft.com/office/word/2010/wordprocessingShape">
                    <wps:wsp>
                      <wps:cNvSpPr txBox="1"/>
                      <wps:spPr>
                        <a:xfrm>
                          <a:off x="0" y="0"/>
                          <a:ext cx="2966720" cy="1645920"/>
                        </a:xfrm>
                        <a:prstGeom prst="rect">
                          <a:avLst/>
                        </a:prstGeom>
                        <a:solidFill>
                          <a:srgbClr val="FFFFFF"/>
                        </a:solidFill>
                        <a:ln w="6350">
                          <a:noFill/>
                        </a:ln>
                        <a:effectLst/>
                      </wps:spPr>
                      <wps:txbx>
                        <w:txbxContent>
                          <w:p>
                            <w:pPr>
                              <w:spacing w:beforeLines="30" w:line="280" w:lineRule="exact"/>
                              <w:jc w:val="left"/>
                              <w:rPr>
                                <w:rFonts w:ascii="FZFSK--GBK1-0" w:hAnsi="FZFSK--GBK1-0" w:eastAsia="FZFSK--GBK1-0"/>
                                <w:b/>
                                <w:bCs/>
                                <w:sz w:val="18"/>
                                <w:szCs w:val="18"/>
                              </w:rPr>
                            </w:pPr>
                            <w:r>
                              <w:rPr>
                                <w:rFonts w:hint="eastAsia" w:ascii="FZFSK--GBK1-0" w:hAnsi="FZFSK--GBK1-0" w:eastAsia="FZFSK--GBK1-0"/>
                                <w:b/>
                                <w:bCs/>
                                <w:sz w:val="18"/>
                                <w:szCs w:val="18"/>
                              </w:rPr>
                              <w:t>款式</w:t>
                            </w:r>
                          </w:p>
                          <w:p>
                            <w:pPr>
                              <w:spacing w:line="280" w:lineRule="exact"/>
                              <w:jc w:val="left"/>
                              <w:rPr>
                                <w:rFonts w:hint="eastAsia" w:ascii="FZFSK--GBK1-0" w:hAnsi="FZFSK--GBK1-0" w:eastAsia="FZFSK--GBK1-0"/>
                                <w:sz w:val="18"/>
                                <w:szCs w:val="18"/>
                              </w:rPr>
                            </w:pPr>
                            <w:r>
                              <w:rPr>
                                <w:rFonts w:hint="eastAsia" w:ascii="FZFSK--GBK1-0" w:hAnsi="FZFSK--GBK1-0" w:eastAsia="FZFSK--GBK1-0"/>
                                <w:sz w:val="18"/>
                                <w:szCs w:val="18"/>
                              </w:rPr>
                              <w:t>藕荷色二骨袜</w:t>
                            </w:r>
                          </w:p>
                          <w:p>
                            <w:pPr>
                              <w:pStyle w:val="20"/>
                            </w:pPr>
                          </w:p>
                          <w:p>
                            <w:pPr>
                              <w:spacing w:beforeLines="30" w:line="280" w:lineRule="exact"/>
                              <w:jc w:val="left"/>
                              <w:rPr>
                                <w:rFonts w:ascii="FZFSK--GBK1-0" w:hAnsi="FZFSK--GBK1-0" w:eastAsia="FZFSK--GBK1-0"/>
                                <w:b/>
                                <w:bCs/>
                                <w:sz w:val="18"/>
                                <w:szCs w:val="18"/>
                              </w:rPr>
                            </w:pPr>
                            <w:r>
                              <w:rPr>
                                <w:rFonts w:ascii="FZFSK--GBK1-0" w:hAnsi="FZFSK--GBK1-0" w:eastAsia="FZFSK--GBK1-0"/>
                                <w:b/>
                                <w:bCs/>
                                <w:sz w:val="18"/>
                                <w:szCs w:val="18"/>
                              </w:rPr>
                              <w:t>规格</w:t>
                            </w:r>
                          </w:p>
                          <w:p>
                            <w:pPr>
                              <w:spacing w:line="280" w:lineRule="exact"/>
                              <w:jc w:val="left"/>
                              <w:rPr>
                                <w:rFonts w:hint="eastAsia" w:ascii="FZFSK--GBK1-0" w:hAnsi="FZFSK--GBK1-0" w:eastAsia="FZFSK--GBK1-0"/>
                                <w:sz w:val="18"/>
                                <w:szCs w:val="18"/>
                              </w:rPr>
                            </w:pPr>
                            <w:r>
                              <w:rPr>
                                <w:rFonts w:hint="eastAsia" w:ascii="FZFSK--GBK1-0" w:hAnsi="FZFSK--GBK1-0" w:eastAsia="FZFSK--GBK1-0"/>
                                <w:sz w:val="18"/>
                                <w:szCs w:val="18"/>
                              </w:rPr>
                              <w:t>总长25CM，罗口宽7.5CM，脚尖宽7CM</w:t>
                            </w:r>
                          </w:p>
                          <w:p>
                            <w:pPr>
                              <w:pStyle w:val="20"/>
                            </w:pPr>
                          </w:p>
                          <w:p>
                            <w:pPr>
                              <w:spacing w:beforeLines="30" w:line="280" w:lineRule="exact"/>
                              <w:jc w:val="left"/>
                              <w:rPr>
                                <w:rFonts w:ascii="FZFSK--GBK1-0" w:hAnsi="FZFSK--GBK1-0" w:eastAsia="FZFSK--GBK1-0"/>
                                <w:b/>
                                <w:bCs/>
                                <w:color w:val="000000"/>
                                <w:sz w:val="18"/>
                                <w:szCs w:val="18"/>
                              </w:rPr>
                            </w:pPr>
                            <w:r>
                              <w:rPr>
                                <w:rFonts w:ascii="FZFSK--GBK1-0" w:hAnsi="FZFSK--GBK1-0" w:eastAsia="FZFSK--GBK1-0"/>
                                <w:b/>
                                <w:bCs/>
                                <w:color w:val="000000"/>
                                <w:sz w:val="18"/>
                                <w:szCs w:val="18"/>
                              </w:rPr>
                              <w:t>原料</w:t>
                            </w:r>
                          </w:p>
                          <w:p>
                            <w:pPr>
                              <w:spacing w:line="280" w:lineRule="exact"/>
                              <w:jc w:val="left"/>
                              <w:rPr>
                                <w:rFonts w:hint="default" w:ascii="FZFSK--GBK1-0" w:hAnsi="FZFSK--GBK1-0" w:eastAsia="FZFSK--GBK1-0"/>
                                <w:color w:val="000000"/>
                                <w:sz w:val="18"/>
                                <w:szCs w:val="18"/>
                                <w:lang w:val="en-US" w:eastAsia="zh-CN"/>
                              </w:rPr>
                            </w:pPr>
                            <w:r>
                              <w:rPr>
                                <w:rFonts w:hint="eastAsia" w:ascii="FZFSK--GBK1-0" w:hAnsi="FZFSK--GBK1-0" w:eastAsia="FZFSK--GBK1-0"/>
                                <w:color w:val="000000"/>
                                <w:sz w:val="18"/>
                                <w:szCs w:val="18"/>
                                <w:lang w:val="en-US" w:eastAsia="zh-CN"/>
                              </w:rPr>
                              <w:t>80%锦纶：</w:t>
                            </w:r>
                            <w:r>
                              <w:rPr>
                                <w:rFonts w:hint="eastAsia" w:ascii="FZFSK--GBK1-0" w:hAnsi="FZFSK--GBK1-0" w:eastAsia="FZFSK--GBK1-0"/>
                                <w:color w:val="000000"/>
                                <w:sz w:val="18"/>
                                <w:szCs w:val="18"/>
                              </w:rPr>
                              <w:t>2012/5F(莱卡)包纱</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rPr>
                              <w:t>40D/12F锦纶</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rPr>
                              <w:t>15D/3F直丝</w:t>
                            </w:r>
                            <w:r>
                              <w:rPr>
                                <w:rFonts w:hint="eastAsia" w:ascii="FZFSK--GBK1-0" w:hAnsi="FZFSK--GBK1-0" w:eastAsia="FZFSK--GBK1-0"/>
                                <w:color w:val="000000"/>
                                <w:sz w:val="18"/>
                                <w:szCs w:val="18"/>
                                <w:lang w:val="en-US" w:eastAsia="zh-CN"/>
                              </w:rPr>
                              <w:t>;20%</w:t>
                            </w:r>
                            <w:r>
                              <w:rPr>
                                <w:rFonts w:hint="eastAsia" w:ascii="FZFSK--GBK1-0" w:hAnsi="FZFSK--GBK1-0" w:eastAsia="FZFSK--GBK1-0"/>
                                <w:color w:val="000000"/>
                                <w:sz w:val="18"/>
                                <w:szCs w:val="18"/>
                              </w:rPr>
                              <w:t>氨纶</w:t>
                            </w:r>
                            <w:r>
                              <w:rPr>
                                <w:rFonts w:hint="eastAsia" w:ascii="FZFSK--GBK1-0" w:hAnsi="FZFSK--GBK1-0" w:eastAsia="FZFSK--GBK1-0"/>
                                <w:color w:val="000000"/>
                                <w:sz w:val="18"/>
                                <w:szCs w:val="18"/>
                                <w:lang w:val="en-US" w:eastAsia="zh-CN"/>
                              </w:rPr>
                              <w:t>(140D)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6.75pt;margin-top:13.75pt;height:143.4pt;width:233.6pt;z-index:-251657216;mso-width-relative:page;mso-height-relative:page;" fillcolor="#FFFFFF" filled="t" stroked="f" coordsize="21600,21600" o:gfxdata="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">
                <v:fill on="t" focussize="0,0"/>
                <v:stroke on="f" weight="0.5pt"/>
                <v:imagedata o:title=""/>
                <o:lock v:ext="edit" aspectratio="f"/>
                <v:textbox>
                  <w:txbxContent>
                    <w:p>
                      <w:pPr>
                        <w:spacing w:beforeLines="30" w:line="280" w:lineRule="exact"/>
                        <w:jc w:val="left"/>
                        <w:rPr>
                          <w:rFonts w:ascii="FZFSK--GBK1-0" w:hAnsi="FZFSK--GBK1-0" w:eastAsia="FZFSK--GBK1-0"/>
                          <w:b/>
                          <w:bCs/>
                          <w:sz w:val="18"/>
                          <w:szCs w:val="18"/>
                        </w:rPr>
                      </w:pPr>
                      <w:r>
                        <w:rPr>
                          <w:rFonts w:hint="eastAsia" w:ascii="FZFSK--GBK1-0" w:hAnsi="FZFSK--GBK1-0" w:eastAsia="FZFSK--GBK1-0"/>
                          <w:b/>
                          <w:bCs/>
                          <w:sz w:val="18"/>
                          <w:szCs w:val="18"/>
                        </w:rPr>
                        <w:t>款式</w:t>
                      </w:r>
                    </w:p>
                    <w:p>
                      <w:pPr>
                        <w:spacing w:line="280" w:lineRule="exact"/>
                        <w:jc w:val="left"/>
                        <w:rPr>
                          <w:rFonts w:hint="eastAsia" w:ascii="FZFSK--GBK1-0" w:hAnsi="FZFSK--GBK1-0" w:eastAsia="FZFSK--GBK1-0"/>
                          <w:sz w:val="18"/>
                          <w:szCs w:val="18"/>
                        </w:rPr>
                      </w:pPr>
                      <w:r>
                        <w:rPr>
                          <w:rFonts w:hint="eastAsia" w:ascii="FZFSK--GBK1-0" w:hAnsi="FZFSK--GBK1-0" w:eastAsia="FZFSK--GBK1-0"/>
                          <w:sz w:val="18"/>
                          <w:szCs w:val="18"/>
                        </w:rPr>
                        <w:t>藕荷色二骨袜</w:t>
                      </w:r>
                    </w:p>
                    <w:p>
                      <w:pPr>
                        <w:pStyle w:val="20"/>
                      </w:pPr>
                    </w:p>
                    <w:p>
                      <w:pPr>
                        <w:spacing w:beforeLines="30" w:line="280" w:lineRule="exact"/>
                        <w:jc w:val="left"/>
                        <w:rPr>
                          <w:rFonts w:ascii="FZFSK--GBK1-0" w:hAnsi="FZFSK--GBK1-0" w:eastAsia="FZFSK--GBK1-0"/>
                          <w:b/>
                          <w:bCs/>
                          <w:sz w:val="18"/>
                          <w:szCs w:val="18"/>
                        </w:rPr>
                      </w:pPr>
                      <w:r>
                        <w:rPr>
                          <w:rFonts w:ascii="FZFSK--GBK1-0" w:hAnsi="FZFSK--GBK1-0" w:eastAsia="FZFSK--GBK1-0"/>
                          <w:b/>
                          <w:bCs/>
                          <w:sz w:val="18"/>
                          <w:szCs w:val="18"/>
                        </w:rPr>
                        <w:t>规格</w:t>
                      </w:r>
                    </w:p>
                    <w:p>
                      <w:pPr>
                        <w:spacing w:line="280" w:lineRule="exact"/>
                        <w:jc w:val="left"/>
                        <w:rPr>
                          <w:rFonts w:hint="eastAsia" w:ascii="FZFSK--GBK1-0" w:hAnsi="FZFSK--GBK1-0" w:eastAsia="FZFSK--GBK1-0"/>
                          <w:sz w:val="18"/>
                          <w:szCs w:val="18"/>
                        </w:rPr>
                      </w:pPr>
                      <w:r>
                        <w:rPr>
                          <w:rFonts w:hint="eastAsia" w:ascii="FZFSK--GBK1-0" w:hAnsi="FZFSK--GBK1-0" w:eastAsia="FZFSK--GBK1-0"/>
                          <w:sz w:val="18"/>
                          <w:szCs w:val="18"/>
                        </w:rPr>
                        <w:t>总长25CM，罗口宽7.5CM，脚尖宽7CM</w:t>
                      </w:r>
                    </w:p>
                    <w:p>
                      <w:pPr>
                        <w:pStyle w:val="20"/>
                      </w:pPr>
                    </w:p>
                    <w:p>
                      <w:pPr>
                        <w:spacing w:beforeLines="30" w:line="280" w:lineRule="exact"/>
                        <w:jc w:val="left"/>
                        <w:rPr>
                          <w:rFonts w:ascii="FZFSK--GBK1-0" w:hAnsi="FZFSK--GBK1-0" w:eastAsia="FZFSK--GBK1-0"/>
                          <w:b/>
                          <w:bCs/>
                          <w:color w:val="000000"/>
                          <w:sz w:val="18"/>
                          <w:szCs w:val="18"/>
                        </w:rPr>
                      </w:pPr>
                      <w:r>
                        <w:rPr>
                          <w:rFonts w:ascii="FZFSK--GBK1-0" w:hAnsi="FZFSK--GBK1-0" w:eastAsia="FZFSK--GBK1-0"/>
                          <w:b/>
                          <w:bCs/>
                          <w:color w:val="000000"/>
                          <w:sz w:val="18"/>
                          <w:szCs w:val="18"/>
                        </w:rPr>
                        <w:t>原料</w:t>
                      </w:r>
                    </w:p>
                    <w:p>
                      <w:pPr>
                        <w:spacing w:line="280" w:lineRule="exact"/>
                        <w:jc w:val="left"/>
                        <w:rPr>
                          <w:rFonts w:hint="default" w:ascii="FZFSK--GBK1-0" w:hAnsi="FZFSK--GBK1-0" w:eastAsia="FZFSK--GBK1-0"/>
                          <w:color w:val="000000"/>
                          <w:sz w:val="18"/>
                          <w:szCs w:val="18"/>
                          <w:lang w:val="en-US" w:eastAsia="zh-CN"/>
                        </w:rPr>
                      </w:pPr>
                      <w:r>
                        <w:rPr>
                          <w:rFonts w:hint="eastAsia" w:ascii="FZFSK--GBK1-0" w:hAnsi="FZFSK--GBK1-0" w:eastAsia="FZFSK--GBK1-0"/>
                          <w:color w:val="000000"/>
                          <w:sz w:val="18"/>
                          <w:szCs w:val="18"/>
                          <w:lang w:val="en-US" w:eastAsia="zh-CN"/>
                        </w:rPr>
                        <w:t>80%锦纶：</w:t>
                      </w:r>
                      <w:r>
                        <w:rPr>
                          <w:rFonts w:hint="eastAsia" w:ascii="FZFSK--GBK1-0" w:hAnsi="FZFSK--GBK1-0" w:eastAsia="FZFSK--GBK1-0"/>
                          <w:color w:val="000000"/>
                          <w:sz w:val="18"/>
                          <w:szCs w:val="18"/>
                        </w:rPr>
                        <w:t>2012/5F(莱卡)包纱</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rPr>
                        <w:t>40D/12F锦纶</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rPr>
                        <w:t>15D/3F直丝</w:t>
                      </w:r>
                      <w:r>
                        <w:rPr>
                          <w:rFonts w:hint="eastAsia" w:ascii="FZFSK--GBK1-0" w:hAnsi="FZFSK--GBK1-0" w:eastAsia="FZFSK--GBK1-0"/>
                          <w:color w:val="000000"/>
                          <w:sz w:val="18"/>
                          <w:szCs w:val="18"/>
                          <w:lang w:val="en-US" w:eastAsia="zh-CN"/>
                        </w:rPr>
                        <w:t>;20%</w:t>
                      </w:r>
                      <w:r>
                        <w:rPr>
                          <w:rFonts w:hint="eastAsia" w:ascii="FZFSK--GBK1-0" w:hAnsi="FZFSK--GBK1-0" w:eastAsia="FZFSK--GBK1-0"/>
                          <w:color w:val="000000"/>
                          <w:sz w:val="18"/>
                          <w:szCs w:val="18"/>
                        </w:rPr>
                        <w:t>氨纶</w:t>
                      </w:r>
                      <w:r>
                        <w:rPr>
                          <w:rFonts w:hint="eastAsia" w:ascii="FZFSK--GBK1-0" w:hAnsi="FZFSK--GBK1-0" w:eastAsia="FZFSK--GBK1-0"/>
                          <w:color w:val="000000"/>
                          <w:sz w:val="18"/>
                          <w:szCs w:val="18"/>
                          <w:lang w:val="en-US" w:eastAsia="zh-CN"/>
                        </w:rPr>
                        <w:t>(140D)</w:t>
                      </w:r>
                    </w:p>
                  </w:txbxContent>
                </v:textbox>
              </v:shape>
            </w:pict>
          </mc:Fallback>
        </mc:AlternateContent>
      </w:r>
    </w:p>
    <w:p>
      <w:pPr>
        <w:pStyle w:val="20"/>
        <w:rPr>
          <w:rFonts w:hint="eastAsia" w:ascii="宋体" w:hAnsi="宋体" w:eastAsia="宋体" w:cs="宋体"/>
          <w:color w:val="auto"/>
          <w:sz w:val="21"/>
          <w:szCs w:val="21"/>
          <w:highlight w:val="none"/>
          <w:lang w:val="en-US" w:eastAsia="zh-CN"/>
        </w:rPr>
      </w:pPr>
    </w:p>
    <w:p>
      <w:pP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u w:val="single"/>
        </w:rPr>
        <w:drawing>
          <wp:anchor distT="0" distB="0" distL="114300" distR="114300" simplePos="0" relativeHeight="251666432" behindDoc="0" locked="0" layoutInCell="1" allowOverlap="1">
            <wp:simplePos x="0" y="0"/>
            <wp:positionH relativeFrom="column">
              <wp:posOffset>258445</wp:posOffset>
            </wp:positionH>
            <wp:positionV relativeFrom="paragraph">
              <wp:posOffset>55880</wp:posOffset>
            </wp:positionV>
            <wp:extent cx="1522095" cy="1254760"/>
            <wp:effectExtent l="0" t="0" r="1905" b="2540"/>
            <wp:wrapTopAndBottom/>
            <wp:docPr id="7" name="图片 4" descr="D:\办公文件\服装管理手册\2022年手册修订\2022新服装图片\南航服装矢量图 -3(1)\南航服装矢量图 -3\服装\乘务服装\K035女乘短袜\K035女乘短袜2.pngK035女乘短袜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D:\办公文件\服装管理手册\2022年手册修订\2022新服装图片\南航服装矢量图 -3(1)\南航服装矢量图 -3\服装\乘务服装\K035女乘短袜\K035女乘短袜2.pngK035女乘短袜2"/>
                    <pic:cNvPicPr>
                      <a:picLocks noChangeAspect="1"/>
                    </pic:cNvPicPr>
                  </pic:nvPicPr>
                  <pic:blipFill>
                    <a:blip r:embed="rId10"/>
                    <a:stretch>
                      <a:fillRect/>
                    </a:stretch>
                  </pic:blipFill>
                  <pic:spPr>
                    <a:xfrm>
                      <a:off x="0" y="0"/>
                      <a:ext cx="1522095" cy="1254760"/>
                    </a:xfrm>
                    <a:prstGeom prst="rect">
                      <a:avLst/>
                    </a:prstGeom>
                    <a:noFill/>
                    <a:ln>
                      <a:noFill/>
                    </a:ln>
                  </pic:spPr>
                </pic:pic>
              </a:graphicData>
            </a:graphic>
          </wp:anchor>
        </w:drawing>
      </w:r>
    </w:p>
    <w:p>
      <w:pPr>
        <w:pStyle w:val="20"/>
        <w:rPr>
          <w:rFonts w:hint="eastAsia" w:ascii="宋体" w:hAnsi="宋体" w:eastAsia="宋体" w:cs="宋体"/>
          <w:color w:val="auto"/>
          <w:sz w:val="21"/>
          <w:szCs w:val="21"/>
          <w:highlight w:val="none"/>
          <w:lang w:val="en-US" w:eastAsia="zh-CN"/>
        </w:rPr>
      </w:pPr>
    </w:p>
    <w:p>
      <w:pPr>
        <w:rPr>
          <w:rFonts w:hint="eastAsia" w:ascii="宋体" w:hAnsi="宋体" w:eastAsia="宋体" w:cs="宋体"/>
          <w:color w:val="auto"/>
          <w:sz w:val="21"/>
          <w:szCs w:val="21"/>
          <w:highlight w:val="none"/>
          <w:lang w:val="en-US" w:eastAsia="zh-CN"/>
        </w:rPr>
      </w:pPr>
    </w:p>
    <w:p>
      <w:pPr>
        <w:pStyle w:val="20"/>
        <w:rPr>
          <w:rFonts w:hint="eastAsia" w:ascii="宋体" w:hAnsi="宋体" w:eastAsia="宋体" w:cs="宋体"/>
          <w:color w:val="auto"/>
          <w:sz w:val="21"/>
          <w:szCs w:val="21"/>
          <w:highlight w:val="none"/>
          <w:lang w:val="en-US" w:eastAsia="zh-CN"/>
        </w:rPr>
      </w:pPr>
    </w:p>
    <w:p>
      <w:pPr>
        <w:rPr>
          <w:rFonts w:hint="eastAsia" w:ascii="宋体" w:hAnsi="宋体" w:eastAsia="宋体" w:cs="宋体"/>
          <w:color w:val="auto"/>
          <w:sz w:val="21"/>
          <w:szCs w:val="21"/>
          <w:highlight w:val="none"/>
          <w:lang w:val="en-US" w:eastAsia="zh-CN"/>
        </w:rPr>
      </w:pPr>
    </w:p>
    <w:p>
      <w:pPr>
        <w:pStyle w:val="20"/>
        <w:rPr>
          <w:rFonts w:hint="eastAsia" w:ascii="宋体" w:hAnsi="宋体" w:eastAsia="宋体" w:cs="宋体"/>
          <w:color w:val="auto"/>
          <w:sz w:val="21"/>
          <w:szCs w:val="21"/>
          <w:highlight w:val="none"/>
          <w:lang w:val="en-US" w:eastAsia="zh-CN"/>
        </w:rPr>
      </w:pPr>
    </w:p>
    <w:p>
      <w:pPr>
        <w:rPr>
          <w:rFonts w:hint="eastAsia" w:ascii="宋体" w:hAnsi="宋体" w:eastAsia="宋体" w:cs="宋体"/>
          <w:color w:val="auto"/>
          <w:sz w:val="21"/>
          <w:szCs w:val="21"/>
          <w:highlight w:val="none"/>
          <w:lang w:val="en-US" w:eastAsia="zh-CN"/>
        </w:rPr>
      </w:pPr>
    </w:p>
    <w:p>
      <w:pPr>
        <w:ind w:firstLine="421"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u w:val="single"/>
          <w:lang w:val="en-US" w:eastAsia="zh-CN"/>
        </w:rPr>
        <w:t>女乘加厚裤袜</w:t>
      </w:r>
      <w:r>
        <w:rPr>
          <w:rFonts w:hint="eastAsia" w:ascii="宋体" w:hAnsi="宋体" w:eastAsia="宋体" w:cs="宋体"/>
          <w:color w:val="auto"/>
          <w:sz w:val="21"/>
          <w:szCs w:val="21"/>
          <w:highlight w:val="none"/>
          <w:lang w:val="en-US" w:eastAsia="zh-CN"/>
        </w:rPr>
        <w:t xml:space="preserve">  </w:t>
      </w:r>
    </w:p>
    <w:p>
      <w:pPr>
        <w:pStyle w:val="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s">
            <w:drawing>
              <wp:anchor distT="0" distB="0" distL="114300" distR="114300" simplePos="0" relativeHeight="251668480" behindDoc="0" locked="0" layoutInCell="1" allowOverlap="1">
                <wp:simplePos x="0" y="0"/>
                <wp:positionH relativeFrom="column">
                  <wp:posOffset>2862580</wp:posOffset>
                </wp:positionH>
                <wp:positionV relativeFrom="paragraph">
                  <wp:posOffset>197485</wp:posOffset>
                </wp:positionV>
                <wp:extent cx="2929890" cy="1997075"/>
                <wp:effectExtent l="0" t="0" r="3810" b="3175"/>
                <wp:wrapTopAndBottom/>
                <wp:docPr id="376" name="文本框 376"/>
                <wp:cNvGraphicFramePr/>
                <a:graphic xmlns:a="http://schemas.openxmlformats.org/drawingml/2006/main">
                  <a:graphicData uri="http://schemas.microsoft.com/office/word/2010/wordprocessingShape">
                    <wps:wsp>
                      <wps:cNvSpPr txBox="1"/>
                      <wps:spPr>
                        <a:xfrm>
                          <a:off x="3475990" y="6709410"/>
                          <a:ext cx="2929890" cy="1997075"/>
                        </a:xfrm>
                        <a:prstGeom prst="rect">
                          <a:avLst/>
                        </a:prstGeom>
                        <a:solidFill>
                          <a:srgbClr val="FFFFFF"/>
                        </a:solidFill>
                        <a:ln w="6350">
                          <a:noFill/>
                        </a:ln>
                        <a:effectLst/>
                      </wps:spPr>
                      <wps:txbx>
                        <w:txbxContent>
                          <w:p>
                            <w:pPr>
                              <w:spacing w:beforeLines="30" w:line="280" w:lineRule="exact"/>
                              <w:jc w:val="left"/>
                              <w:rPr>
                                <w:rFonts w:ascii="FZFSK--GBK1-0" w:hAnsi="FZFSK--GBK1-0" w:eastAsia="FZFSK--GBK1-0"/>
                                <w:b/>
                                <w:bCs/>
                                <w:sz w:val="18"/>
                                <w:szCs w:val="18"/>
                              </w:rPr>
                            </w:pPr>
                            <w:r>
                              <w:rPr>
                                <w:rFonts w:hint="eastAsia" w:ascii="FZFSK--GBK1-0" w:hAnsi="FZFSK--GBK1-0" w:eastAsia="FZFSK--GBK1-0"/>
                                <w:b/>
                                <w:bCs/>
                                <w:sz w:val="18"/>
                                <w:szCs w:val="18"/>
                              </w:rPr>
                              <w:t>款式</w:t>
                            </w:r>
                          </w:p>
                          <w:p>
                            <w:pPr>
                              <w:spacing w:line="280" w:lineRule="exact"/>
                              <w:jc w:val="left"/>
                              <w:rPr>
                                <w:rFonts w:ascii="FZFSK--GBK1-0" w:hAnsi="FZFSK--GBK1-0" w:eastAsia="FZFSK--GBK1-0"/>
                                <w:sz w:val="18"/>
                                <w:szCs w:val="18"/>
                              </w:rPr>
                            </w:pPr>
                            <w:r>
                              <w:rPr>
                                <w:rFonts w:hint="eastAsia" w:ascii="FZFSK--GBK1-0" w:hAnsi="FZFSK--GBK1-0" w:eastAsia="FZFSK--GBK1-0"/>
                                <w:sz w:val="18"/>
                                <w:szCs w:val="18"/>
                              </w:rPr>
                              <w:t>藕荷色天鹅绒包臀裤袜</w:t>
                            </w:r>
                          </w:p>
                          <w:p>
                            <w:pPr>
                              <w:spacing w:beforeLines="30" w:line="280" w:lineRule="exact"/>
                              <w:jc w:val="left"/>
                              <w:rPr>
                                <w:rFonts w:ascii="FZFSK--GBK1-0" w:hAnsi="FZFSK--GBK1-0" w:eastAsia="FZFSK--GBK1-0"/>
                                <w:b/>
                                <w:bCs/>
                                <w:sz w:val="18"/>
                                <w:szCs w:val="18"/>
                              </w:rPr>
                            </w:pPr>
                          </w:p>
                          <w:p>
                            <w:pPr>
                              <w:spacing w:beforeLines="30" w:line="280" w:lineRule="exact"/>
                              <w:jc w:val="left"/>
                              <w:rPr>
                                <w:rFonts w:ascii="FZFSK--GBK1-0" w:hAnsi="FZFSK--GBK1-0" w:eastAsia="FZFSK--GBK1-0"/>
                                <w:b/>
                                <w:bCs/>
                                <w:sz w:val="18"/>
                                <w:szCs w:val="18"/>
                              </w:rPr>
                            </w:pPr>
                            <w:r>
                              <w:rPr>
                                <w:rFonts w:ascii="FZFSK--GBK1-0" w:hAnsi="FZFSK--GBK1-0" w:eastAsia="FZFSK--GBK1-0"/>
                                <w:b/>
                                <w:bCs/>
                                <w:sz w:val="18"/>
                                <w:szCs w:val="18"/>
                              </w:rPr>
                              <w:t>规格</w:t>
                            </w:r>
                          </w:p>
                          <w:p>
                            <w:pPr>
                              <w:spacing w:line="280" w:lineRule="exact"/>
                              <w:jc w:val="left"/>
                              <w:rPr>
                                <w:rFonts w:hint="default" w:ascii="FZFSK--GBK1-0" w:hAnsi="FZFSK--GBK1-0" w:eastAsia="FZFSK--GBK1-0"/>
                                <w:color w:val="000000"/>
                                <w:sz w:val="18"/>
                                <w:szCs w:val="18"/>
                                <w:lang w:val="en-US" w:eastAsia="zh-CN"/>
                              </w:rPr>
                            </w:pPr>
                            <w:r>
                              <w:rPr>
                                <w:rFonts w:hint="eastAsia" w:ascii="FZFSK--GBK1-0" w:hAnsi="FZFSK--GBK1-0" w:eastAsia="FZFSK--GBK1-0"/>
                                <w:sz w:val="18"/>
                                <w:szCs w:val="18"/>
                              </w:rPr>
                              <w:t>总长度</w:t>
                            </w:r>
                            <w:r>
                              <w:rPr>
                                <w:rFonts w:ascii="FZFSK--GBK1-0" w:hAnsi="FZFSK--GBK1-0" w:eastAsia="FZFSK--GBK1-0"/>
                                <w:sz w:val="18"/>
                                <w:szCs w:val="18"/>
                              </w:rPr>
                              <w:t xml:space="preserve">90CM, </w:t>
                            </w:r>
                            <w:r>
                              <w:rPr>
                                <w:rFonts w:hint="eastAsia" w:ascii="FZFSK--GBK1-0" w:hAnsi="FZFSK--GBK1-0" w:eastAsia="FZFSK--GBK1-0"/>
                                <w:sz w:val="18"/>
                                <w:szCs w:val="18"/>
                              </w:rPr>
                              <w:t>腰口宽</w:t>
                            </w:r>
                            <w:r>
                              <w:rPr>
                                <w:rFonts w:ascii="FZFSK--GBK1-0" w:hAnsi="FZFSK--GBK1-0" w:eastAsia="FZFSK--GBK1-0"/>
                                <w:sz w:val="18"/>
                                <w:szCs w:val="18"/>
                              </w:rPr>
                              <w:t xml:space="preserve">23.5CM, </w:t>
                            </w:r>
                            <w:r>
                              <w:rPr>
                                <w:rFonts w:hint="eastAsia" w:ascii="FZFSK--GBK1-0" w:hAnsi="FZFSK--GBK1-0" w:eastAsia="FZFSK--GBK1-0"/>
                                <w:sz w:val="18"/>
                                <w:szCs w:val="18"/>
                              </w:rPr>
                              <w:t>臀部宽</w:t>
                            </w:r>
                            <w:r>
                              <w:rPr>
                                <w:rFonts w:ascii="FZFSK--GBK1-0" w:hAnsi="FZFSK--GBK1-0" w:eastAsia="FZFSK--GBK1-0"/>
                                <w:sz w:val="18"/>
                                <w:szCs w:val="18"/>
                              </w:rPr>
                              <w:t>22CM</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lang w:val="en-US" w:eastAsia="zh-CN"/>
                              </w:rPr>
                              <w:t>裆宽22.5CM</w:t>
                            </w:r>
                          </w:p>
                          <w:p>
                            <w:pPr>
                              <w:spacing w:beforeLines="30" w:line="280" w:lineRule="exact"/>
                              <w:jc w:val="left"/>
                              <w:rPr>
                                <w:rFonts w:ascii="FZFSK--GBK1-0" w:hAnsi="FZFSK--GBK1-0" w:eastAsia="FZFSK--GBK1-0"/>
                                <w:b/>
                                <w:bCs/>
                                <w:color w:val="000000"/>
                                <w:sz w:val="18"/>
                                <w:szCs w:val="18"/>
                              </w:rPr>
                            </w:pPr>
                          </w:p>
                          <w:p>
                            <w:pPr>
                              <w:spacing w:beforeLines="30" w:line="280" w:lineRule="exact"/>
                              <w:jc w:val="left"/>
                              <w:rPr>
                                <w:rFonts w:ascii="FZFSK--GBK1-0" w:hAnsi="FZFSK--GBK1-0" w:eastAsia="FZFSK--GBK1-0"/>
                                <w:b/>
                                <w:bCs/>
                                <w:color w:val="000000"/>
                                <w:sz w:val="18"/>
                                <w:szCs w:val="18"/>
                              </w:rPr>
                            </w:pPr>
                            <w:r>
                              <w:rPr>
                                <w:rFonts w:ascii="FZFSK--GBK1-0" w:hAnsi="FZFSK--GBK1-0" w:eastAsia="FZFSK--GBK1-0"/>
                                <w:b/>
                                <w:bCs/>
                                <w:color w:val="000000"/>
                                <w:sz w:val="18"/>
                                <w:szCs w:val="18"/>
                              </w:rPr>
                              <w:t>原料</w:t>
                            </w:r>
                          </w:p>
                          <w:p>
                            <w:pPr>
                              <w:spacing w:line="280" w:lineRule="exact"/>
                              <w:jc w:val="left"/>
                              <w:rPr>
                                <w:rFonts w:hint="eastAsia" w:ascii="FZFSK--GBK1-0" w:hAnsi="FZFSK--GBK1-0" w:eastAsia="FZFSK--GBK1-0"/>
                                <w:color w:val="000000"/>
                                <w:sz w:val="18"/>
                                <w:szCs w:val="18"/>
                                <w:lang w:eastAsia="zh-CN"/>
                              </w:rPr>
                            </w:pPr>
                            <w:r>
                              <w:rPr>
                                <w:rFonts w:hint="eastAsia" w:ascii="FZFSK--GBK1-0" w:hAnsi="FZFSK--GBK1-0" w:eastAsia="FZFSK--GBK1-0"/>
                                <w:color w:val="000000"/>
                                <w:sz w:val="18"/>
                                <w:szCs w:val="18"/>
                                <w:lang w:val="en-US" w:eastAsia="zh-CN"/>
                              </w:rPr>
                              <w:t>90%锦纶（</w:t>
                            </w:r>
                            <w:r>
                              <w:rPr>
                                <w:rFonts w:ascii="FZFSK--GBK1-0" w:hAnsi="FZFSK--GBK1-0" w:eastAsia="FZFSK--GBK1-0"/>
                                <w:color w:val="000000"/>
                                <w:sz w:val="18"/>
                                <w:szCs w:val="18"/>
                              </w:rPr>
                              <w:t>2070/48F</w:t>
                            </w:r>
                            <w:r>
                              <w:rPr>
                                <w:rFonts w:hint="eastAsia" w:ascii="FZFSK--GBK1-0" w:hAnsi="FZFSK--GBK1-0" w:eastAsia="FZFSK--GBK1-0"/>
                                <w:color w:val="000000"/>
                                <w:sz w:val="18"/>
                                <w:szCs w:val="18"/>
                              </w:rPr>
                              <w:t>包纱</w:t>
                            </w:r>
                            <w:r>
                              <w:rPr>
                                <w:rFonts w:hint="eastAsia" w:ascii="FZFSK--GBK1-0" w:hAnsi="FZFSK--GBK1-0" w:eastAsia="FZFSK--GBK1-0"/>
                                <w:color w:val="000000"/>
                                <w:sz w:val="18"/>
                                <w:szCs w:val="18"/>
                                <w:lang w:val="en-US" w:eastAsia="zh-CN"/>
                              </w:rPr>
                              <w:t>）</w:t>
                            </w:r>
                            <w:r>
                              <w:rPr>
                                <w:rFonts w:hint="eastAsia" w:ascii="FZFSK--GBK1-0" w:hAnsi="FZFSK--GBK1-0" w:eastAsia="FZFSK--GBK1-0"/>
                                <w:color w:val="000000"/>
                                <w:sz w:val="18"/>
                                <w:szCs w:val="18"/>
                              </w:rPr>
                              <w:t>，</w:t>
                            </w:r>
                            <w:r>
                              <w:rPr>
                                <w:rFonts w:hint="eastAsia" w:ascii="FZFSK--GBK1-0" w:hAnsi="FZFSK--GBK1-0" w:eastAsia="FZFSK--GBK1-0"/>
                                <w:color w:val="000000"/>
                                <w:sz w:val="18"/>
                                <w:szCs w:val="18"/>
                                <w:lang w:val="en-US" w:eastAsia="zh-CN"/>
                              </w:rPr>
                              <w:t>10%</w:t>
                            </w:r>
                            <w:r>
                              <w:rPr>
                                <w:rFonts w:hint="eastAsia" w:ascii="FZFSK--GBK1-0" w:hAnsi="FZFSK--GBK1-0" w:eastAsia="FZFSK--GBK1-0"/>
                                <w:color w:val="000000"/>
                                <w:sz w:val="18"/>
                                <w:szCs w:val="18"/>
                              </w:rPr>
                              <w:t>氨纶</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lang w:val="en-US" w:eastAsia="zh-CN"/>
                              </w:rPr>
                              <w:t>140D</w:t>
                            </w:r>
                            <w:r>
                              <w:rPr>
                                <w:rFonts w:hint="eastAsia" w:ascii="FZFSK--GBK1-0" w:hAnsi="FZFSK--GBK1-0" w:eastAsia="FZFSK--GBK1-0"/>
                                <w:color w:val="000000"/>
                                <w:sz w:val="18"/>
                                <w:szCs w:val="18"/>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5.4pt;margin-top:15.55pt;height:157.25pt;width:230.7pt;mso-wrap-distance-bottom:0pt;mso-wrap-distance-top:0pt;z-index:251668480;mso-width-relative:page;mso-height-relative:page;" fillcolor="#FFFFFF" filled="t" stroked="f" coordsize="21600,21600" o:gfxdata="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&#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">
                <v:fill on="t" focussize="0,0"/>
                <v:stroke on="f" weight="0.5pt"/>
                <v:imagedata o:title=""/>
                <o:lock v:ext="edit" aspectratio="f"/>
                <v:textbox>
                  <w:txbxContent>
                    <w:p>
                      <w:pPr>
                        <w:spacing w:beforeLines="30" w:line="280" w:lineRule="exact"/>
                        <w:jc w:val="left"/>
                        <w:rPr>
                          <w:rFonts w:ascii="FZFSK--GBK1-0" w:hAnsi="FZFSK--GBK1-0" w:eastAsia="FZFSK--GBK1-0"/>
                          <w:b/>
                          <w:bCs/>
                          <w:sz w:val="18"/>
                          <w:szCs w:val="18"/>
                        </w:rPr>
                      </w:pPr>
                      <w:r>
                        <w:rPr>
                          <w:rFonts w:hint="eastAsia" w:ascii="FZFSK--GBK1-0" w:hAnsi="FZFSK--GBK1-0" w:eastAsia="FZFSK--GBK1-0"/>
                          <w:b/>
                          <w:bCs/>
                          <w:sz w:val="18"/>
                          <w:szCs w:val="18"/>
                        </w:rPr>
                        <w:t>款式</w:t>
                      </w:r>
                    </w:p>
                    <w:p>
                      <w:pPr>
                        <w:spacing w:line="280" w:lineRule="exact"/>
                        <w:jc w:val="left"/>
                        <w:rPr>
                          <w:rFonts w:ascii="FZFSK--GBK1-0" w:hAnsi="FZFSK--GBK1-0" w:eastAsia="FZFSK--GBK1-0"/>
                          <w:sz w:val="18"/>
                          <w:szCs w:val="18"/>
                        </w:rPr>
                      </w:pPr>
                      <w:r>
                        <w:rPr>
                          <w:rFonts w:hint="eastAsia" w:ascii="FZFSK--GBK1-0" w:hAnsi="FZFSK--GBK1-0" w:eastAsia="FZFSK--GBK1-0"/>
                          <w:sz w:val="18"/>
                          <w:szCs w:val="18"/>
                        </w:rPr>
                        <w:t>藕荷色天鹅绒包臀裤袜</w:t>
                      </w:r>
                    </w:p>
                    <w:p>
                      <w:pPr>
                        <w:spacing w:beforeLines="30" w:line="280" w:lineRule="exact"/>
                        <w:jc w:val="left"/>
                        <w:rPr>
                          <w:rFonts w:ascii="FZFSK--GBK1-0" w:hAnsi="FZFSK--GBK1-0" w:eastAsia="FZFSK--GBK1-0"/>
                          <w:b/>
                          <w:bCs/>
                          <w:sz w:val="18"/>
                          <w:szCs w:val="18"/>
                        </w:rPr>
                      </w:pPr>
                    </w:p>
                    <w:p>
                      <w:pPr>
                        <w:spacing w:beforeLines="30" w:line="280" w:lineRule="exact"/>
                        <w:jc w:val="left"/>
                        <w:rPr>
                          <w:rFonts w:ascii="FZFSK--GBK1-0" w:hAnsi="FZFSK--GBK1-0" w:eastAsia="FZFSK--GBK1-0"/>
                          <w:b/>
                          <w:bCs/>
                          <w:sz w:val="18"/>
                          <w:szCs w:val="18"/>
                        </w:rPr>
                      </w:pPr>
                      <w:r>
                        <w:rPr>
                          <w:rFonts w:ascii="FZFSK--GBK1-0" w:hAnsi="FZFSK--GBK1-0" w:eastAsia="FZFSK--GBK1-0"/>
                          <w:b/>
                          <w:bCs/>
                          <w:sz w:val="18"/>
                          <w:szCs w:val="18"/>
                        </w:rPr>
                        <w:t>规格</w:t>
                      </w:r>
                    </w:p>
                    <w:p>
                      <w:pPr>
                        <w:spacing w:line="280" w:lineRule="exact"/>
                        <w:jc w:val="left"/>
                        <w:rPr>
                          <w:rFonts w:hint="default" w:ascii="FZFSK--GBK1-0" w:hAnsi="FZFSK--GBK1-0" w:eastAsia="FZFSK--GBK1-0"/>
                          <w:color w:val="000000"/>
                          <w:sz w:val="18"/>
                          <w:szCs w:val="18"/>
                          <w:lang w:val="en-US" w:eastAsia="zh-CN"/>
                        </w:rPr>
                      </w:pPr>
                      <w:r>
                        <w:rPr>
                          <w:rFonts w:hint="eastAsia" w:ascii="FZFSK--GBK1-0" w:hAnsi="FZFSK--GBK1-0" w:eastAsia="FZFSK--GBK1-0"/>
                          <w:sz w:val="18"/>
                          <w:szCs w:val="18"/>
                        </w:rPr>
                        <w:t>总长度</w:t>
                      </w:r>
                      <w:r>
                        <w:rPr>
                          <w:rFonts w:ascii="FZFSK--GBK1-0" w:hAnsi="FZFSK--GBK1-0" w:eastAsia="FZFSK--GBK1-0"/>
                          <w:sz w:val="18"/>
                          <w:szCs w:val="18"/>
                        </w:rPr>
                        <w:t xml:space="preserve">90CM, </w:t>
                      </w:r>
                      <w:r>
                        <w:rPr>
                          <w:rFonts w:hint="eastAsia" w:ascii="FZFSK--GBK1-0" w:hAnsi="FZFSK--GBK1-0" w:eastAsia="FZFSK--GBK1-0"/>
                          <w:sz w:val="18"/>
                          <w:szCs w:val="18"/>
                        </w:rPr>
                        <w:t>腰口宽</w:t>
                      </w:r>
                      <w:r>
                        <w:rPr>
                          <w:rFonts w:ascii="FZFSK--GBK1-0" w:hAnsi="FZFSK--GBK1-0" w:eastAsia="FZFSK--GBK1-0"/>
                          <w:sz w:val="18"/>
                          <w:szCs w:val="18"/>
                        </w:rPr>
                        <w:t xml:space="preserve">23.5CM, </w:t>
                      </w:r>
                      <w:r>
                        <w:rPr>
                          <w:rFonts w:hint="eastAsia" w:ascii="FZFSK--GBK1-0" w:hAnsi="FZFSK--GBK1-0" w:eastAsia="FZFSK--GBK1-0"/>
                          <w:sz w:val="18"/>
                          <w:szCs w:val="18"/>
                        </w:rPr>
                        <w:t>臀部宽</w:t>
                      </w:r>
                      <w:r>
                        <w:rPr>
                          <w:rFonts w:ascii="FZFSK--GBK1-0" w:hAnsi="FZFSK--GBK1-0" w:eastAsia="FZFSK--GBK1-0"/>
                          <w:sz w:val="18"/>
                          <w:szCs w:val="18"/>
                        </w:rPr>
                        <w:t>22CM</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lang w:val="en-US" w:eastAsia="zh-CN"/>
                        </w:rPr>
                        <w:t>裆宽22.5CM</w:t>
                      </w:r>
                    </w:p>
                    <w:p>
                      <w:pPr>
                        <w:spacing w:beforeLines="30" w:line="280" w:lineRule="exact"/>
                        <w:jc w:val="left"/>
                        <w:rPr>
                          <w:rFonts w:ascii="FZFSK--GBK1-0" w:hAnsi="FZFSK--GBK1-0" w:eastAsia="FZFSK--GBK1-0"/>
                          <w:b/>
                          <w:bCs/>
                          <w:color w:val="000000"/>
                          <w:sz w:val="18"/>
                          <w:szCs w:val="18"/>
                        </w:rPr>
                      </w:pPr>
                    </w:p>
                    <w:p>
                      <w:pPr>
                        <w:spacing w:beforeLines="30" w:line="280" w:lineRule="exact"/>
                        <w:jc w:val="left"/>
                        <w:rPr>
                          <w:rFonts w:ascii="FZFSK--GBK1-0" w:hAnsi="FZFSK--GBK1-0" w:eastAsia="FZFSK--GBK1-0"/>
                          <w:b/>
                          <w:bCs/>
                          <w:color w:val="000000"/>
                          <w:sz w:val="18"/>
                          <w:szCs w:val="18"/>
                        </w:rPr>
                      </w:pPr>
                      <w:r>
                        <w:rPr>
                          <w:rFonts w:ascii="FZFSK--GBK1-0" w:hAnsi="FZFSK--GBK1-0" w:eastAsia="FZFSK--GBK1-0"/>
                          <w:b/>
                          <w:bCs/>
                          <w:color w:val="000000"/>
                          <w:sz w:val="18"/>
                          <w:szCs w:val="18"/>
                        </w:rPr>
                        <w:t>原料</w:t>
                      </w:r>
                    </w:p>
                    <w:p>
                      <w:pPr>
                        <w:spacing w:line="280" w:lineRule="exact"/>
                        <w:jc w:val="left"/>
                        <w:rPr>
                          <w:rFonts w:hint="eastAsia" w:ascii="FZFSK--GBK1-0" w:hAnsi="FZFSK--GBK1-0" w:eastAsia="FZFSK--GBK1-0"/>
                          <w:color w:val="000000"/>
                          <w:sz w:val="18"/>
                          <w:szCs w:val="18"/>
                          <w:lang w:eastAsia="zh-CN"/>
                        </w:rPr>
                      </w:pPr>
                      <w:r>
                        <w:rPr>
                          <w:rFonts w:hint="eastAsia" w:ascii="FZFSK--GBK1-0" w:hAnsi="FZFSK--GBK1-0" w:eastAsia="FZFSK--GBK1-0"/>
                          <w:color w:val="000000"/>
                          <w:sz w:val="18"/>
                          <w:szCs w:val="18"/>
                          <w:lang w:val="en-US" w:eastAsia="zh-CN"/>
                        </w:rPr>
                        <w:t>90%锦纶（</w:t>
                      </w:r>
                      <w:r>
                        <w:rPr>
                          <w:rFonts w:ascii="FZFSK--GBK1-0" w:hAnsi="FZFSK--GBK1-0" w:eastAsia="FZFSK--GBK1-0"/>
                          <w:color w:val="000000"/>
                          <w:sz w:val="18"/>
                          <w:szCs w:val="18"/>
                        </w:rPr>
                        <w:t>2070/48F</w:t>
                      </w:r>
                      <w:r>
                        <w:rPr>
                          <w:rFonts w:hint="eastAsia" w:ascii="FZFSK--GBK1-0" w:hAnsi="FZFSK--GBK1-0" w:eastAsia="FZFSK--GBK1-0"/>
                          <w:color w:val="000000"/>
                          <w:sz w:val="18"/>
                          <w:szCs w:val="18"/>
                        </w:rPr>
                        <w:t>包纱</w:t>
                      </w:r>
                      <w:r>
                        <w:rPr>
                          <w:rFonts w:hint="eastAsia" w:ascii="FZFSK--GBK1-0" w:hAnsi="FZFSK--GBK1-0" w:eastAsia="FZFSK--GBK1-0"/>
                          <w:color w:val="000000"/>
                          <w:sz w:val="18"/>
                          <w:szCs w:val="18"/>
                          <w:lang w:val="en-US" w:eastAsia="zh-CN"/>
                        </w:rPr>
                        <w:t>）</w:t>
                      </w:r>
                      <w:r>
                        <w:rPr>
                          <w:rFonts w:hint="eastAsia" w:ascii="FZFSK--GBK1-0" w:hAnsi="FZFSK--GBK1-0" w:eastAsia="FZFSK--GBK1-0"/>
                          <w:color w:val="000000"/>
                          <w:sz w:val="18"/>
                          <w:szCs w:val="18"/>
                        </w:rPr>
                        <w:t>，</w:t>
                      </w:r>
                      <w:r>
                        <w:rPr>
                          <w:rFonts w:hint="eastAsia" w:ascii="FZFSK--GBK1-0" w:hAnsi="FZFSK--GBK1-0" w:eastAsia="FZFSK--GBK1-0"/>
                          <w:color w:val="000000"/>
                          <w:sz w:val="18"/>
                          <w:szCs w:val="18"/>
                          <w:lang w:val="en-US" w:eastAsia="zh-CN"/>
                        </w:rPr>
                        <w:t>10%</w:t>
                      </w:r>
                      <w:r>
                        <w:rPr>
                          <w:rFonts w:hint="eastAsia" w:ascii="FZFSK--GBK1-0" w:hAnsi="FZFSK--GBK1-0" w:eastAsia="FZFSK--GBK1-0"/>
                          <w:color w:val="000000"/>
                          <w:sz w:val="18"/>
                          <w:szCs w:val="18"/>
                        </w:rPr>
                        <w:t>氨纶</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lang w:val="en-US" w:eastAsia="zh-CN"/>
                        </w:rPr>
                        <w:t>140D</w:t>
                      </w:r>
                      <w:r>
                        <w:rPr>
                          <w:rFonts w:hint="eastAsia" w:ascii="FZFSK--GBK1-0" w:hAnsi="FZFSK--GBK1-0" w:eastAsia="FZFSK--GBK1-0"/>
                          <w:color w:val="000000"/>
                          <w:sz w:val="18"/>
                          <w:szCs w:val="18"/>
                          <w:lang w:eastAsia="zh-CN"/>
                        </w:rPr>
                        <w:t>）</w:t>
                      </w:r>
                    </w:p>
                  </w:txbxContent>
                </v:textbox>
                <w10:wrap type="topAndBottom"/>
              </v:shape>
            </w:pict>
          </mc:Fallback>
        </mc:AlternateContent>
      </w:r>
    </w:p>
    <w:p>
      <w:pP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u w:val="single"/>
        </w:rPr>
        <w:drawing>
          <wp:anchor distT="0" distB="0" distL="114300" distR="114300" simplePos="0" relativeHeight="251667456" behindDoc="0" locked="0" layoutInCell="1" allowOverlap="1">
            <wp:simplePos x="0" y="0"/>
            <wp:positionH relativeFrom="column">
              <wp:posOffset>128905</wp:posOffset>
            </wp:positionH>
            <wp:positionV relativeFrom="paragraph">
              <wp:posOffset>259715</wp:posOffset>
            </wp:positionV>
            <wp:extent cx="1869440" cy="1711960"/>
            <wp:effectExtent l="0" t="0" r="16510" b="2540"/>
            <wp:wrapTopAndBottom/>
            <wp:docPr id="8" name="图片 378" descr="D:\办公文件\服装管理手册\2022年手册修订\2022新服装图片\南航服装矢量图 -3\南航服装矢量图 -3\配件\乘务\K036女乘加厚裤袜\K036女乘加厚裤袜2.pngK036女乘加厚裤袜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78" descr="D:\办公文件\服装管理手册\2022年手册修订\2022新服装图片\南航服装矢量图 -3\南航服装矢量图 -3\配件\乘务\K036女乘加厚裤袜\K036女乘加厚裤袜2.pngK036女乘加厚裤袜2"/>
                    <pic:cNvPicPr>
                      <a:picLocks noChangeAspect="1"/>
                    </pic:cNvPicPr>
                  </pic:nvPicPr>
                  <pic:blipFill>
                    <a:blip r:embed="rId11"/>
                    <a:stretch>
                      <a:fillRect/>
                    </a:stretch>
                  </pic:blipFill>
                  <pic:spPr>
                    <a:xfrm>
                      <a:off x="0" y="0"/>
                      <a:ext cx="1869440" cy="1711960"/>
                    </a:xfrm>
                    <a:prstGeom prst="rect">
                      <a:avLst/>
                    </a:prstGeom>
                    <a:noFill/>
                    <a:ln>
                      <a:noFill/>
                    </a:ln>
                  </pic:spPr>
                </pic:pic>
              </a:graphicData>
            </a:graphic>
          </wp:anchor>
        </w:drawing>
      </w:r>
    </w:p>
    <w:p>
      <w:pPr>
        <w:rPr>
          <w:rFonts w:hint="eastAsia" w:ascii="宋体" w:hAnsi="宋体" w:eastAsia="宋体" w:cs="宋体"/>
          <w:color w:val="auto"/>
          <w:sz w:val="21"/>
          <w:szCs w:val="21"/>
          <w:highlight w:val="none"/>
          <w:lang w:val="en-US" w:eastAsia="zh-CN"/>
        </w:rPr>
      </w:pPr>
    </w:p>
    <w:p>
      <w:pPr>
        <w:pStyle w:val="20"/>
        <w:rPr>
          <w:rFonts w:hint="eastAsia" w:ascii="宋体" w:hAnsi="宋体" w:eastAsia="宋体" w:cs="宋体"/>
          <w:color w:val="auto"/>
          <w:sz w:val="21"/>
          <w:szCs w:val="21"/>
          <w:highlight w:val="none"/>
          <w:lang w:val="en-US" w:eastAsia="zh-CN"/>
        </w:rPr>
      </w:pPr>
    </w:p>
    <w:p>
      <w:pPr>
        <w:spacing w:line="240" w:lineRule="auto"/>
        <w:ind w:firstLine="421" w:firstLineChars="200"/>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none"/>
          <w:lang w:val="en-US" w:eastAsia="zh-CN"/>
        </w:rPr>
        <w:t>四、</w:t>
      </w:r>
      <w:r>
        <w:rPr>
          <w:rFonts w:hint="eastAsia" w:ascii="宋体" w:hAnsi="宋体" w:eastAsia="宋体" w:cs="宋体"/>
          <w:b/>
          <w:bCs/>
          <w:color w:val="auto"/>
          <w:sz w:val="21"/>
          <w:szCs w:val="21"/>
          <w:highlight w:val="none"/>
          <w:u w:val="single"/>
        </w:rPr>
        <w:t>窗口女丝袜</w:t>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s">
            <w:drawing>
              <wp:anchor distT="0" distB="0" distL="114300" distR="114300" simplePos="0" relativeHeight="251670528" behindDoc="0" locked="0" layoutInCell="1" allowOverlap="1">
                <wp:simplePos x="0" y="0"/>
                <wp:positionH relativeFrom="column">
                  <wp:posOffset>2792730</wp:posOffset>
                </wp:positionH>
                <wp:positionV relativeFrom="paragraph">
                  <wp:posOffset>208915</wp:posOffset>
                </wp:positionV>
                <wp:extent cx="2822575" cy="1828800"/>
                <wp:effectExtent l="0" t="0" r="15875" b="0"/>
                <wp:wrapSquare wrapText="bothSides"/>
                <wp:docPr id="362" name="文本框 362"/>
                <wp:cNvGraphicFramePr/>
                <a:graphic xmlns:a="http://schemas.openxmlformats.org/drawingml/2006/main">
                  <a:graphicData uri="http://schemas.microsoft.com/office/word/2010/wordprocessingShape">
                    <wps:wsp>
                      <wps:cNvSpPr txBox="1"/>
                      <wps:spPr>
                        <a:xfrm>
                          <a:off x="0" y="0"/>
                          <a:ext cx="2822575" cy="1828800"/>
                        </a:xfrm>
                        <a:prstGeom prst="rect">
                          <a:avLst/>
                        </a:prstGeom>
                        <a:solidFill>
                          <a:srgbClr val="FFFFFF"/>
                        </a:solidFill>
                        <a:ln w="6350">
                          <a:noFill/>
                        </a:ln>
                        <a:effectLst/>
                      </wps:spPr>
                      <wps:txbx>
                        <w:txbxContent>
                          <w:p>
                            <w:pPr>
                              <w:spacing w:beforeLines="30" w:line="280" w:lineRule="exact"/>
                              <w:jc w:val="left"/>
                              <w:rPr>
                                <w:rFonts w:ascii="FZFSK--GBK1-0" w:hAnsi="FZFSK--GBK1-0" w:eastAsia="FZFSK--GBK1-0"/>
                                <w:b/>
                                <w:bCs/>
                                <w:sz w:val="18"/>
                                <w:szCs w:val="18"/>
                              </w:rPr>
                            </w:pPr>
                            <w:r>
                              <w:rPr>
                                <w:rFonts w:hint="eastAsia" w:ascii="FZFSK--GBK1-0" w:hAnsi="FZFSK--GBK1-0" w:eastAsia="FZFSK--GBK1-0"/>
                                <w:b/>
                                <w:bCs/>
                                <w:sz w:val="18"/>
                                <w:szCs w:val="18"/>
                              </w:rPr>
                              <w:t>款式</w:t>
                            </w:r>
                          </w:p>
                          <w:p>
                            <w:pPr>
                              <w:spacing w:line="280" w:lineRule="exact"/>
                              <w:jc w:val="left"/>
                              <w:rPr>
                                <w:rFonts w:ascii="FZFSK--GBK1-0" w:hAnsi="FZFSK--GBK1-0" w:eastAsia="FZFSK--GBK1-0"/>
                                <w:sz w:val="18"/>
                                <w:szCs w:val="18"/>
                              </w:rPr>
                            </w:pPr>
                            <w:r>
                              <w:rPr>
                                <w:rFonts w:hint="eastAsia" w:ascii="FZFSK--GBK1-0" w:hAnsi="FZFSK--GBK1-0" w:eastAsia="FZFSK--GBK1-0"/>
                                <w:sz w:val="18"/>
                                <w:szCs w:val="18"/>
                              </w:rPr>
                              <w:t>灰褐色包臀裤袜</w:t>
                            </w:r>
                          </w:p>
                          <w:p>
                            <w:pPr>
                              <w:spacing w:line="280" w:lineRule="exact"/>
                              <w:jc w:val="left"/>
                              <w:rPr>
                                <w:rFonts w:ascii="FZFSK--GBK1-0" w:hAnsi="FZFSK--GBK1-0" w:eastAsia="FZFSK--GBK1-0"/>
                                <w:b/>
                                <w:bCs/>
                                <w:sz w:val="18"/>
                                <w:szCs w:val="18"/>
                              </w:rPr>
                            </w:pPr>
                          </w:p>
                          <w:p>
                            <w:pPr>
                              <w:spacing w:line="280" w:lineRule="exact"/>
                              <w:jc w:val="left"/>
                              <w:rPr>
                                <w:rFonts w:ascii="FZFSK--GBK1-0" w:hAnsi="FZFSK--GBK1-0" w:eastAsia="FZFSK--GBK1-0"/>
                                <w:sz w:val="18"/>
                                <w:szCs w:val="18"/>
                              </w:rPr>
                            </w:pPr>
                            <w:r>
                              <w:rPr>
                                <w:rFonts w:ascii="FZFSK--GBK1-0" w:hAnsi="FZFSK--GBK1-0" w:eastAsia="FZFSK--GBK1-0"/>
                                <w:b/>
                                <w:bCs/>
                                <w:sz w:val="18"/>
                                <w:szCs w:val="18"/>
                              </w:rPr>
                              <w:t>规格</w:t>
                            </w:r>
                          </w:p>
                          <w:p>
                            <w:pPr>
                              <w:spacing w:line="280" w:lineRule="exact"/>
                              <w:jc w:val="left"/>
                              <w:rPr>
                                <w:rFonts w:hint="default" w:ascii="FZFSK--GBK1-0" w:hAnsi="FZFSK--GBK1-0" w:eastAsia="FZFSK--GBK1-0"/>
                                <w:b/>
                                <w:bCs/>
                                <w:color w:val="000000"/>
                                <w:sz w:val="18"/>
                                <w:szCs w:val="18"/>
                                <w:lang w:val="en-US" w:eastAsia="zh-CN"/>
                              </w:rPr>
                            </w:pPr>
                            <w:r>
                              <w:rPr>
                                <w:rFonts w:hint="eastAsia" w:ascii="FZFSK--GBK1-0" w:hAnsi="FZFSK--GBK1-0" w:eastAsia="FZFSK--GBK1-0"/>
                                <w:sz w:val="18"/>
                                <w:szCs w:val="18"/>
                              </w:rPr>
                              <w:t>总长度93CM，腰口宽22.5CM，臀部宽21CM，</w:t>
                            </w:r>
                            <w:r>
                              <w:rPr>
                                <w:rFonts w:hint="eastAsia" w:ascii="FZFSK--GBK1-0" w:hAnsi="FZFSK--GBK1-0" w:eastAsia="FZFSK--GBK1-0"/>
                                <w:color w:val="000000"/>
                                <w:sz w:val="18"/>
                                <w:szCs w:val="18"/>
                                <w:lang w:val="en-US" w:eastAsia="zh-CN"/>
                              </w:rPr>
                              <w:t>裆宽21CM</w:t>
                            </w:r>
                          </w:p>
                          <w:p>
                            <w:pPr>
                              <w:spacing w:line="280" w:lineRule="exact"/>
                              <w:jc w:val="left"/>
                              <w:rPr>
                                <w:rFonts w:ascii="FZFSK--GBK1-0" w:hAnsi="FZFSK--GBK1-0" w:eastAsia="FZFSK--GBK1-0"/>
                                <w:b/>
                                <w:bCs/>
                                <w:color w:val="000000"/>
                                <w:sz w:val="18"/>
                                <w:szCs w:val="18"/>
                              </w:rPr>
                            </w:pPr>
                          </w:p>
                          <w:p>
                            <w:pPr>
                              <w:spacing w:line="280" w:lineRule="exact"/>
                              <w:jc w:val="left"/>
                              <w:rPr>
                                <w:rFonts w:ascii="FZFSK--GBK1-0" w:hAnsi="FZFSK--GBK1-0" w:eastAsia="FZFSK--GBK1-0"/>
                                <w:color w:val="000000"/>
                                <w:sz w:val="18"/>
                                <w:szCs w:val="18"/>
                              </w:rPr>
                            </w:pPr>
                            <w:r>
                              <w:rPr>
                                <w:rFonts w:ascii="FZFSK--GBK1-0" w:hAnsi="FZFSK--GBK1-0" w:eastAsia="FZFSK--GBK1-0"/>
                                <w:b/>
                                <w:bCs/>
                                <w:color w:val="000000"/>
                                <w:sz w:val="18"/>
                                <w:szCs w:val="18"/>
                              </w:rPr>
                              <w:t>原料</w:t>
                            </w:r>
                          </w:p>
                          <w:p>
                            <w:pPr>
                              <w:spacing w:line="280" w:lineRule="exact"/>
                              <w:jc w:val="left"/>
                              <w:rPr>
                                <w:rFonts w:hint="default" w:ascii="FZFSK--GBK1-0" w:hAnsi="FZFSK--GBK1-0" w:eastAsia="FZFSK--GBK1-0"/>
                                <w:color w:val="000000"/>
                                <w:sz w:val="18"/>
                                <w:szCs w:val="18"/>
                                <w:lang w:val="en-US" w:eastAsia="zh-CN"/>
                              </w:rPr>
                            </w:pPr>
                            <w:r>
                              <w:rPr>
                                <w:rFonts w:hint="eastAsia" w:ascii="FZFSK--GBK1-0" w:hAnsi="FZFSK--GBK1-0" w:eastAsia="FZFSK--GBK1-0"/>
                                <w:color w:val="000000"/>
                                <w:sz w:val="18"/>
                                <w:szCs w:val="18"/>
                                <w:lang w:val="en-US" w:eastAsia="zh-CN"/>
                              </w:rPr>
                              <w:t>80%锦纶：</w:t>
                            </w:r>
                            <w:r>
                              <w:rPr>
                                <w:rFonts w:hint="eastAsia" w:ascii="FZFSK--GBK1-0" w:hAnsi="FZFSK--GBK1-0" w:eastAsia="FZFSK--GBK1-0"/>
                                <w:color w:val="000000"/>
                                <w:sz w:val="18"/>
                                <w:szCs w:val="18"/>
                              </w:rPr>
                              <w:t>30D/12F锦纶，2030/12F包纱，2012/5F（莱卡）包纱，15D/3F直丝</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lang w:val="en-US" w:eastAsia="zh-CN"/>
                              </w:rPr>
                              <w:t>20%</w:t>
                            </w:r>
                            <w:r>
                              <w:rPr>
                                <w:rFonts w:hint="eastAsia" w:ascii="FZFSK--GBK1-0" w:hAnsi="FZFSK--GBK1-0" w:eastAsia="FZFSK--GBK1-0"/>
                                <w:color w:val="000000"/>
                                <w:sz w:val="18"/>
                                <w:szCs w:val="18"/>
                              </w:rPr>
                              <w:t>氨纶</w:t>
                            </w:r>
                            <w:r>
                              <w:rPr>
                                <w:rFonts w:hint="eastAsia" w:ascii="FZFSK--GBK1-0" w:hAnsi="FZFSK--GBK1-0" w:eastAsia="FZFSK--GBK1-0"/>
                                <w:color w:val="000000"/>
                                <w:sz w:val="18"/>
                                <w:szCs w:val="18"/>
                                <w:lang w:val="en-US" w:eastAsia="zh-CN"/>
                              </w:rPr>
                              <w:t>(140D)</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219.9pt;margin-top:16.45pt;height:144pt;width:222.25pt;mso-wrap-distance-bottom:0pt;mso-wrap-distance-left:9pt;mso-wrap-distance-right:9pt;mso-wrap-distance-top:0pt;z-index:251670528;mso-width-relative:page;mso-height-relative:page;" fillcolor="#FFFFFF" filled="t" stroked="f" coordsize="21600,21600" o:gfxdata="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">
                <v:fill on="t" focussize="0,0"/>
                <v:stroke on="f" weight="0.5pt"/>
                <v:imagedata o:title=""/>
                <o:lock v:ext="edit" aspectratio="f"/>
                <v:textbox style="mso-fit-shape-to-text:t;">
                  <w:txbxContent>
                    <w:p>
                      <w:pPr>
                        <w:spacing w:beforeLines="30" w:line="280" w:lineRule="exact"/>
                        <w:jc w:val="left"/>
                        <w:rPr>
                          <w:rFonts w:ascii="FZFSK--GBK1-0" w:hAnsi="FZFSK--GBK1-0" w:eastAsia="FZFSK--GBK1-0"/>
                          <w:b/>
                          <w:bCs/>
                          <w:sz w:val="18"/>
                          <w:szCs w:val="18"/>
                        </w:rPr>
                      </w:pPr>
                      <w:r>
                        <w:rPr>
                          <w:rFonts w:hint="eastAsia" w:ascii="FZFSK--GBK1-0" w:hAnsi="FZFSK--GBK1-0" w:eastAsia="FZFSK--GBK1-0"/>
                          <w:b/>
                          <w:bCs/>
                          <w:sz w:val="18"/>
                          <w:szCs w:val="18"/>
                        </w:rPr>
                        <w:t>款式</w:t>
                      </w:r>
                    </w:p>
                    <w:p>
                      <w:pPr>
                        <w:spacing w:line="280" w:lineRule="exact"/>
                        <w:jc w:val="left"/>
                        <w:rPr>
                          <w:rFonts w:ascii="FZFSK--GBK1-0" w:hAnsi="FZFSK--GBK1-0" w:eastAsia="FZFSK--GBK1-0"/>
                          <w:sz w:val="18"/>
                          <w:szCs w:val="18"/>
                        </w:rPr>
                      </w:pPr>
                      <w:r>
                        <w:rPr>
                          <w:rFonts w:hint="eastAsia" w:ascii="FZFSK--GBK1-0" w:hAnsi="FZFSK--GBK1-0" w:eastAsia="FZFSK--GBK1-0"/>
                          <w:sz w:val="18"/>
                          <w:szCs w:val="18"/>
                        </w:rPr>
                        <w:t>灰褐色包臀裤袜</w:t>
                      </w:r>
                    </w:p>
                    <w:p>
                      <w:pPr>
                        <w:spacing w:line="280" w:lineRule="exact"/>
                        <w:jc w:val="left"/>
                        <w:rPr>
                          <w:rFonts w:ascii="FZFSK--GBK1-0" w:hAnsi="FZFSK--GBK1-0" w:eastAsia="FZFSK--GBK1-0"/>
                          <w:b/>
                          <w:bCs/>
                          <w:sz w:val="18"/>
                          <w:szCs w:val="18"/>
                        </w:rPr>
                      </w:pPr>
                    </w:p>
                    <w:p>
                      <w:pPr>
                        <w:spacing w:line="280" w:lineRule="exact"/>
                        <w:jc w:val="left"/>
                        <w:rPr>
                          <w:rFonts w:ascii="FZFSK--GBK1-0" w:hAnsi="FZFSK--GBK1-0" w:eastAsia="FZFSK--GBK1-0"/>
                          <w:sz w:val="18"/>
                          <w:szCs w:val="18"/>
                        </w:rPr>
                      </w:pPr>
                      <w:r>
                        <w:rPr>
                          <w:rFonts w:ascii="FZFSK--GBK1-0" w:hAnsi="FZFSK--GBK1-0" w:eastAsia="FZFSK--GBK1-0"/>
                          <w:b/>
                          <w:bCs/>
                          <w:sz w:val="18"/>
                          <w:szCs w:val="18"/>
                        </w:rPr>
                        <w:t>规格</w:t>
                      </w:r>
                    </w:p>
                    <w:p>
                      <w:pPr>
                        <w:spacing w:line="280" w:lineRule="exact"/>
                        <w:jc w:val="left"/>
                        <w:rPr>
                          <w:rFonts w:hint="default" w:ascii="FZFSK--GBK1-0" w:hAnsi="FZFSK--GBK1-0" w:eastAsia="FZFSK--GBK1-0"/>
                          <w:b/>
                          <w:bCs/>
                          <w:color w:val="000000"/>
                          <w:sz w:val="18"/>
                          <w:szCs w:val="18"/>
                          <w:lang w:val="en-US" w:eastAsia="zh-CN"/>
                        </w:rPr>
                      </w:pPr>
                      <w:r>
                        <w:rPr>
                          <w:rFonts w:hint="eastAsia" w:ascii="FZFSK--GBK1-0" w:hAnsi="FZFSK--GBK1-0" w:eastAsia="FZFSK--GBK1-0"/>
                          <w:sz w:val="18"/>
                          <w:szCs w:val="18"/>
                        </w:rPr>
                        <w:t>总长度93CM，腰口宽22.5CM，臀部宽21CM，</w:t>
                      </w:r>
                      <w:r>
                        <w:rPr>
                          <w:rFonts w:hint="eastAsia" w:ascii="FZFSK--GBK1-0" w:hAnsi="FZFSK--GBK1-0" w:eastAsia="FZFSK--GBK1-0"/>
                          <w:color w:val="000000"/>
                          <w:sz w:val="18"/>
                          <w:szCs w:val="18"/>
                          <w:lang w:val="en-US" w:eastAsia="zh-CN"/>
                        </w:rPr>
                        <w:t>裆宽21CM</w:t>
                      </w:r>
                    </w:p>
                    <w:p>
                      <w:pPr>
                        <w:spacing w:line="280" w:lineRule="exact"/>
                        <w:jc w:val="left"/>
                        <w:rPr>
                          <w:rFonts w:ascii="FZFSK--GBK1-0" w:hAnsi="FZFSK--GBK1-0" w:eastAsia="FZFSK--GBK1-0"/>
                          <w:b/>
                          <w:bCs/>
                          <w:color w:val="000000"/>
                          <w:sz w:val="18"/>
                          <w:szCs w:val="18"/>
                        </w:rPr>
                      </w:pPr>
                    </w:p>
                    <w:p>
                      <w:pPr>
                        <w:spacing w:line="280" w:lineRule="exact"/>
                        <w:jc w:val="left"/>
                        <w:rPr>
                          <w:rFonts w:ascii="FZFSK--GBK1-0" w:hAnsi="FZFSK--GBK1-0" w:eastAsia="FZFSK--GBK1-0"/>
                          <w:color w:val="000000"/>
                          <w:sz w:val="18"/>
                          <w:szCs w:val="18"/>
                        </w:rPr>
                      </w:pPr>
                      <w:r>
                        <w:rPr>
                          <w:rFonts w:ascii="FZFSK--GBK1-0" w:hAnsi="FZFSK--GBK1-0" w:eastAsia="FZFSK--GBK1-0"/>
                          <w:b/>
                          <w:bCs/>
                          <w:color w:val="000000"/>
                          <w:sz w:val="18"/>
                          <w:szCs w:val="18"/>
                        </w:rPr>
                        <w:t>原料</w:t>
                      </w:r>
                    </w:p>
                    <w:p>
                      <w:pPr>
                        <w:spacing w:line="280" w:lineRule="exact"/>
                        <w:jc w:val="left"/>
                        <w:rPr>
                          <w:rFonts w:hint="default" w:ascii="FZFSK--GBK1-0" w:hAnsi="FZFSK--GBK1-0" w:eastAsia="FZFSK--GBK1-0"/>
                          <w:color w:val="000000"/>
                          <w:sz w:val="18"/>
                          <w:szCs w:val="18"/>
                          <w:lang w:val="en-US" w:eastAsia="zh-CN"/>
                        </w:rPr>
                      </w:pPr>
                      <w:r>
                        <w:rPr>
                          <w:rFonts w:hint="eastAsia" w:ascii="FZFSK--GBK1-0" w:hAnsi="FZFSK--GBK1-0" w:eastAsia="FZFSK--GBK1-0"/>
                          <w:color w:val="000000"/>
                          <w:sz w:val="18"/>
                          <w:szCs w:val="18"/>
                          <w:lang w:val="en-US" w:eastAsia="zh-CN"/>
                        </w:rPr>
                        <w:t>80%锦纶：</w:t>
                      </w:r>
                      <w:r>
                        <w:rPr>
                          <w:rFonts w:hint="eastAsia" w:ascii="FZFSK--GBK1-0" w:hAnsi="FZFSK--GBK1-0" w:eastAsia="FZFSK--GBK1-0"/>
                          <w:color w:val="000000"/>
                          <w:sz w:val="18"/>
                          <w:szCs w:val="18"/>
                        </w:rPr>
                        <w:t>30D/12F锦纶，2030/12F包纱，2012/5F（莱卡）包纱，15D/3F直丝</w:t>
                      </w:r>
                      <w:r>
                        <w:rPr>
                          <w:rFonts w:hint="eastAsia" w:ascii="FZFSK--GBK1-0" w:hAnsi="FZFSK--GBK1-0" w:eastAsia="FZFSK--GBK1-0"/>
                          <w:color w:val="000000"/>
                          <w:sz w:val="18"/>
                          <w:szCs w:val="18"/>
                          <w:lang w:eastAsia="zh-CN"/>
                        </w:rPr>
                        <w:t>；</w:t>
                      </w:r>
                      <w:r>
                        <w:rPr>
                          <w:rFonts w:hint="eastAsia" w:ascii="FZFSK--GBK1-0" w:hAnsi="FZFSK--GBK1-0" w:eastAsia="FZFSK--GBK1-0"/>
                          <w:color w:val="000000"/>
                          <w:sz w:val="18"/>
                          <w:szCs w:val="18"/>
                          <w:lang w:val="en-US" w:eastAsia="zh-CN"/>
                        </w:rPr>
                        <w:t>20%</w:t>
                      </w:r>
                      <w:r>
                        <w:rPr>
                          <w:rFonts w:hint="eastAsia" w:ascii="FZFSK--GBK1-0" w:hAnsi="FZFSK--GBK1-0" w:eastAsia="FZFSK--GBK1-0"/>
                          <w:color w:val="000000"/>
                          <w:sz w:val="18"/>
                          <w:szCs w:val="18"/>
                        </w:rPr>
                        <w:t>氨纶</w:t>
                      </w:r>
                      <w:r>
                        <w:rPr>
                          <w:rFonts w:hint="eastAsia" w:ascii="FZFSK--GBK1-0" w:hAnsi="FZFSK--GBK1-0" w:eastAsia="FZFSK--GBK1-0"/>
                          <w:color w:val="000000"/>
                          <w:sz w:val="18"/>
                          <w:szCs w:val="18"/>
                          <w:lang w:val="en-US" w:eastAsia="zh-CN"/>
                        </w:rPr>
                        <w:t>(140D)</w:t>
                      </w:r>
                    </w:p>
                  </w:txbxContent>
                </v:textbox>
                <w10:wrap type="square"/>
              </v:shape>
            </w:pict>
          </mc:Fallback>
        </mc:AlternateContent>
      </w:r>
    </w:p>
    <w:p>
      <w:pPr>
        <w:pStyle w:val="20"/>
        <w:rPr>
          <w:rFonts w:hint="eastAsia" w:ascii="宋体" w:hAnsi="宋体" w:eastAsia="宋体" w:cs="宋体"/>
          <w:color w:val="auto"/>
          <w:sz w:val="21"/>
          <w:szCs w:val="21"/>
          <w:highlight w:val="none"/>
          <w:lang w:val="en-US" w:eastAsia="zh-CN"/>
        </w:rPr>
      </w:pPr>
    </w:p>
    <w:p>
      <w:pPr>
        <w:spacing w:line="240" w:lineRule="auto"/>
        <w:jc w:val="left"/>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rPr>
        <w:drawing>
          <wp:anchor distT="0" distB="0" distL="114300" distR="114300" simplePos="0" relativeHeight="251669504" behindDoc="0" locked="0" layoutInCell="1" allowOverlap="1">
            <wp:simplePos x="0" y="0"/>
            <wp:positionH relativeFrom="column">
              <wp:posOffset>41910</wp:posOffset>
            </wp:positionH>
            <wp:positionV relativeFrom="paragraph">
              <wp:posOffset>3175</wp:posOffset>
            </wp:positionV>
            <wp:extent cx="2078355" cy="1658620"/>
            <wp:effectExtent l="0" t="0" r="17145" b="17780"/>
            <wp:wrapTopAndBottom/>
            <wp:docPr id="9" name="图片 385" descr="D:\办公文件\服装管理手册\2022年手册修订\2022新服装图片\南航服装矢量图 -3\南航服装矢量图 -3\配件\窗口\C025窗口女丝袜\C025窗口女丝袜2.pngC025窗口女丝袜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85" descr="D:\办公文件\服装管理手册\2022年手册修订\2022新服装图片\南航服装矢量图 -3\南航服装矢量图 -3\配件\窗口\C025窗口女丝袜\C025窗口女丝袜2.pngC025窗口女丝袜2"/>
                    <pic:cNvPicPr>
                      <a:picLocks noChangeAspect="1"/>
                    </pic:cNvPicPr>
                  </pic:nvPicPr>
                  <pic:blipFill>
                    <a:blip r:embed="rId12"/>
                    <a:stretch>
                      <a:fillRect/>
                    </a:stretch>
                  </pic:blipFill>
                  <pic:spPr>
                    <a:xfrm>
                      <a:off x="0" y="0"/>
                      <a:ext cx="2078355" cy="1658620"/>
                    </a:xfrm>
                    <a:prstGeom prst="rect">
                      <a:avLst/>
                    </a:prstGeom>
                    <a:noFill/>
                    <a:ln>
                      <a:noFill/>
                    </a:ln>
                  </pic:spPr>
                </pic:pic>
              </a:graphicData>
            </a:graphic>
          </wp:anchor>
        </w:drawing>
      </w:r>
    </w:p>
    <w:p>
      <w:pPr>
        <w:spacing w:line="240" w:lineRule="auto"/>
        <w:jc w:val="left"/>
        <w:rPr>
          <w:rFonts w:hint="eastAsia" w:ascii="宋体" w:hAnsi="宋体" w:eastAsia="宋体" w:cs="宋体"/>
          <w:b/>
          <w:bCs/>
          <w:color w:val="auto"/>
          <w:sz w:val="21"/>
          <w:szCs w:val="21"/>
          <w:highlight w:val="none"/>
          <w:u w:val="none"/>
          <w:lang w:val="en-US" w:eastAsia="zh-CN"/>
        </w:rPr>
      </w:pPr>
    </w:p>
    <w:p>
      <w:pPr>
        <w:spacing w:line="240" w:lineRule="auto"/>
        <w:jc w:val="left"/>
        <w:rPr>
          <w:rFonts w:hint="eastAsia" w:ascii="宋体" w:hAnsi="宋体" w:eastAsia="宋体" w:cs="宋体"/>
          <w:b/>
          <w:bCs/>
          <w:color w:val="auto"/>
          <w:sz w:val="21"/>
          <w:szCs w:val="21"/>
          <w:highlight w:val="none"/>
          <w:u w:val="none"/>
          <w:lang w:val="en-US" w:eastAsia="zh-CN"/>
        </w:rPr>
      </w:pPr>
    </w:p>
    <w:p>
      <w:pPr>
        <w:spacing w:line="240" w:lineRule="auto"/>
        <w:ind w:firstLine="421" w:firstLineChars="200"/>
        <w:jc w:val="left"/>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五、</w:t>
      </w:r>
      <w:r>
        <w:rPr>
          <w:rFonts w:hint="eastAsia" w:ascii="宋体" w:hAnsi="宋体" w:eastAsia="宋体" w:cs="宋体"/>
          <w:b/>
          <w:bCs/>
          <w:color w:val="auto"/>
          <w:sz w:val="21"/>
          <w:szCs w:val="21"/>
          <w:highlight w:val="none"/>
          <w:u w:val="single"/>
          <w:lang w:val="en-US" w:eastAsia="zh-CN"/>
        </w:rPr>
        <w:t>窗口女短袜</w:t>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s">
            <w:drawing>
              <wp:anchor distT="0" distB="0" distL="114300" distR="114300" simplePos="0" relativeHeight="251672576" behindDoc="0" locked="0" layoutInCell="1" allowOverlap="1">
                <wp:simplePos x="0" y="0"/>
                <wp:positionH relativeFrom="column">
                  <wp:posOffset>2993390</wp:posOffset>
                </wp:positionH>
                <wp:positionV relativeFrom="paragraph">
                  <wp:posOffset>213995</wp:posOffset>
                </wp:positionV>
                <wp:extent cx="2416810" cy="1217295"/>
                <wp:effectExtent l="0" t="0" r="0" b="0"/>
                <wp:wrapSquare wrapText="bothSides"/>
                <wp:docPr id="11" name="文本框 208"/>
                <wp:cNvGraphicFramePr/>
                <a:graphic xmlns:a="http://schemas.openxmlformats.org/drawingml/2006/main">
                  <a:graphicData uri="http://schemas.microsoft.com/office/word/2010/wordprocessingShape">
                    <wps:wsp>
                      <wps:cNvSpPr txBox="1"/>
                      <wps:spPr>
                        <a:xfrm flipV="1">
                          <a:off x="0" y="0"/>
                          <a:ext cx="2416810" cy="1217295"/>
                        </a:xfrm>
                        <a:prstGeom prst="rect">
                          <a:avLst/>
                        </a:prstGeom>
                        <a:noFill/>
                        <a:ln w="6350">
                          <a:noFill/>
                        </a:ln>
                      </wps:spPr>
                      <wps:txbx>
                        <w:txbxContent>
                          <w:p>
                            <w:pPr>
                              <w:spacing w:beforeLines="0" w:line="280" w:lineRule="exact"/>
                              <w:jc w:val="left"/>
                              <w:rPr>
                                <w:rFonts w:hint="eastAsia" w:ascii="FZFSK--GBK1-0" w:hAnsi="FZFSK--GBK1-0" w:eastAsia="FZFSK--GBK1-0"/>
                                <w:b w:val="0"/>
                                <w:bCs w:val="0"/>
                                <w:sz w:val="18"/>
                                <w:szCs w:val="18"/>
                                <w:lang w:val="en-US" w:eastAsia="zh-CN"/>
                              </w:rPr>
                            </w:pPr>
                          </w:p>
                          <w:p>
                            <w:pPr>
                              <w:spacing w:beforeLines="0" w:line="280" w:lineRule="exact"/>
                              <w:jc w:val="left"/>
                              <w:rPr>
                                <w:rFonts w:hint="eastAsia" w:ascii="FZFSK--GBK1-0" w:hAnsi="FZFSK--GBK1-0" w:eastAsia="FZFSK--GBK1-0"/>
                                <w:b w:val="0"/>
                                <w:bCs w:val="0"/>
                                <w:sz w:val="18"/>
                                <w:szCs w:val="18"/>
                                <w:lang w:val="en-US" w:eastAsia="zh-CN"/>
                              </w:rPr>
                            </w:pPr>
                          </w:p>
                          <w:p>
                            <w:pPr>
                              <w:spacing w:beforeLines="0" w:line="280" w:lineRule="exact"/>
                              <w:jc w:val="left"/>
                              <w:rPr>
                                <w:rFonts w:hint="eastAsia" w:ascii="FZFSK--GBK1-0" w:hAnsi="FZFSK--GBK1-0" w:eastAsia="FZFSK--GBK1-0"/>
                                <w:b w:val="0"/>
                                <w:bCs w:val="0"/>
                                <w:sz w:val="18"/>
                                <w:szCs w:val="18"/>
                                <w:lang w:val="en-US" w:eastAsia="zh-CN"/>
                              </w:rPr>
                            </w:pPr>
                            <w:r>
                              <w:rPr>
                                <w:rFonts w:hint="eastAsia" w:ascii="FZFSK--GBK1-0" w:hAnsi="FZFSK--GBK1-0" w:eastAsia="FZFSK--GBK1-0"/>
                                <w:b w:val="0"/>
                                <w:bCs w:val="0"/>
                                <w:sz w:val="18"/>
                                <w:szCs w:val="18"/>
                                <w:lang w:val="en-US" w:eastAsia="zh-CN"/>
                              </w:rPr>
                              <w:t>颜色为灰褐色</w:t>
                            </w:r>
                          </w:p>
                          <w:p>
                            <w:pPr>
                              <w:spacing w:beforeLines="0" w:line="280" w:lineRule="exact"/>
                              <w:jc w:val="left"/>
                              <w:rPr>
                                <w:rFonts w:ascii="FZFSK--GBK1-0" w:hAnsi="FZFSK--GBK1-0" w:eastAsia="FZFSK--GBK1-0"/>
                                <w:b w:val="0"/>
                                <w:bCs w:val="0"/>
                                <w:sz w:val="18"/>
                                <w:szCs w:val="18"/>
                              </w:rPr>
                            </w:pPr>
                            <w:r>
                              <w:rPr>
                                <w:rFonts w:hint="eastAsia" w:ascii="FZFSK--GBK1-0" w:hAnsi="FZFSK--GBK1-0" w:eastAsia="FZFSK--GBK1-0"/>
                                <w:b w:val="0"/>
                                <w:bCs w:val="0"/>
                                <w:sz w:val="18"/>
                                <w:szCs w:val="18"/>
                                <w:lang w:val="en-US" w:eastAsia="zh-CN"/>
                              </w:rPr>
                              <w:t>款式、规格、原料、工艺要求</w:t>
                            </w:r>
                            <w:r>
                              <w:rPr>
                                <w:rFonts w:hint="eastAsia" w:ascii="FZFSK--GBK1-0" w:hAnsi="FZFSK--GBK1-0" w:eastAsia="FZFSK--GBK1-0"/>
                                <w:b w:val="0"/>
                                <w:bCs w:val="0"/>
                                <w:sz w:val="18"/>
                                <w:szCs w:val="18"/>
                              </w:rPr>
                              <w:t>同女乘短袜</w:t>
                            </w:r>
                          </w:p>
                          <w:p>
                            <w:pPr>
                              <w:spacing w:line="280" w:lineRule="exact"/>
                              <w:jc w:val="left"/>
                            </w:pPr>
                          </w:p>
                        </w:txbxContent>
                      </wps:txbx>
                      <wps:bodyPr wrap="square" upright="1"/>
                    </wps:wsp>
                  </a:graphicData>
                </a:graphic>
              </wp:anchor>
            </w:drawing>
          </mc:Choice>
          <mc:Fallback>
            <w:pict>
              <v:shape id="文本框 208" o:spid="_x0000_s1026" o:spt="202" type="#_x0000_t202" style="position:absolute;left:0pt;flip:y;margin-left:235.7pt;margin-top:16.85pt;height:95.85pt;width:190.3pt;mso-wrap-distance-bottom:0pt;mso-wrap-distance-left:9pt;mso-wrap-distance-right:9pt;mso-wrap-distance-top:0pt;z-index:251672576;mso-width-relative:page;mso-height-relative:page;" filled="f" stroked="f" coordsize="21600,21600" o:gfxdata="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">
                <v:fill on="f" focussize="0,0"/>
                <v:stroke on="f" weight="0.5pt"/>
                <v:imagedata o:title=""/>
                <o:lock v:ext="edit" aspectratio="f"/>
                <v:textbox>
                  <w:txbxContent>
                    <w:p>
                      <w:pPr>
                        <w:spacing w:beforeLines="0" w:line="280" w:lineRule="exact"/>
                        <w:jc w:val="left"/>
                        <w:rPr>
                          <w:rFonts w:hint="eastAsia" w:ascii="FZFSK--GBK1-0" w:hAnsi="FZFSK--GBK1-0" w:eastAsia="FZFSK--GBK1-0"/>
                          <w:b w:val="0"/>
                          <w:bCs w:val="0"/>
                          <w:sz w:val="18"/>
                          <w:szCs w:val="18"/>
                          <w:lang w:val="en-US" w:eastAsia="zh-CN"/>
                        </w:rPr>
                      </w:pPr>
                    </w:p>
                    <w:p>
                      <w:pPr>
                        <w:spacing w:beforeLines="0" w:line="280" w:lineRule="exact"/>
                        <w:jc w:val="left"/>
                        <w:rPr>
                          <w:rFonts w:hint="eastAsia" w:ascii="FZFSK--GBK1-0" w:hAnsi="FZFSK--GBK1-0" w:eastAsia="FZFSK--GBK1-0"/>
                          <w:b w:val="0"/>
                          <w:bCs w:val="0"/>
                          <w:sz w:val="18"/>
                          <w:szCs w:val="18"/>
                          <w:lang w:val="en-US" w:eastAsia="zh-CN"/>
                        </w:rPr>
                      </w:pPr>
                    </w:p>
                    <w:p>
                      <w:pPr>
                        <w:spacing w:beforeLines="0" w:line="280" w:lineRule="exact"/>
                        <w:jc w:val="left"/>
                        <w:rPr>
                          <w:rFonts w:hint="eastAsia" w:ascii="FZFSK--GBK1-0" w:hAnsi="FZFSK--GBK1-0" w:eastAsia="FZFSK--GBK1-0"/>
                          <w:b w:val="0"/>
                          <w:bCs w:val="0"/>
                          <w:sz w:val="18"/>
                          <w:szCs w:val="18"/>
                          <w:lang w:val="en-US" w:eastAsia="zh-CN"/>
                        </w:rPr>
                      </w:pPr>
                      <w:r>
                        <w:rPr>
                          <w:rFonts w:hint="eastAsia" w:ascii="FZFSK--GBK1-0" w:hAnsi="FZFSK--GBK1-0" w:eastAsia="FZFSK--GBK1-0"/>
                          <w:b w:val="0"/>
                          <w:bCs w:val="0"/>
                          <w:sz w:val="18"/>
                          <w:szCs w:val="18"/>
                          <w:lang w:val="en-US" w:eastAsia="zh-CN"/>
                        </w:rPr>
                        <w:t>颜色为灰褐色</w:t>
                      </w:r>
                    </w:p>
                    <w:p>
                      <w:pPr>
                        <w:spacing w:beforeLines="0" w:line="280" w:lineRule="exact"/>
                        <w:jc w:val="left"/>
                        <w:rPr>
                          <w:rFonts w:ascii="FZFSK--GBK1-0" w:hAnsi="FZFSK--GBK1-0" w:eastAsia="FZFSK--GBK1-0"/>
                          <w:b w:val="0"/>
                          <w:bCs w:val="0"/>
                          <w:sz w:val="18"/>
                          <w:szCs w:val="18"/>
                        </w:rPr>
                      </w:pPr>
                      <w:r>
                        <w:rPr>
                          <w:rFonts w:hint="eastAsia" w:ascii="FZFSK--GBK1-0" w:hAnsi="FZFSK--GBK1-0" w:eastAsia="FZFSK--GBK1-0"/>
                          <w:b w:val="0"/>
                          <w:bCs w:val="0"/>
                          <w:sz w:val="18"/>
                          <w:szCs w:val="18"/>
                          <w:lang w:val="en-US" w:eastAsia="zh-CN"/>
                        </w:rPr>
                        <w:t>款式、规格、原料、工艺要求</w:t>
                      </w:r>
                      <w:r>
                        <w:rPr>
                          <w:rFonts w:hint="eastAsia" w:ascii="FZFSK--GBK1-0" w:hAnsi="FZFSK--GBK1-0" w:eastAsia="FZFSK--GBK1-0"/>
                          <w:b w:val="0"/>
                          <w:bCs w:val="0"/>
                          <w:sz w:val="18"/>
                          <w:szCs w:val="18"/>
                        </w:rPr>
                        <w:t>同女乘短袜</w:t>
                      </w:r>
                    </w:p>
                    <w:p>
                      <w:pPr>
                        <w:spacing w:line="280" w:lineRule="exact"/>
                        <w:jc w:val="left"/>
                      </w:pPr>
                    </w:p>
                  </w:txbxContent>
                </v:textbox>
                <w10:wrap type="square"/>
              </v:shape>
            </w:pict>
          </mc:Fallback>
        </mc:AlternateContent>
      </w:r>
    </w:p>
    <w:p>
      <w:pPr>
        <w:rPr>
          <w:rFonts w:hint="eastAsia" w:ascii="宋体" w:hAnsi="宋体" w:eastAsia="宋体" w:cs="宋体"/>
          <w:color w:val="auto"/>
          <w:sz w:val="21"/>
          <w:szCs w:val="21"/>
          <w:highlight w:val="none"/>
          <w:lang w:val="en-US" w:eastAsia="zh-CN"/>
        </w:rPr>
      </w:pPr>
    </w:p>
    <w:p>
      <w:pPr>
        <w:pStyle w:val="20"/>
        <w:rPr>
          <w:rFonts w:hint="eastAsia" w:ascii="宋体" w:hAnsi="宋体" w:eastAsia="宋体" w:cs="宋体"/>
          <w:color w:val="auto"/>
          <w:sz w:val="21"/>
          <w:szCs w:val="21"/>
          <w:highlight w:val="none"/>
          <w:lang w:val="en-US" w:eastAsia="zh-CN"/>
        </w:rPr>
      </w:pP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drawing>
          <wp:anchor distT="0" distB="0" distL="114300" distR="114300" simplePos="0" relativeHeight="251671552" behindDoc="0" locked="0" layoutInCell="1" allowOverlap="1">
            <wp:simplePos x="0" y="0"/>
            <wp:positionH relativeFrom="column">
              <wp:posOffset>297815</wp:posOffset>
            </wp:positionH>
            <wp:positionV relativeFrom="paragraph">
              <wp:posOffset>13970</wp:posOffset>
            </wp:positionV>
            <wp:extent cx="1428115" cy="1651000"/>
            <wp:effectExtent l="0" t="0" r="635" b="6350"/>
            <wp:wrapTopAndBottom/>
            <wp:docPr id="10" name="图片 63" descr="D:\办公文件\服装管理手册\服装图片\2019手册移动端\C039窗口女短袜\C039窗口女短袜.jpgC039窗口女短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3" descr="D:\办公文件\服装管理手册\服装图片\2019手册移动端\C039窗口女短袜\C039窗口女短袜.jpgC039窗口女短袜"/>
                    <pic:cNvPicPr>
                      <a:picLocks noChangeAspect="1"/>
                    </pic:cNvPicPr>
                  </pic:nvPicPr>
                  <pic:blipFill>
                    <a:blip r:embed="rId13"/>
                    <a:stretch>
                      <a:fillRect/>
                    </a:stretch>
                  </pic:blipFill>
                  <pic:spPr>
                    <a:xfrm>
                      <a:off x="0" y="0"/>
                      <a:ext cx="1428115" cy="1651000"/>
                    </a:xfrm>
                    <a:prstGeom prst="rect">
                      <a:avLst/>
                    </a:prstGeom>
                    <a:noFill/>
                    <a:ln>
                      <a:noFill/>
                    </a:ln>
                  </pic:spPr>
                </pic:pic>
              </a:graphicData>
            </a:graphic>
          </wp:anchor>
        </w:drawing>
      </w:r>
    </w:p>
    <w:p>
      <w:pPr>
        <w:pStyle w:val="20"/>
        <w:rPr>
          <w:rFonts w:hint="eastAsia" w:ascii="宋体" w:hAnsi="宋体" w:eastAsia="宋体" w:cs="宋体"/>
          <w:color w:val="auto"/>
          <w:sz w:val="21"/>
          <w:szCs w:val="21"/>
          <w:highlight w:val="none"/>
          <w:lang w:val="en-US" w:eastAsia="zh-CN"/>
        </w:rPr>
      </w:pPr>
    </w:p>
    <w:p>
      <w:pPr>
        <w:spacing w:beforeLines="30" w:line="280" w:lineRule="exact"/>
        <w:jc w:val="left"/>
        <w:rPr>
          <w:rFonts w:hint="eastAsia" w:ascii="宋体" w:hAnsi="宋体" w:eastAsia="宋体" w:cs="宋体"/>
          <w:b/>
          <w:bCs/>
          <w:color w:val="auto"/>
          <w:sz w:val="21"/>
          <w:szCs w:val="21"/>
          <w:highlight w:val="none"/>
          <w:u w:val="none"/>
          <w:lang w:val="en-US" w:eastAsia="zh-CN"/>
        </w:rPr>
      </w:pPr>
    </w:p>
    <w:p>
      <w:pPr>
        <w:spacing w:beforeLines="30" w:line="280" w:lineRule="exact"/>
        <w:ind w:firstLine="421" w:firstLineChars="200"/>
        <w:jc w:val="left"/>
        <w:rPr>
          <w:rFonts w:hint="eastAsia" w:ascii="宋体" w:hAnsi="宋体" w:eastAsia="宋体" w:cs="宋体"/>
          <w:b/>
          <w:bCs/>
          <w:color w:val="auto"/>
          <w:sz w:val="21"/>
          <w:szCs w:val="21"/>
          <w:highlight w:val="none"/>
          <w:u w:val="none"/>
          <w:lang w:val="en-US" w:eastAsia="zh-CN"/>
        </w:rPr>
      </w:pPr>
    </w:p>
    <w:p>
      <w:pPr>
        <w:spacing w:beforeLines="30" w:line="280" w:lineRule="exact"/>
        <w:ind w:firstLine="421" w:firstLineChars="200"/>
        <w:jc w:val="left"/>
        <w:rPr>
          <w:rFonts w:hint="eastAsia" w:ascii="宋体" w:hAnsi="宋体" w:eastAsia="宋体" w:cs="宋体"/>
          <w:b/>
          <w:bCs/>
          <w:color w:val="auto"/>
          <w:sz w:val="21"/>
          <w:szCs w:val="21"/>
          <w:highlight w:val="none"/>
          <w:u w:val="none"/>
          <w:lang w:val="en-US" w:eastAsia="zh-CN"/>
        </w:rPr>
      </w:pPr>
    </w:p>
    <w:p>
      <w:pPr>
        <w:spacing w:beforeLines="30" w:line="280" w:lineRule="exact"/>
        <w:ind w:firstLine="421" w:firstLineChars="200"/>
        <w:jc w:val="left"/>
        <w:rPr>
          <w:rFonts w:hint="eastAsia" w:ascii="宋体" w:hAnsi="宋体" w:eastAsia="宋体" w:cs="宋体"/>
          <w:b/>
          <w:bCs/>
          <w:color w:val="auto"/>
          <w:sz w:val="21"/>
          <w:szCs w:val="21"/>
          <w:highlight w:val="none"/>
          <w:u w:val="none"/>
          <w:lang w:val="en-US" w:eastAsia="zh-CN"/>
        </w:rPr>
      </w:pPr>
    </w:p>
    <w:p>
      <w:pPr>
        <w:pageBreakBefore w:val="0"/>
        <w:widowControl w:val="0"/>
        <w:kinsoku/>
        <w:wordWrap/>
        <w:overflowPunct/>
        <w:topLinePunct w:val="0"/>
        <w:bidi w:val="0"/>
        <w:snapToGrid/>
        <w:spacing w:line="360" w:lineRule="auto"/>
        <w:ind w:firstLine="421" w:firstLineChars="200"/>
        <w:jc w:val="left"/>
        <w:textAlignment w:val="auto"/>
        <w:rPr>
          <w:rFonts w:hint="eastAsia" w:ascii="宋体" w:hAnsi="宋体"/>
          <w:b/>
          <w:color w:val="auto"/>
          <w:sz w:val="21"/>
          <w:szCs w:val="21"/>
          <w:highlight w:val="none"/>
          <w:lang w:eastAsia="zh-CN"/>
        </w:rPr>
      </w:pPr>
      <w:r>
        <w:rPr>
          <w:rFonts w:hint="eastAsia" w:ascii="宋体" w:hAnsi="宋体" w:eastAsia="宋体" w:cs="宋体"/>
          <w:b/>
          <w:bCs/>
          <w:color w:val="auto"/>
          <w:sz w:val="21"/>
          <w:szCs w:val="21"/>
          <w:highlight w:val="none"/>
          <w:u w:val="none"/>
          <w:lang w:val="en-US" w:eastAsia="zh-CN"/>
        </w:rPr>
        <w:t>六、</w:t>
      </w:r>
      <w:r>
        <w:rPr>
          <w:rFonts w:hint="eastAsia" w:ascii="宋体" w:hAnsi="宋体" w:eastAsia="宋体" w:cs="宋体"/>
          <w:b/>
          <w:bCs/>
          <w:color w:val="auto"/>
          <w:sz w:val="21"/>
          <w:szCs w:val="21"/>
          <w:highlight w:val="none"/>
          <w:u w:val="single"/>
          <w:lang w:val="en-US" w:eastAsia="zh-CN"/>
        </w:rPr>
        <w:t>窗口女加厚裤袜同女乘加厚裤袜同款</w:t>
      </w:r>
    </w:p>
    <w:p>
      <w:pPr>
        <w:pageBreakBefore w:val="0"/>
        <w:widowControl w:val="0"/>
        <w:numPr>
          <w:ilvl w:val="0"/>
          <w:numId w:val="0"/>
        </w:numPr>
        <w:kinsoku/>
        <w:wordWrap/>
        <w:overflowPunct/>
        <w:topLinePunct w:val="0"/>
        <w:bidi w:val="0"/>
        <w:snapToGrid/>
        <w:spacing w:line="360" w:lineRule="auto"/>
        <w:ind w:firstLine="421" w:firstLineChars="200"/>
        <w:textAlignment w:val="auto"/>
        <w:rPr>
          <w:rFonts w:hint="eastAsia" w:ascii="宋体" w:hAnsi="宋体"/>
          <w:b/>
          <w:color w:val="auto"/>
          <w:sz w:val="21"/>
          <w:szCs w:val="21"/>
          <w:highlight w:val="none"/>
        </w:rPr>
      </w:pPr>
      <w:r>
        <w:rPr>
          <w:rFonts w:hint="eastAsia" w:ascii="宋体" w:hAnsi="宋体"/>
          <w:b/>
          <w:color w:val="auto"/>
          <w:sz w:val="21"/>
          <w:szCs w:val="21"/>
          <w:highlight w:val="none"/>
          <w:lang w:eastAsia="zh-CN"/>
        </w:rPr>
        <w:t>七、</w:t>
      </w:r>
      <w:r>
        <w:rPr>
          <w:rFonts w:hint="eastAsia" w:ascii="宋体" w:hAnsi="宋体"/>
          <w:b/>
          <w:color w:val="auto"/>
          <w:sz w:val="21"/>
          <w:szCs w:val="21"/>
          <w:highlight w:val="none"/>
        </w:rPr>
        <w:t>关于样品要求</w:t>
      </w:r>
    </w:p>
    <w:p>
      <w:pPr>
        <w:pStyle w:val="20"/>
        <w:pageBreakBefore w:val="0"/>
        <w:widowControl w:val="0"/>
        <w:numPr>
          <w:ilvl w:val="0"/>
          <w:numId w:val="0"/>
        </w:numPr>
        <w:tabs>
          <w:tab w:val="left" w:pos="6833"/>
        </w:tabs>
        <w:kinsoku/>
        <w:wordWrap/>
        <w:overflowPunct/>
        <w:topLinePunct w:val="0"/>
        <w:bidi w:val="0"/>
        <w:snapToGrid/>
        <w:spacing w:line="360" w:lineRule="auto"/>
        <w:textAlignment w:val="auto"/>
        <w:rPr>
          <w:rStyle w:val="43"/>
          <w:rFonts w:hint="default" w:ascii="宋体" w:hAnsi="宋体" w:eastAsia="宋体" w:cs="宋体"/>
          <w:b w:val="0"/>
          <w:color w:val="auto"/>
          <w:sz w:val="21"/>
          <w:szCs w:val="21"/>
          <w:highlight w:val="none"/>
          <w:lang w:val="en-US" w:eastAsia="zh-CN"/>
        </w:rPr>
      </w:pPr>
      <w:r>
        <w:rPr>
          <w:rFonts w:hint="eastAsia"/>
          <w:color w:val="auto"/>
          <w:highlight w:val="none"/>
          <w:lang w:val="en-US" w:eastAsia="zh-CN"/>
        </w:rPr>
        <w:t xml:space="preserve">    </w:t>
      </w:r>
      <w:r>
        <w:rPr>
          <w:rFonts w:hint="eastAsia" w:ascii="宋体" w:hAnsi="宋体" w:eastAsia="宋体" w:cs="宋体"/>
          <w:b/>
          <w:bCs/>
          <w:color w:val="auto"/>
          <w:sz w:val="21"/>
          <w:szCs w:val="21"/>
          <w:highlight w:val="none"/>
          <w:lang w:val="en-US" w:eastAsia="zh-CN"/>
        </w:rPr>
        <w:t>★</w:t>
      </w:r>
      <w:r>
        <w:rPr>
          <w:rFonts w:hint="eastAsia"/>
          <w:color w:val="auto"/>
          <w:highlight w:val="none"/>
          <w:lang w:val="en-US" w:eastAsia="zh-CN"/>
        </w:rPr>
        <w:t>1</w:t>
      </w:r>
      <w:r>
        <w:rPr>
          <w:rFonts w:hint="eastAsia" w:ascii="宋体"/>
          <w:color w:val="auto"/>
          <w:highlight w:val="none"/>
          <w:lang w:val="en-US" w:eastAsia="zh-CN"/>
        </w:rPr>
        <w:t>.</w:t>
      </w:r>
      <w:r>
        <w:rPr>
          <w:rFonts w:hint="eastAsia" w:ascii="宋体"/>
          <w:color w:val="auto"/>
          <w:sz w:val="21"/>
          <w:szCs w:val="21"/>
          <w:highlight w:val="none"/>
        </w:rPr>
        <w:t>投标人在开标时间之前依照本</w:t>
      </w:r>
      <w:r>
        <w:rPr>
          <w:rFonts w:hint="eastAsia" w:ascii="宋体"/>
          <w:color w:val="auto"/>
          <w:sz w:val="21"/>
          <w:szCs w:val="21"/>
          <w:highlight w:val="none"/>
          <w:lang w:eastAsia="zh-CN"/>
        </w:rPr>
        <w:t>项目</w:t>
      </w:r>
      <w:r>
        <w:rPr>
          <w:rFonts w:hint="eastAsia" w:ascii="宋体"/>
          <w:color w:val="auto"/>
          <w:sz w:val="21"/>
          <w:szCs w:val="21"/>
          <w:highlight w:val="none"/>
        </w:rPr>
        <w:t>采购内容提供投标样品:</w:t>
      </w:r>
      <w:r>
        <w:rPr>
          <w:rFonts w:hint="eastAsia" w:ascii="宋体"/>
          <w:color w:val="auto"/>
          <w:sz w:val="21"/>
          <w:szCs w:val="21"/>
          <w:highlight w:val="none"/>
          <w:lang w:eastAsia="zh-CN"/>
        </w:rPr>
        <w:tab/>
      </w:r>
    </w:p>
    <w:p>
      <w:pPr>
        <w:pageBreakBefore w:val="0"/>
        <w:widowControl w:val="0"/>
        <w:kinsoku/>
        <w:wordWrap/>
        <w:overflowPunct/>
        <w:topLinePunct w:val="0"/>
        <w:autoSpaceDE w:val="0"/>
        <w:autoSpaceDN w:val="0"/>
        <w:bidi w:val="0"/>
        <w:adjustRightInd w:val="0"/>
        <w:snapToGrid/>
        <w:spacing w:line="360" w:lineRule="auto"/>
        <w:ind w:firstLine="421" w:firstLineChars="200"/>
        <w:textAlignment w:val="auto"/>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a.女乘丝袜2双</w:t>
      </w:r>
    </w:p>
    <w:p>
      <w:pPr>
        <w:pageBreakBefore w:val="0"/>
        <w:widowControl w:val="0"/>
        <w:kinsoku/>
        <w:wordWrap/>
        <w:overflowPunct/>
        <w:topLinePunct w:val="0"/>
        <w:autoSpaceDE w:val="0"/>
        <w:autoSpaceDN w:val="0"/>
        <w:bidi w:val="0"/>
        <w:adjustRightInd w:val="0"/>
        <w:snapToGrid/>
        <w:spacing w:line="360" w:lineRule="auto"/>
        <w:ind w:firstLine="421" w:firstLineChars="200"/>
        <w:textAlignment w:val="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b.加厚裤袜2双</w:t>
      </w:r>
    </w:p>
    <w:p>
      <w:pPr>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eastAsia="宋体"/>
          <w:color w:val="auto"/>
          <w:highlight w:val="none"/>
          <w:lang w:eastAsia="zh-CN"/>
        </w:rPr>
      </w:pPr>
      <w:r>
        <w:rPr>
          <w:rFonts w:hint="eastAsia" w:ascii="宋体"/>
          <w:color w:val="auto"/>
          <w:highlight w:val="none"/>
          <w:lang w:val="en-US" w:eastAsia="zh-CN"/>
        </w:rPr>
        <w:t>2.</w:t>
      </w:r>
      <w:r>
        <w:rPr>
          <w:rFonts w:hint="eastAsia" w:ascii="宋体"/>
          <w:color w:val="auto"/>
          <w:highlight w:val="none"/>
        </w:rPr>
        <w:t>递交的投标样品依照招标文件的采购技术要求制作，没有采购技术要求的，依照招标提供的样品制作。所递交投标产品的样品，式样、面料、技术等均需符合本次采购需求的要求</w:t>
      </w:r>
      <w:r>
        <w:rPr>
          <w:rFonts w:hint="eastAsia" w:ascii="宋体"/>
          <w:color w:val="auto"/>
          <w:highlight w:val="none"/>
          <w:lang w:eastAsia="zh-CN"/>
        </w:rPr>
        <w:t>。</w:t>
      </w:r>
    </w:p>
    <w:p>
      <w:pPr>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color w:val="auto"/>
          <w:highlight w:val="none"/>
          <w:lang w:eastAsia="zh-CN"/>
        </w:rPr>
      </w:pPr>
      <w:r>
        <w:rPr>
          <w:rFonts w:hint="eastAsia" w:ascii="宋体"/>
          <w:color w:val="auto"/>
          <w:highlight w:val="none"/>
        </w:rPr>
        <w:t>★</w:t>
      </w:r>
      <w:r>
        <w:rPr>
          <w:rFonts w:hint="eastAsia" w:ascii="宋体"/>
          <w:color w:val="auto"/>
          <w:highlight w:val="none"/>
          <w:lang w:val="en-US" w:eastAsia="zh-CN"/>
        </w:rPr>
        <w:t>3.</w:t>
      </w:r>
      <w:r>
        <w:rPr>
          <w:rFonts w:hint="eastAsia" w:ascii="宋体"/>
          <w:color w:val="auto"/>
          <w:highlight w:val="none"/>
        </w:rPr>
        <w:t xml:space="preserve"> </w:t>
      </w:r>
      <w:r>
        <w:rPr>
          <w:rFonts w:hint="eastAsia" w:ascii="宋体"/>
          <w:color w:val="auto"/>
          <w:highlight w:val="none"/>
          <w:lang w:eastAsia="zh-CN"/>
        </w:rPr>
        <w:t>投标人的</w:t>
      </w:r>
      <w:r>
        <w:rPr>
          <w:rFonts w:hint="eastAsia" w:ascii="宋体"/>
          <w:color w:val="auto"/>
          <w:highlight w:val="none"/>
        </w:rPr>
        <w:t>样品不能标记公司、品牌字样和任何可识别标记，各投标人仅需在</w:t>
      </w:r>
      <w:r>
        <w:rPr>
          <w:rFonts w:hint="eastAsia" w:ascii="宋体"/>
          <w:color w:val="auto"/>
          <w:highlight w:val="none"/>
          <w:lang w:eastAsia="zh-CN"/>
        </w:rPr>
        <w:t>投标</w:t>
      </w:r>
      <w:r>
        <w:rPr>
          <w:rFonts w:hint="eastAsia" w:ascii="宋体"/>
          <w:color w:val="auto"/>
          <w:highlight w:val="none"/>
        </w:rPr>
        <w:t>样品</w:t>
      </w:r>
      <w:r>
        <w:rPr>
          <w:rFonts w:hint="eastAsia" w:ascii="宋体"/>
          <w:color w:val="auto"/>
          <w:highlight w:val="none"/>
          <w:lang w:eastAsia="zh-CN"/>
        </w:rPr>
        <w:t>外</w:t>
      </w:r>
      <w:r>
        <w:rPr>
          <w:rFonts w:hint="eastAsia" w:ascii="宋体"/>
          <w:color w:val="auto"/>
          <w:highlight w:val="none"/>
        </w:rPr>
        <w:t>包装盒上标记生产企业或品牌名称，待评标结束后将统一公布样品所属的各投标人</w:t>
      </w:r>
      <w:r>
        <w:rPr>
          <w:rFonts w:hint="eastAsia" w:ascii="宋体"/>
          <w:color w:val="auto"/>
          <w:highlight w:val="none"/>
          <w:lang w:eastAsia="zh-CN"/>
        </w:rPr>
        <w:t>。</w:t>
      </w:r>
    </w:p>
    <w:p>
      <w:pPr>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cs="宋体"/>
          <w:color w:val="auto"/>
          <w:szCs w:val="21"/>
          <w:highlight w:val="none"/>
        </w:rPr>
      </w:pPr>
      <w:r>
        <w:rPr>
          <w:rFonts w:hint="eastAsia" w:ascii="宋体" w:hAnsi="Times New Roman" w:eastAsia="宋体" w:cs="Times New Roman"/>
          <w:color w:val="auto"/>
          <w:highlight w:val="none"/>
          <w:lang w:val="en-US" w:eastAsia="zh-CN"/>
        </w:rPr>
        <w:t>4.中标供货商须提供全新的、未使用过的货物，其质量、规格及技术特征必须符合本次招标采购的质量要求。</w:t>
      </w:r>
    </w:p>
    <w:p>
      <w:pPr>
        <w:pStyle w:val="20"/>
        <w:pageBreakBefore w:val="0"/>
        <w:widowControl w:val="0"/>
        <w:numPr>
          <w:ilvl w:val="0"/>
          <w:numId w:val="0"/>
        </w:numPr>
        <w:kinsoku/>
        <w:wordWrap/>
        <w:overflowPunct/>
        <w:topLinePunct w:val="0"/>
        <w:bidi w:val="0"/>
        <w:snapToGrid/>
        <w:spacing w:line="360" w:lineRule="auto"/>
        <w:ind w:firstLine="420" w:firstLineChars="200"/>
        <w:textAlignment w:val="auto"/>
        <w:rPr>
          <w:rFonts w:hint="eastAsia" w:ascii="宋体" w:hAnsi="Times New Roman" w:eastAsia="宋体" w:cs="Times New Roman"/>
          <w:color w:val="auto"/>
          <w:kern w:val="2"/>
          <w:sz w:val="21"/>
          <w:szCs w:val="24"/>
          <w:highlight w:val="none"/>
          <w:lang w:val="en-US" w:eastAsia="zh-CN" w:bidi="ar-SA"/>
        </w:rPr>
      </w:pPr>
      <w:r>
        <w:rPr>
          <w:rFonts w:hint="eastAsia" w:ascii="宋体" w:hAnsi="宋体" w:eastAsia="宋体" w:cs="宋体"/>
          <w:color w:val="auto"/>
          <w:szCs w:val="21"/>
          <w:highlight w:val="none"/>
        </w:rPr>
        <w:t>★</w:t>
      </w:r>
      <w:r>
        <w:rPr>
          <w:rFonts w:hint="default"/>
          <w:color w:val="auto"/>
          <w:highlight w:val="none"/>
          <w:lang w:val="en-US" w:eastAsia="zh-CN"/>
        </w:rPr>
        <w:t xml:space="preserve">5. </w:t>
      </w:r>
      <w:r>
        <w:rPr>
          <w:rFonts w:hint="eastAsia" w:ascii="宋体" w:hAnsi="Times New Roman" w:eastAsia="宋体" w:cs="Times New Roman"/>
          <w:color w:val="auto"/>
          <w:kern w:val="2"/>
          <w:sz w:val="21"/>
          <w:szCs w:val="24"/>
          <w:highlight w:val="none"/>
          <w:lang w:val="en-US" w:eastAsia="zh-CN" w:bidi="ar-SA"/>
        </w:rPr>
        <w:t>产前样（封样）确认：中标通知书发出后，中标供应商应按照招标人要求抓紧生产制作全部服装品种的产前样板并由招标人确认。超过45天仍未确认产前样板的，视为中标人不具备履约能力，招标人有权利终止合同。</w:t>
      </w:r>
    </w:p>
    <w:p>
      <w:pPr>
        <w:pStyle w:val="3"/>
        <w:keepNext/>
        <w:keepLines/>
        <w:pageBreakBefore w:val="0"/>
        <w:widowControl w:val="0"/>
        <w:numPr>
          <w:ilvl w:val="0"/>
          <w:numId w:val="0"/>
        </w:numPr>
        <w:kinsoku/>
        <w:wordWrap/>
        <w:overflowPunct/>
        <w:topLinePunct w:val="0"/>
        <w:bidi w:val="0"/>
        <w:snapToGrid/>
        <w:spacing w:before="0" w:after="0" w:line="360" w:lineRule="auto"/>
        <w:ind w:firstLine="421" w:firstLineChars="200"/>
        <w:textAlignment w:val="auto"/>
        <w:rPr>
          <w:rFonts w:hint="eastAsia" w:ascii="宋体" w:hAnsi="宋体" w:eastAsia="宋体" w:cs="宋体"/>
          <w:b w:val="0"/>
          <w:bCs w:val="0"/>
          <w:color w:val="auto"/>
          <w:sz w:val="21"/>
          <w:szCs w:val="21"/>
          <w:highlight w:val="none"/>
        </w:rPr>
      </w:pPr>
      <w:bookmarkStart w:id="402" w:name="_Toc1656973046"/>
      <w:bookmarkStart w:id="403" w:name="_Toc1540571952"/>
      <w:bookmarkStart w:id="404" w:name="_Toc459495984"/>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配送服务要求</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投标人须具有完善的物流管理体系和售后服务保障体系，提供完整的物流体系方案，确保招标人能够实时查询和追踪送货快递轨迹，使用商品售后服务（包含但不限于：及时响应、及时送货、质保、保修、退换货）。</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九</w:t>
      </w:r>
      <w:r>
        <w:rPr>
          <w:rFonts w:hint="eastAsia" w:ascii="宋体" w:hAnsi="宋体" w:eastAsia="宋体" w:cs="宋体"/>
          <w:b/>
          <w:bCs/>
          <w:color w:val="auto"/>
          <w:sz w:val="21"/>
          <w:szCs w:val="21"/>
          <w:highlight w:val="none"/>
        </w:rPr>
        <w:t>、验收依据</w:t>
      </w:r>
      <w:bookmarkEnd w:id="402"/>
      <w:bookmarkEnd w:id="403"/>
      <w:bookmarkEnd w:id="404"/>
    </w:p>
    <w:p>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按国家</w:t>
      </w:r>
      <w:r>
        <w:rPr>
          <w:rFonts w:hint="eastAsia" w:ascii="宋体" w:hAnsi="宋体" w:eastAsia="宋体" w:cs="宋体"/>
          <w:color w:val="auto"/>
          <w:highlight w:val="none"/>
          <w:lang w:val="en-US" w:eastAsia="zh-CN"/>
        </w:rPr>
        <w:t>FZ/T 73001-2016、GB18401-2010、FZ/T73023-2006、GB/T 29862-2013</w:t>
      </w:r>
      <w:r>
        <w:rPr>
          <w:rFonts w:hint="eastAsia" w:ascii="宋体" w:hAnsi="宋体" w:eastAsia="宋体" w:cs="宋体"/>
          <w:color w:val="auto"/>
          <w:highlight w:val="none"/>
        </w:rPr>
        <w:t>等一等品质量、南航服装手册标准和双方最终确认的“封样”验收。</w:t>
      </w:r>
    </w:p>
    <w:p>
      <w:pPr>
        <w:pStyle w:val="20"/>
        <w:keepNext w:val="0"/>
        <w:keepLines w:val="0"/>
        <w:pageBreakBefore w:val="0"/>
        <w:widowControl w:val="0"/>
        <w:kinsoku/>
        <w:wordWrap/>
        <w:overflowPunct/>
        <w:topLinePunct w:val="0"/>
        <w:autoSpaceDE/>
        <w:autoSpaceDN/>
        <w:bidi w:val="0"/>
        <w:adjustRightInd/>
        <w:snapToGrid/>
        <w:spacing w:line="360" w:lineRule="auto"/>
        <w:ind w:firstLine="421"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十</w:t>
      </w:r>
      <w:r>
        <w:rPr>
          <w:rFonts w:hint="eastAsia" w:ascii="宋体" w:hAnsi="宋体" w:eastAsia="宋体" w:cs="宋体"/>
          <w:b/>
          <w:bCs/>
          <w:color w:val="auto"/>
          <w:highlight w:val="none"/>
        </w:rPr>
        <w:t>、交货方式</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lang w:eastAsia="zh-CN"/>
        </w:rPr>
      </w:pPr>
      <w:r>
        <w:rPr>
          <w:rFonts w:hint="eastAsia" w:ascii="宋体" w:hAnsi="宋体" w:eastAsia="宋体" w:cs="宋体"/>
          <w:color w:val="auto"/>
          <w:highlight w:val="none"/>
        </w:rPr>
        <w:t>供应商需通过南航“服装e选”系统，将产品“点对点”配发至员工个人，少量机动数发至南航各单位（含分、子公司）指定地点</w:t>
      </w:r>
      <w:r>
        <w:rPr>
          <w:rFonts w:hint="eastAsia" w:ascii="宋体" w:hAnsi="宋体" w:eastAsia="宋体" w:cs="宋体"/>
          <w:color w:val="auto"/>
          <w:highlight w:val="none"/>
          <w:lang w:eastAsia="zh-CN"/>
        </w:rPr>
        <w:t>。</w:t>
      </w:r>
    </w:p>
    <w:p>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1" w:firstLineChars="200"/>
        <w:textAlignment w:val="auto"/>
        <w:rPr>
          <w:rFonts w:hint="eastAsia"/>
          <w:b/>
          <w:bCs/>
        </w:rPr>
      </w:pPr>
      <w:r>
        <w:rPr>
          <w:rFonts w:hint="eastAsia" w:ascii="宋体" w:hAnsi="宋体" w:eastAsia="宋体" w:cs="宋体"/>
          <w:b/>
          <w:bCs/>
          <w:color w:val="auto"/>
          <w:highlight w:val="none"/>
          <w:lang w:val="en-US" w:eastAsia="zh-CN"/>
        </w:rPr>
        <w:t>十一、</w:t>
      </w:r>
      <w:r>
        <w:rPr>
          <w:rFonts w:hint="eastAsia" w:ascii="宋体" w:hAnsi="宋体" w:eastAsia="宋体" w:cs="宋体"/>
          <w:b/>
          <w:bCs/>
          <w:color w:val="auto"/>
          <w:highlight w:val="none"/>
        </w:rPr>
        <w:t>包装要求</w:t>
      </w:r>
    </w:p>
    <w:p>
      <w:pPr>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rPr>
        <w:t>（1）</w:t>
      </w:r>
      <w:r>
        <w:rPr>
          <w:rFonts w:hint="eastAsia" w:ascii="宋体" w:hAnsi="宋体" w:eastAsia="宋体" w:cs="宋体"/>
          <w:color w:val="auto"/>
          <w:sz w:val="21"/>
          <w:szCs w:val="21"/>
          <w:highlight w:val="none"/>
        </w:rPr>
        <w:t>配送至个人的服装，防尘袋独立包装，寄件袋或箱外标明收货人姓名、地址、电话以及物品名称、数量等，包装物要结实不破损，并视情况加打包带。</w:t>
      </w:r>
      <w:r>
        <w:rPr>
          <w:rFonts w:hint="eastAsia" w:ascii="宋体" w:hAnsi="宋体" w:eastAsia="宋体" w:cs="宋体"/>
          <w:color w:val="auto"/>
          <w:sz w:val="21"/>
          <w:szCs w:val="21"/>
          <w:highlight w:val="none"/>
          <w:lang w:val="en-US" w:eastAsia="zh-CN"/>
        </w:rPr>
        <w:t>快递单须做隐私保护处理。</w:t>
      </w:r>
    </w:p>
    <w:p>
      <w:pPr>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配送至南航各单位的服装，防尘袋独立包装，袋外标明号码，纸箱叠装，箱体两端标明收物单位、收货人姓名、地址、电话以及物品名称、号码、数量、单位等，纸箱不宜太大、要结实不破损，并加“井”字打包带。</w:t>
      </w:r>
      <w:r>
        <w:rPr>
          <w:rFonts w:hint="eastAsia" w:ascii="宋体" w:hAnsi="宋体" w:eastAsia="宋体" w:cs="宋体"/>
          <w:color w:val="auto"/>
          <w:sz w:val="21"/>
          <w:szCs w:val="21"/>
          <w:highlight w:val="none"/>
          <w:lang w:val="en-US" w:eastAsia="zh-CN"/>
        </w:rPr>
        <w:t>快递单须做隐私保护处理。</w:t>
      </w:r>
    </w:p>
    <w:p>
      <w:pPr>
        <w:pStyle w:val="20"/>
        <w:keepNext w:val="0"/>
        <w:keepLines w:val="0"/>
        <w:pageBreakBefore w:val="0"/>
        <w:widowControl w:val="0"/>
        <w:kinsoku/>
        <w:wordWrap/>
        <w:overflowPunct/>
        <w:topLinePunct w:val="0"/>
        <w:autoSpaceDE/>
        <w:autoSpaceDN/>
        <w:bidi w:val="0"/>
        <w:adjustRightInd/>
        <w:snapToGrid/>
        <w:spacing w:line="500" w:lineRule="exact"/>
        <w:textAlignment w:val="auto"/>
        <w:rPr>
          <w:rStyle w:val="33"/>
          <w:rFonts w:hint="eastAsia" w:ascii="宋体" w:hAnsi="宋体" w:eastAsia="宋体" w:cs="宋体"/>
          <w:color w:val="auto"/>
          <w:sz w:val="21"/>
          <w:szCs w:val="21"/>
          <w:highlight w:val="none"/>
        </w:rPr>
      </w:pPr>
    </w:p>
    <w:p>
      <w:pPr>
        <w:pStyle w:val="20"/>
        <w:rPr>
          <w:rFonts w:hint="eastAsia"/>
          <w:color w:val="auto"/>
          <w:highlight w:val="none"/>
        </w:rPr>
      </w:pPr>
      <w:bookmarkStart w:id="405" w:name="_Toc3735"/>
      <w:bookmarkStart w:id="406" w:name="_Toc5531"/>
      <w:bookmarkStart w:id="407" w:name="_Toc17657"/>
      <w:bookmarkStart w:id="408" w:name="_Toc34646006"/>
      <w:bookmarkStart w:id="409" w:name="_Toc16554"/>
      <w:bookmarkStart w:id="410" w:name="_Toc504657632"/>
      <w:bookmarkStart w:id="411" w:name="_Toc3914"/>
      <w:bookmarkStart w:id="412" w:name="_Toc12303"/>
      <w:bookmarkStart w:id="413" w:name="_Toc27582"/>
      <w:bookmarkStart w:id="414" w:name="_Toc25832"/>
      <w:bookmarkStart w:id="415" w:name="_Toc32350"/>
      <w:bookmarkStart w:id="416" w:name="_Toc7591"/>
      <w:bookmarkStart w:id="417" w:name="_Toc29803"/>
    </w:p>
    <w:p>
      <w:pPr>
        <w:pStyle w:val="3"/>
        <w:spacing w:line="760" w:lineRule="exact"/>
        <w:jc w:val="center"/>
        <w:rPr>
          <w:rStyle w:val="43"/>
          <w:rFonts w:hint="eastAsia" w:ascii="宋体" w:hAnsi="宋体" w:cs="宋体"/>
          <w:b/>
          <w:bCs w:val="0"/>
          <w:color w:val="auto"/>
          <w:highlight w:val="none"/>
        </w:rPr>
      </w:pPr>
      <w:r>
        <w:rPr>
          <w:rStyle w:val="43"/>
          <w:rFonts w:hint="eastAsia" w:ascii="宋体" w:hAnsi="宋体" w:cs="宋体"/>
          <w:b/>
          <w:bCs w:val="0"/>
          <w:color w:val="auto"/>
          <w:highlight w:val="none"/>
        </w:rPr>
        <w:br w:type="page"/>
      </w:r>
      <w:bookmarkStart w:id="418" w:name="_Toc1727848127"/>
      <w:bookmarkStart w:id="419" w:name="_Toc1396307895"/>
      <w:bookmarkStart w:id="420" w:name="_Toc151131358"/>
      <w:r>
        <w:rPr>
          <w:rStyle w:val="43"/>
          <w:rFonts w:hint="eastAsia" w:ascii="宋体" w:hAnsi="宋体" w:cs="宋体"/>
          <w:b/>
          <w:bCs w:val="0"/>
          <w:color w:val="auto"/>
          <w:highlight w:val="none"/>
        </w:rPr>
        <w:t>第五章  合同条款及格式</w:t>
      </w:r>
      <w:bookmarkEnd w:id="405"/>
      <w:bookmarkEnd w:id="406"/>
      <w:bookmarkEnd w:id="407"/>
      <w:bookmarkEnd w:id="408"/>
      <w:bookmarkEnd w:id="409"/>
      <w:bookmarkEnd w:id="418"/>
      <w:bookmarkEnd w:id="419"/>
      <w:bookmarkEnd w:id="420"/>
    </w:p>
    <w:p>
      <w:pPr>
        <w:pStyle w:val="20"/>
        <w:rPr>
          <w:color w:val="auto"/>
          <w:highlight w:val="none"/>
        </w:rPr>
      </w:pPr>
    </w:p>
    <w:p>
      <w:pPr>
        <w:pageBreakBefore w:val="0"/>
        <w:numPr>
          <w:ilvl w:val="0"/>
          <w:numId w:val="0"/>
        </w:numPr>
        <w:spacing w:before="0" w:beforeLines="0" w:after="0" w:afterLines="0" w:line="240" w:lineRule="auto"/>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南航</w:t>
      </w:r>
      <w:r>
        <w:rPr>
          <w:rFonts w:hint="eastAsia" w:ascii="仿宋" w:hAnsi="仿宋" w:eastAsia="仿宋" w:cs="仿宋"/>
          <w:b/>
          <w:bCs/>
          <w:color w:val="auto"/>
          <w:sz w:val="44"/>
          <w:szCs w:val="44"/>
          <w:highlight w:val="none"/>
          <w:lang w:val="en-US" w:eastAsia="zh-CN"/>
        </w:rPr>
        <w:t>****系列</w:t>
      </w:r>
      <w:r>
        <w:rPr>
          <w:rFonts w:hint="eastAsia" w:ascii="仿宋" w:hAnsi="仿宋" w:eastAsia="仿宋" w:cs="仿宋"/>
          <w:b/>
          <w:bCs/>
          <w:color w:val="auto"/>
          <w:sz w:val="44"/>
          <w:szCs w:val="44"/>
          <w:highlight w:val="none"/>
          <w:lang w:eastAsia="zh-CN"/>
        </w:rPr>
        <w:t>采购框架</w:t>
      </w:r>
      <w:r>
        <w:rPr>
          <w:rFonts w:hint="eastAsia" w:ascii="仿宋" w:hAnsi="仿宋" w:eastAsia="仿宋" w:cs="仿宋"/>
          <w:b/>
          <w:bCs/>
          <w:color w:val="auto"/>
          <w:sz w:val="44"/>
          <w:szCs w:val="44"/>
          <w:highlight w:val="none"/>
          <w:lang w:val="en-US" w:eastAsia="zh-CN"/>
        </w:rPr>
        <w:t>合同</w:t>
      </w:r>
    </w:p>
    <w:p>
      <w:pPr>
        <w:spacing w:line="360" w:lineRule="auto"/>
        <w:ind w:firstLine="963" w:firstLineChars="300"/>
        <w:jc w:val="left"/>
        <w:rPr>
          <w:rFonts w:hint="eastAsia" w:ascii="宋体" w:hAnsi="宋体"/>
          <w:b/>
          <w:bCs/>
          <w:color w:val="auto"/>
          <w:sz w:val="32"/>
          <w:szCs w:val="32"/>
          <w:highlight w:val="none"/>
          <w:lang w:eastAsia="zh-CN"/>
        </w:rPr>
      </w:pPr>
    </w:p>
    <w:p>
      <w:pPr>
        <w:spacing w:line="360" w:lineRule="auto"/>
        <w:rPr>
          <w:rFonts w:hint="eastAsia" w:ascii="仿宋" w:hAnsi="仿宋" w:eastAsia="仿宋" w:cs="仿宋"/>
          <w:color w:val="auto"/>
          <w:sz w:val="21"/>
          <w:szCs w:val="21"/>
          <w:highlight w:val="none"/>
          <w:lang w:eastAsia="zh-CN"/>
        </w:rPr>
      </w:pPr>
    </w:p>
    <w:p>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甲</w:t>
      </w:r>
      <w:r>
        <w:rPr>
          <w:rFonts w:hint="eastAsia" w:ascii="仿宋" w:hAnsi="仿宋" w:eastAsia="仿宋" w:cs="仿宋"/>
          <w:color w:val="auto"/>
          <w:sz w:val="21"/>
          <w:szCs w:val="21"/>
          <w:highlight w:val="none"/>
        </w:rPr>
        <w:t>方：</w:t>
      </w:r>
      <w:r>
        <w:rPr>
          <w:rFonts w:hint="eastAsia" w:ascii="仿宋" w:hAnsi="仿宋" w:eastAsia="仿宋" w:cs="仿宋"/>
          <w:color w:val="auto"/>
          <w:sz w:val="21"/>
          <w:szCs w:val="21"/>
          <w:highlight w:val="none"/>
          <w:u w:val="single"/>
        </w:rPr>
        <w:t>中国南方航空股份有限公司（甲方）</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合同编号：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乙</w:t>
      </w:r>
      <w:r>
        <w:rPr>
          <w:rFonts w:hint="eastAsia" w:ascii="仿宋" w:hAnsi="仿宋" w:eastAsia="仿宋" w:cs="仿宋"/>
          <w:color w:val="auto"/>
          <w:sz w:val="21"/>
          <w:szCs w:val="21"/>
          <w:highlight w:val="none"/>
          <w:lang w:bidi="ar"/>
        </w:rPr>
        <w:t>方</w:t>
      </w:r>
      <w:r>
        <w:rPr>
          <w:rFonts w:hint="eastAsia" w:ascii="仿宋" w:hAnsi="仿宋" w:eastAsia="仿宋" w:cs="仿宋"/>
          <w:color w:val="auto"/>
          <w:sz w:val="21"/>
          <w:szCs w:val="21"/>
          <w:highlight w:val="none"/>
          <w:lang w:eastAsia="zh-CN" w:bidi="ar"/>
        </w:rPr>
        <w:t>：</w:t>
      </w:r>
      <w:r>
        <w:rPr>
          <w:rFonts w:hint="eastAsia" w:ascii="仿宋" w:hAnsi="仿宋" w:eastAsia="仿宋" w:cs="仿宋"/>
          <w:i w:val="0"/>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bidi="ar"/>
        </w:rPr>
        <w:t>乙方）</w:t>
      </w:r>
      <w:r>
        <w:rPr>
          <w:rFonts w:hint="eastAsia" w:ascii="仿宋" w:hAnsi="仿宋" w:eastAsia="仿宋" w:cs="仿宋"/>
          <w:color w:val="auto"/>
          <w:sz w:val="21"/>
          <w:szCs w:val="21"/>
          <w:highlight w:val="none"/>
          <w:lang w:bidi="ar"/>
        </w:rPr>
        <w:t xml:space="preserve"> </w:t>
      </w:r>
      <w:r>
        <w:rPr>
          <w:rFonts w:hint="eastAsia" w:ascii="仿宋" w:hAnsi="仿宋" w:eastAsia="仿宋" w:cs="仿宋"/>
          <w:color w:val="auto"/>
          <w:sz w:val="21"/>
          <w:szCs w:val="21"/>
          <w:highlight w:val="none"/>
          <w:lang w:val="en-US" w:eastAsia="zh-CN" w:bidi="ar"/>
        </w:rPr>
        <w:t xml:space="preserve">       </w:t>
      </w:r>
      <w:r>
        <w:rPr>
          <w:rFonts w:hint="eastAsia" w:ascii="仿宋" w:hAnsi="仿宋" w:eastAsia="仿宋" w:cs="仿宋"/>
          <w:color w:val="auto"/>
          <w:sz w:val="21"/>
          <w:szCs w:val="21"/>
          <w:highlight w:val="none"/>
          <w:lang w:bidi="ar"/>
        </w:rPr>
        <w:t>签订地点：</w:t>
      </w:r>
      <w:r>
        <w:rPr>
          <w:rFonts w:hint="eastAsia" w:ascii="仿宋" w:hAnsi="仿宋" w:eastAsia="仿宋" w:cs="仿宋"/>
          <w:color w:val="auto"/>
          <w:sz w:val="21"/>
          <w:szCs w:val="21"/>
          <w:highlight w:val="none"/>
          <w:u w:val="single"/>
          <w:lang w:bidi="ar"/>
        </w:rPr>
        <w:t xml:space="preserve"> 广州市          </w:t>
      </w:r>
    </w:p>
    <w:p>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签订时间：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bidi="ar"/>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第一条</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品名、价款及交货时间</w:t>
      </w:r>
    </w:p>
    <w:tbl>
      <w:tblPr>
        <w:tblStyle w:val="27"/>
        <w:tblW w:w="99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49"/>
        <w:gridCol w:w="1602"/>
        <w:gridCol w:w="1274"/>
        <w:gridCol w:w="749"/>
        <w:gridCol w:w="1109"/>
        <w:gridCol w:w="1889"/>
        <w:gridCol w:w="2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1" w:hRule="atLeast"/>
        </w:trPr>
        <w:tc>
          <w:tcPr>
            <w:tcW w:w="54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b/>
                <w:i w:val="0"/>
                <w:color w:val="auto"/>
                <w:sz w:val="21"/>
                <w:szCs w:val="21"/>
                <w:highlight w:val="none"/>
                <w:u w:val="none"/>
              </w:rPr>
            </w:pPr>
            <w:r>
              <w:rPr>
                <w:rFonts w:hint="eastAsia" w:ascii="仿宋" w:hAnsi="仿宋" w:eastAsia="仿宋" w:cs="仿宋"/>
                <w:b/>
                <w:i w:val="0"/>
                <w:color w:val="auto"/>
                <w:kern w:val="0"/>
                <w:sz w:val="21"/>
                <w:szCs w:val="21"/>
                <w:highlight w:val="none"/>
                <w:u w:val="none"/>
                <w:lang w:val="en-US" w:eastAsia="zh-CN" w:bidi="ar"/>
              </w:rPr>
              <w:t>序号</w:t>
            </w:r>
          </w:p>
        </w:tc>
        <w:tc>
          <w:tcPr>
            <w:tcW w:w="160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b/>
                <w:i w:val="0"/>
                <w:color w:val="auto"/>
                <w:sz w:val="21"/>
                <w:szCs w:val="21"/>
                <w:highlight w:val="none"/>
                <w:u w:val="none"/>
              </w:rPr>
            </w:pPr>
            <w:r>
              <w:rPr>
                <w:rFonts w:hint="eastAsia" w:ascii="仿宋" w:hAnsi="仿宋" w:eastAsia="仿宋" w:cs="仿宋"/>
                <w:b/>
                <w:i w:val="0"/>
                <w:color w:val="auto"/>
                <w:kern w:val="0"/>
                <w:sz w:val="21"/>
                <w:szCs w:val="21"/>
                <w:highlight w:val="none"/>
                <w:u w:val="none"/>
                <w:lang w:val="en-US" w:eastAsia="zh-CN" w:bidi="ar"/>
              </w:rPr>
              <w:t>物品品种</w:t>
            </w:r>
          </w:p>
        </w:tc>
        <w:tc>
          <w:tcPr>
            <w:tcW w:w="127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b/>
                <w:i w:val="0"/>
                <w:color w:val="auto"/>
                <w:sz w:val="21"/>
                <w:szCs w:val="21"/>
                <w:highlight w:val="none"/>
                <w:u w:val="none"/>
              </w:rPr>
            </w:pPr>
            <w:r>
              <w:rPr>
                <w:rFonts w:hint="eastAsia" w:ascii="仿宋" w:hAnsi="仿宋" w:eastAsia="仿宋" w:cs="仿宋"/>
                <w:b/>
                <w:i w:val="0"/>
                <w:color w:val="auto"/>
                <w:kern w:val="0"/>
                <w:sz w:val="21"/>
                <w:szCs w:val="21"/>
                <w:highlight w:val="none"/>
                <w:u w:val="none"/>
                <w:lang w:val="en-US" w:eastAsia="zh-CN" w:bidi="ar"/>
              </w:rPr>
              <w:t>生产厂家</w:t>
            </w:r>
          </w:p>
        </w:tc>
        <w:tc>
          <w:tcPr>
            <w:tcW w:w="74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b/>
                <w:i w:val="0"/>
                <w:color w:val="auto"/>
                <w:sz w:val="21"/>
                <w:szCs w:val="21"/>
                <w:highlight w:val="none"/>
                <w:u w:val="none"/>
              </w:rPr>
            </w:pPr>
            <w:r>
              <w:rPr>
                <w:rFonts w:hint="eastAsia" w:ascii="仿宋" w:hAnsi="仿宋" w:eastAsia="仿宋" w:cs="仿宋"/>
                <w:b/>
                <w:i w:val="0"/>
                <w:color w:val="auto"/>
                <w:kern w:val="0"/>
                <w:sz w:val="21"/>
                <w:szCs w:val="21"/>
                <w:highlight w:val="none"/>
                <w:u w:val="none"/>
                <w:lang w:val="en-US" w:eastAsia="zh-CN" w:bidi="ar"/>
              </w:rPr>
              <w:t>单位</w:t>
            </w:r>
          </w:p>
        </w:tc>
        <w:tc>
          <w:tcPr>
            <w:tcW w:w="110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b/>
                <w:i w:val="0"/>
                <w:color w:val="auto"/>
                <w:kern w:val="0"/>
                <w:sz w:val="21"/>
                <w:szCs w:val="21"/>
                <w:highlight w:val="none"/>
                <w:u w:val="none"/>
                <w:lang w:val="en-US" w:eastAsia="zh-CN" w:bidi="ar"/>
              </w:rPr>
            </w:pPr>
            <w:r>
              <w:rPr>
                <w:rFonts w:hint="eastAsia" w:ascii="仿宋" w:hAnsi="仿宋" w:eastAsia="仿宋" w:cs="仿宋"/>
                <w:b/>
                <w:i w:val="0"/>
                <w:color w:val="auto"/>
                <w:kern w:val="0"/>
                <w:sz w:val="21"/>
                <w:szCs w:val="21"/>
                <w:highlight w:val="none"/>
                <w:u w:val="none"/>
                <w:lang w:val="en-US" w:eastAsia="zh-CN" w:bidi="ar"/>
              </w:rPr>
              <w:t>单价（元）</w:t>
            </w:r>
          </w:p>
        </w:tc>
        <w:tc>
          <w:tcPr>
            <w:tcW w:w="188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仿宋" w:hAnsi="仿宋" w:eastAsia="仿宋" w:cs="仿宋"/>
                <w:b/>
                <w:i w:val="0"/>
                <w:color w:val="auto"/>
                <w:kern w:val="0"/>
                <w:sz w:val="21"/>
                <w:szCs w:val="21"/>
                <w:highlight w:val="none"/>
                <w:u w:val="none"/>
                <w:lang w:val="en-US" w:eastAsia="zh-CN" w:bidi="ar"/>
              </w:rPr>
            </w:pPr>
            <w:r>
              <w:rPr>
                <w:rFonts w:hint="eastAsia" w:ascii="仿宋" w:hAnsi="仿宋" w:eastAsia="仿宋" w:cs="仿宋"/>
                <w:b/>
                <w:i w:val="0"/>
                <w:color w:val="auto"/>
                <w:kern w:val="0"/>
                <w:sz w:val="21"/>
                <w:szCs w:val="21"/>
                <w:highlight w:val="none"/>
                <w:u w:val="none"/>
                <w:lang w:val="en-US" w:eastAsia="zh-CN" w:bidi="ar"/>
              </w:rPr>
              <w:t>合同上限金额（元）</w:t>
            </w:r>
          </w:p>
        </w:tc>
        <w:tc>
          <w:tcPr>
            <w:tcW w:w="278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b/>
                <w:i w:val="0"/>
                <w:color w:val="auto"/>
                <w:kern w:val="0"/>
                <w:sz w:val="21"/>
                <w:szCs w:val="21"/>
                <w:highlight w:val="none"/>
                <w:u w:val="none"/>
                <w:lang w:val="en-US" w:eastAsia="zh-CN" w:bidi="ar"/>
              </w:rPr>
            </w:pPr>
            <w:r>
              <w:rPr>
                <w:rFonts w:hint="eastAsia" w:ascii="仿宋" w:hAnsi="仿宋" w:eastAsia="仿宋" w:cs="仿宋"/>
                <w:b/>
                <w:i w:val="0"/>
                <w:color w:val="auto"/>
                <w:kern w:val="0"/>
                <w:sz w:val="21"/>
                <w:szCs w:val="21"/>
                <w:highlight w:val="none"/>
                <w:u w:val="none"/>
                <w:lang w:val="en-US" w:eastAsia="zh-CN" w:bidi="ar"/>
              </w:rPr>
              <w:t>交货时间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54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i w:val="0"/>
                <w:color w:val="auto"/>
                <w:sz w:val="21"/>
                <w:szCs w:val="21"/>
                <w:highlight w:val="none"/>
                <w:u w:val="none"/>
              </w:rPr>
            </w:pPr>
          </w:p>
        </w:tc>
        <w:tc>
          <w:tcPr>
            <w:tcW w:w="160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i w:val="0"/>
                <w:color w:val="auto"/>
                <w:sz w:val="21"/>
                <w:szCs w:val="21"/>
                <w:highlight w:val="none"/>
                <w:u w:val="none"/>
                <w:lang w:eastAsia="zh-CN"/>
              </w:rPr>
            </w:pPr>
          </w:p>
        </w:tc>
        <w:tc>
          <w:tcPr>
            <w:tcW w:w="1274"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360" w:lineRule="auto"/>
              <w:jc w:val="center"/>
              <w:textAlignment w:val="center"/>
              <w:rPr>
                <w:rFonts w:hint="default" w:ascii="仿宋" w:hAnsi="仿宋" w:eastAsia="仿宋" w:cs="仿宋"/>
                <w:i w:val="0"/>
                <w:color w:val="auto"/>
                <w:sz w:val="21"/>
                <w:szCs w:val="21"/>
                <w:highlight w:val="none"/>
                <w:u w:val="none"/>
                <w:lang w:val="en-US" w:eastAsia="zh-CN"/>
              </w:rPr>
            </w:pPr>
          </w:p>
        </w:tc>
        <w:tc>
          <w:tcPr>
            <w:tcW w:w="74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i w:val="0"/>
                <w:color w:val="auto"/>
                <w:sz w:val="21"/>
                <w:szCs w:val="21"/>
                <w:highlight w:val="none"/>
                <w:u w:val="none"/>
              </w:rPr>
            </w:pPr>
          </w:p>
        </w:tc>
        <w:tc>
          <w:tcPr>
            <w:tcW w:w="110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仿宋" w:hAnsi="仿宋" w:eastAsia="仿宋" w:cs="仿宋"/>
                <w:i w:val="0"/>
                <w:color w:val="auto"/>
                <w:kern w:val="2"/>
                <w:sz w:val="21"/>
                <w:szCs w:val="21"/>
                <w:highlight w:val="none"/>
                <w:u w:val="none"/>
                <w:lang w:val="en-US" w:eastAsia="zh-CN" w:bidi="ar-SA"/>
              </w:rPr>
            </w:pPr>
          </w:p>
        </w:tc>
        <w:tc>
          <w:tcPr>
            <w:tcW w:w="188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360" w:lineRule="auto"/>
              <w:jc w:val="center"/>
              <w:textAlignment w:val="center"/>
              <w:rPr>
                <w:rFonts w:hint="default" w:ascii="仿宋" w:hAnsi="仿宋" w:eastAsia="仿宋" w:cs="仿宋"/>
                <w:i w:val="0"/>
                <w:color w:val="auto"/>
                <w:kern w:val="0"/>
                <w:sz w:val="21"/>
                <w:szCs w:val="21"/>
                <w:highlight w:val="none"/>
                <w:u w:val="none"/>
                <w:lang w:val="en-US" w:eastAsia="zh-CN" w:bidi="ar"/>
              </w:rPr>
            </w:pPr>
          </w:p>
        </w:tc>
        <w:tc>
          <w:tcPr>
            <w:tcW w:w="2785"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360" w:lineRule="auto"/>
              <w:jc w:val="left"/>
              <w:textAlignment w:val="center"/>
              <w:rPr>
                <w:rFonts w:hint="default" w:ascii="仿宋" w:hAnsi="仿宋" w:eastAsia="仿宋" w:cs="仿宋"/>
                <w:i w:val="0"/>
                <w:color w:val="auto"/>
                <w:kern w:val="0"/>
                <w:sz w:val="21"/>
                <w:szCs w:val="21"/>
                <w:highlight w:val="none"/>
                <w:u w:val="none"/>
                <w:lang w:val="en-US" w:eastAsia="zh-CN" w:bidi="ar"/>
              </w:rPr>
            </w:pPr>
            <w:r>
              <w:rPr>
                <w:rFonts w:hint="eastAsia" w:ascii="仿宋" w:hAnsi="仿宋" w:eastAsia="仿宋" w:cs="仿宋"/>
                <w:b w:val="0"/>
                <w:bCs w:val="0"/>
                <w:color w:val="auto"/>
                <w:sz w:val="21"/>
                <w:szCs w:val="21"/>
                <w:highlight w:val="none"/>
                <w:lang w:val="en-US" w:eastAsia="zh-CN"/>
              </w:rPr>
              <w:t>“服装e选”系统下订单后【】天内交货，新入职人员订单【】天内交货。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71" w:hRule="atLeast"/>
        </w:trPr>
        <w:tc>
          <w:tcPr>
            <w:tcW w:w="54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i w:val="0"/>
                <w:color w:val="auto"/>
                <w:sz w:val="21"/>
                <w:szCs w:val="21"/>
                <w:highlight w:val="none"/>
                <w:u w:val="none"/>
              </w:rPr>
            </w:pPr>
          </w:p>
        </w:tc>
        <w:tc>
          <w:tcPr>
            <w:tcW w:w="160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i w:val="0"/>
                <w:color w:val="auto"/>
                <w:sz w:val="21"/>
                <w:szCs w:val="21"/>
                <w:highlight w:val="none"/>
                <w:u w:val="none"/>
                <w:lang w:eastAsia="zh-CN"/>
              </w:rPr>
            </w:pPr>
          </w:p>
        </w:tc>
        <w:tc>
          <w:tcPr>
            <w:tcW w:w="1274"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spacing w:line="360" w:lineRule="auto"/>
              <w:jc w:val="center"/>
              <w:rPr>
                <w:rFonts w:hint="eastAsia" w:ascii="仿宋" w:hAnsi="仿宋" w:eastAsia="仿宋" w:cs="仿宋"/>
                <w:i w:val="0"/>
                <w:color w:val="auto"/>
                <w:sz w:val="21"/>
                <w:szCs w:val="21"/>
                <w:highlight w:val="none"/>
                <w:u w:val="none"/>
              </w:rPr>
            </w:pPr>
          </w:p>
        </w:tc>
        <w:tc>
          <w:tcPr>
            <w:tcW w:w="74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 w:hAnsi="仿宋" w:eastAsia="仿宋" w:cs="仿宋"/>
                <w:i w:val="0"/>
                <w:color w:val="auto"/>
                <w:sz w:val="21"/>
                <w:szCs w:val="21"/>
                <w:highlight w:val="none"/>
                <w:u w:val="none"/>
              </w:rPr>
            </w:pPr>
          </w:p>
        </w:tc>
        <w:tc>
          <w:tcPr>
            <w:tcW w:w="110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仿宋" w:hAnsi="仿宋" w:eastAsia="仿宋" w:cs="仿宋"/>
                <w:i w:val="0"/>
                <w:color w:val="auto"/>
                <w:kern w:val="2"/>
                <w:sz w:val="21"/>
                <w:szCs w:val="21"/>
                <w:highlight w:val="none"/>
                <w:u w:val="none"/>
                <w:lang w:val="en-US" w:eastAsia="zh-CN" w:bidi="ar-SA"/>
              </w:rPr>
            </w:pPr>
          </w:p>
        </w:tc>
        <w:tc>
          <w:tcPr>
            <w:tcW w:w="1889"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360" w:lineRule="auto"/>
              <w:jc w:val="center"/>
              <w:textAlignment w:val="center"/>
              <w:rPr>
                <w:rFonts w:hint="eastAsia" w:ascii="仿宋" w:hAnsi="仿宋" w:eastAsia="仿宋" w:cs="仿宋"/>
                <w:i w:val="0"/>
                <w:color w:val="auto"/>
                <w:kern w:val="0"/>
                <w:sz w:val="21"/>
                <w:szCs w:val="21"/>
                <w:highlight w:val="none"/>
                <w:u w:val="none"/>
                <w:lang w:val="en-US" w:eastAsia="zh-CN" w:bidi="ar"/>
              </w:rPr>
            </w:pPr>
          </w:p>
        </w:tc>
        <w:tc>
          <w:tcPr>
            <w:tcW w:w="2785"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line="360" w:lineRule="auto"/>
              <w:jc w:val="left"/>
              <w:textAlignment w:val="center"/>
              <w:rPr>
                <w:rFonts w:hint="eastAsia" w:ascii="仿宋" w:hAnsi="仿宋" w:eastAsia="仿宋" w:cs="仿宋"/>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4" w:hRule="atLeast"/>
        </w:trPr>
        <w:tc>
          <w:tcPr>
            <w:tcW w:w="9957" w:type="dxa"/>
            <w:gridSpan w:val="7"/>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tabs>
                <w:tab w:val="left" w:pos="3342"/>
              </w:tabs>
              <w:spacing w:line="240" w:lineRule="auto"/>
              <w:jc w:val="left"/>
              <w:textAlignment w:val="center"/>
              <w:rPr>
                <w:rFonts w:hint="eastAsia" w:ascii="仿宋" w:hAnsi="仿宋" w:eastAsia="仿宋" w:cs="仿宋"/>
                <w:i w:val="0"/>
                <w:color w:val="auto"/>
                <w:kern w:val="0"/>
                <w:sz w:val="21"/>
                <w:szCs w:val="21"/>
                <w:highlight w:val="none"/>
                <w:u w:val="none"/>
                <w:lang w:val="en-US" w:eastAsia="zh-CN" w:bidi="ar"/>
              </w:rPr>
            </w:pPr>
            <w:r>
              <w:rPr>
                <w:rFonts w:hint="eastAsia" w:ascii="仿宋" w:hAnsi="仿宋" w:eastAsia="仿宋" w:cs="仿宋"/>
                <w:i w:val="0"/>
                <w:color w:val="auto"/>
                <w:kern w:val="0"/>
                <w:sz w:val="21"/>
                <w:szCs w:val="21"/>
                <w:highlight w:val="none"/>
                <w:u w:val="none"/>
                <w:lang w:val="en-US" w:eastAsia="zh-CN" w:bidi="ar"/>
              </w:rPr>
              <w:t>以上金额已包含货款、包装费、运输费、搬运费、保险费、利税及合同约定的保修、保养服务费等全部费用。</w:t>
            </w:r>
          </w:p>
        </w:tc>
      </w:tr>
    </w:tbl>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备注：本合同仅为框架合同，每年的采购额以甲方服装e选系统订单为准。</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第二条 合同价格和标的</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甲方向乙方购买，乙方向甲方提供</w:t>
      </w:r>
      <w:r>
        <w:rPr>
          <w:rFonts w:hint="eastAsia" w:ascii="仿宋" w:hAnsi="仿宋" w:eastAsia="仿宋" w:cs="仿宋"/>
          <w:color w:val="auto"/>
          <w:sz w:val="21"/>
          <w:szCs w:val="21"/>
          <w:highlight w:val="none"/>
          <w:lang w:val="en-US" w:eastAsia="zh-CN"/>
        </w:rPr>
        <w:t>产品。</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2.1 </w:t>
      </w:r>
      <w:r>
        <w:rPr>
          <w:rFonts w:hint="eastAsia" w:ascii="仿宋" w:hAnsi="仿宋" w:eastAsia="仿宋" w:cs="仿宋"/>
          <w:color w:val="auto"/>
          <w:sz w:val="21"/>
          <w:szCs w:val="21"/>
          <w:highlight w:val="none"/>
        </w:rPr>
        <w:t xml:space="preserve"> </w:t>
      </w:r>
      <w:r>
        <w:rPr>
          <w:rFonts w:hint="eastAsia" w:ascii="仿宋" w:hAnsi="仿宋" w:eastAsia="仿宋" w:cs="仿宋"/>
          <w:b w:val="0"/>
          <w:bCs w:val="0"/>
          <w:color w:val="auto"/>
          <w:sz w:val="21"/>
          <w:szCs w:val="21"/>
          <w:highlight w:val="none"/>
        </w:rPr>
        <w:t>本合同所约定产品价格包含</w:t>
      </w:r>
      <w:r>
        <w:rPr>
          <w:rFonts w:hint="eastAsia" w:ascii="仿宋" w:hAnsi="仿宋" w:eastAsia="仿宋" w:cs="仿宋"/>
          <w:b w:val="0"/>
          <w:bCs w:val="0"/>
          <w:color w:val="auto"/>
          <w:sz w:val="21"/>
          <w:szCs w:val="21"/>
          <w:highlight w:val="none"/>
          <w:lang w:val="en-US" w:eastAsia="zh-CN"/>
        </w:rPr>
        <w:t>货款</w:t>
      </w:r>
      <w:r>
        <w:rPr>
          <w:rFonts w:hint="eastAsia" w:ascii="仿宋" w:hAnsi="仿宋" w:eastAsia="仿宋" w:cs="仿宋"/>
          <w:b w:val="0"/>
          <w:bCs w:val="0"/>
          <w:color w:val="auto"/>
          <w:sz w:val="21"/>
          <w:szCs w:val="21"/>
          <w:highlight w:val="none"/>
        </w:rPr>
        <w:t>、包装费、运输到甲方指定收货地点运输费、增值税和保险费及合同</w:t>
      </w:r>
      <w:r>
        <w:rPr>
          <w:rFonts w:hint="eastAsia" w:ascii="仿宋" w:hAnsi="仿宋" w:eastAsia="仿宋" w:cs="仿宋"/>
          <w:b w:val="0"/>
          <w:bCs w:val="0"/>
          <w:color w:val="auto"/>
          <w:sz w:val="21"/>
          <w:szCs w:val="21"/>
          <w:highlight w:val="none"/>
          <w:lang w:val="en-US" w:eastAsia="zh-CN"/>
        </w:rPr>
        <w:t>约</w:t>
      </w:r>
      <w:r>
        <w:rPr>
          <w:rFonts w:hint="eastAsia" w:ascii="仿宋" w:hAnsi="仿宋" w:eastAsia="仿宋" w:cs="仿宋"/>
          <w:b w:val="0"/>
          <w:bCs w:val="0"/>
          <w:color w:val="auto"/>
          <w:sz w:val="21"/>
          <w:szCs w:val="21"/>
          <w:highlight w:val="none"/>
        </w:rPr>
        <w:t>定的保修、保养服务费等全部费用（含税）</w:t>
      </w:r>
      <w:r>
        <w:rPr>
          <w:rFonts w:hint="eastAsia" w:ascii="仿宋" w:hAnsi="仿宋" w:eastAsia="仿宋" w:cs="仿宋"/>
          <w:b w:val="0"/>
          <w:bCs w:val="0"/>
          <w:color w:val="auto"/>
          <w:sz w:val="21"/>
          <w:szCs w:val="21"/>
          <w:highlight w:val="none"/>
          <w:lang w:eastAsia="zh-CN"/>
        </w:rPr>
        <w:t>，甲方不再支付其他任何费用</w:t>
      </w:r>
      <w:r>
        <w:rPr>
          <w:rFonts w:hint="eastAsia" w:ascii="仿宋" w:hAnsi="仿宋" w:eastAsia="仿宋" w:cs="仿宋"/>
          <w:b w:val="0"/>
          <w:bCs w:val="0"/>
          <w:color w:val="auto"/>
          <w:sz w:val="21"/>
          <w:szCs w:val="21"/>
          <w:highlight w:val="none"/>
        </w:rPr>
        <w:t>。</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第三条 支付和结算方式</w:t>
      </w:r>
    </w:p>
    <w:p>
      <w:pPr>
        <w:spacing w:line="460" w:lineRule="exact"/>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因国家税务政策变化导致增值税率发生变化时，按新的增值税率执行，合同价=合同签订时的不含税价*(1+新税率)。合同签订时的不含税价＝(合同约定的含税价、价外费用)/(1+合同签订时适用的税率)</w:t>
      </w:r>
      <w:r>
        <w:rPr>
          <w:rFonts w:hint="eastAsia" w:ascii="仿宋" w:hAnsi="仿宋" w:eastAsia="仿宋" w:cs="仿宋"/>
          <w:color w:val="auto"/>
          <w:sz w:val="21"/>
          <w:szCs w:val="21"/>
          <w:highlight w:val="none"/>
          <w:lang w:eastAsia="zh-CN"/>
        </w:rPr>
        <w:t>。</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 本合同甲、乙两方之间发生的一切费用均以人民币结算支付。甲方向乙方的付款应付到乙方于本合同指定的开户银行和账户。</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3.2</w:t>
      </w:r>
      <w:r>
        <w:rPr>
          <w:rFonts w:hint="eastAsia" w:ascii="仿宋" w:hAnsi="仿宋" w:eastAsia="仿宋" w:cs="仿宋"/>
          <w:color w:val="auto"/>
          <w:sz w:val="21"/>
          <w:szCs w:val="21"/>
          <w:highlight w:val="none"/>
          <w:lang w:eastAsia="zh-CN"/>
        </w:rPr>
        <w:t>按订单批次</w:t>
      </w:r>
      <w:r>
        <w:rPr>
          <w:rFonts w:hint="eastAsia" w:ascii="仿宋" w:hAnsi="仿宋" w:eastAsia="仿宋" w:cs="仿宋"/>
          <w:color w:val="auto"/>
          <w:sz w:val="21"/>
          <w:szCs w:val="21"/>
          <w:highlight w:val="none"/>
          <w:lang w:val="en-US" w:eastAsia="zh-CN"/>
        </w:rPr>
        <w:t>每</w:t>
      </w:r>
      <w:r>
        <w:rPr>
          <w:rFonts w:hint="eastAsia" w:ascii="仿宋" w:hAnsi="仿宋" w:eastAsia="仿宋" w:cs="仿宋"/>
          <w:b w:val="0"/>
          <w:bCs w:val="0"/>
          <w:color w:val="auto"/>
          <w:sz w:val="21"/>
          <w:szCs w:val="21"/>
          <w:highlight w:val="none"/>
          <w:lang w:val="en-US" w:eastAsia="zh-CN"/>
        </w:rPr>
        <w:t>季度</w:t>
      </w:r>
      <w:r>
        <w:rPr>
          <w:rFonts w:hint="eastAsia" w:ascii="仿宋" w:hAnsi="仿宋" w:eastAsia="仿宋" w:cs="仿宋"/>
          <w:color w:val="auto"/>
          <w:sz w:val="21"/>
          <w:szCs w:val="21"/>
          <w:highlight w:val="none"/>
          <w:lang w:val="en-US" w:eastAsia="zh-CN"/>
        </w:rPr>
        <w:t>进行</w:t>
      </w:r>
      <w:r>
        <w:rPr>
          <w:rFonts w:hint="eastAsia" w:ascii="仿宋" w:hAnsi="仿宋" w:eastAsia="仿宋" w:cs="仿宋"/>
          <w:color w:val="auto"/>
          <w:sz w:val="21"/>
          <w:szCs w:val="21"/>
          <w:highlight w:val="none"/>
          <w:lang w:eastAsia="zh-CN"/>
        </w:rPr>
        <w:t>结算，货物</w:t>
      </w:r>
      <w:r>
        <w:rPr>
          <w:rFonts w:hint="eastAsia" w:ascii="仿宋" w:hAnsi="仿宋" w:eastAsia="仿宋" w:cs="仿宋"/>
          <w:color w:val="auto"/>
          <w:sz w:val="21"/>
          <w:szCs w:val="21"/>
          <w:highlight w:val="none"/>
        </w:rPr>
        <w:t>验收合格后，乙方向甲方提交付款申请单，甲方确认付款金额及收到乙方按甲方给出的开票资料开具的符合国家财务规定合同</w:t>
      </w:r>
      <w:r>
        <w:rPr>
          <w:rFonts w:hint="eastAsia" w:ascii="仿宋" w:hAnsi="仿宋" w:eastAsia="仿宋" w:cs="仿宋"/>
          <w:color w:val="auto"/>
          <w:sz w:val="21"/>
          <w:szCs w:val="21"/>
          <w:highlight w:val="none"/>
          <w:lang w:eastAsia="zh-CN"/>
        </w:rPr>
        <w:t>相应金额</w:t>
      </w:r>
      <w:r>
        <w:rPr>
          <w:rFonts w:hint="eastAsia" w:ascii="仿宋" w:hAnsi="仿宋" w:eastAsia="仿宋" w:cs="仿宋"/>
          <w:color w:val="auto"/>
          <w:sz w:val="21"/>
          <w:szCs w:val="21"/>
          <w:highlight w:val="none"/>
        </w:rPr>
        <w:t>的增值税专用发票后2个月内向乙方支付</w:t>
      </w:r>
      <w:r>
        <w:rPr>
          <w:rFonts w:hint="eastAsia" w:ascii="仿宋" w:hAnsi="仿宋" w:eastAsia="仿宋" w:cs="仿宋"/>
          <w:color w:val="auto"/>
          <w:sz w:val="21"/>
          <w:szCs w:val="21"/>
          <w:highlight w:val="none"/>
          <w:lang w:val="en-US" w:eastAsia="zh-CN"/>
        </w:rPr>
        <w:t>当次订单</w:t>
      </w:r>
      <w:r>
        <w:rPr>
          <w:rFonts w:hint="eastAsia" w:ascii="仿宋" w:hAnsi="仿宋" w:eastAsia="仿宋" w:cs="仿宋"/>
          <w:color w:val="auto"/>
          <w:sz w:val="21"/>
          <w:szCs w:val="21"/>
          <w:highlight w:val="none"/>
        </w:rPr>
        <w:t>100%货款。</w:t>
      </w:r>
      <w:r>
        <w:rPr>
          <w:rFonts w:hint="eastAsia" w:ascii="仿宋" w:hAnsi="仿宋" w:eastAsia="仿宋" w:cs="仿宋"/>
          <w:color w:val="auto"/>
          <w:sz w:val="21"/>
          <w:szCs w:val="21"/>
          <w:highlight w:val="none"/>
          <w:lang w:eastAsia="zh-CN"/>
        </w:rPr>
        <w:t>乙方须在合同结束之日起</w:t>
      </w:r>
      <w:r>
        <w:rPr>
          <w:rFonts w:hint="eastAsia" w:ascii="仿宋" w:hAnsi="仿宋" w:eastAsia="仿宋" w:cs="仿宋"/>
          <w:color w:val="auto"/>
          <w:sz w:val="21"/>
          <w:szCs w:val="21"/>
          <w:highlight w:val="none"/>
          <w:lang w:val="en-US" w:eastAsia="zh-CN"/>
        </w:rPr>
        <w:t>12个月内</w:t>
      </w:r>
      <w:r>
        <w:rPr>
          <w:rFonts w:hint="eastAsia" w:ascii="仿宋" w:hAnsi="仿宋" w:eastAsia="仿宋" w:cs="仿宋"/>
          <w:color w:val="auto"/>
          <w:sz w:val="21"/>
          <w:szCs w:val="21"/>
          <w:highlight w:val="none"/>
          <w:lang w:eastAsia="zh-CN"/>
        </w:rPr>
        <w:t>与甲方结清全部订单货款，逾期视乙方放弃权利，另有以书面形式的约定除外。</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3.3</w:t>
      </w:r>
      <w:r>
        <w:rPr>
          <w:rFonts w:hint="eastAsia" w:ascii="仿宋" w:hAnsi="仿宋" w:eastAsia="仿宋" w:cs="仿宋"/>
          <w:color w:val="auto"/>
          <w:sz w:val="21"/>
          <w:szCs w:val="21"/>
          <w:highlight w:val="none"/>
        </w:rPr>
        <w:t>如乙方提供的发票无法抵扣，甲方有权拒绝付款且不承担任何法律责任，由此造成的损失由乙方承担。</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第四条 交货期和交货条件</w:t>
      </w:r>
    </w:p>
    <w:p>
      <w:pPr>
        <w:spacing w:line="460" w:lineRule="exact"/>
        <w:ind w:firstLine="420" w:firstLineChars="20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4.1 交货地点：</w:t>
      </w:r>
      <w:r>
        <w:rPr>
          <w:rFonts w:hint="eastAsia" w:ascii="仿宋" w:hAnsi="仿宋" w:eastAsia="仿宋" w:cs="仿宋"/>
          <w:color w:val="auto"/>
          <w:kern w:val="2"/>
          <w:sz w:val="21"/>
          <w:szCs w:val="21"/>
          <w:highlight w:val="none"/>
          <w:lang w:val="en-US" w:eastAsia="zh-CN" w:bidi="ar-SA"/>
        </w:rPr>
        <w:t>乙方需通过南航“服装e选”系统，将产品“点对点”配发至员工个人，少量机动数发至甲方各单位（含分、子公司）指定地点。</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 </w:t>
      </w:r>
      <w:r>
        <w:rPr>
          <w:rFonts w:hint="eastAsia" w:ascii="仿宋" w:hAnsi="仿宋" w:eastAsia="仿宋" w:cs="仿宋"/>
          <w:color w:val="auto"/>
          <w:sz w:val="21"/>
          <w:szCs w:val="21"/>
          <w:highlight w:val="none"/>
          <w:lang w:eastAsia="zh-CN"/>
        </w:rPr>
        <w:t>交货期</w:t>
      </w:r>
      <w:r>
        <w:rPr>
          <w:rFonts w:hint="eastAsia" w:ascii="仿宋" w:hAnsi="仿宋" w:eastAsia="仿宋" w:cs="仿宋"/>
          <w:color w:val="auto"/>
          <w:sz w:val="21"/>
          <w:szCs w:val="21"/>
          <w:highlight w:val="none"/>
        </w:rPr>
        <w:t>：除本合同另有约定的，乙方须于“服装e选”系统下订单后</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天内交货，其中“点对点”配送订单须备货完成后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天内交货；新入职人员订单</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天内交货。甲方有权根据自身实际情况调整到货时间，乙方应予以配合。</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4.3 乙方承担将货物交于甲方验收合格前的费用及一切风险。</w:t>
      </w:r>
    </w:p>
    <w:p>
      <w:pPr>
        <w:pStyle w:val="20"/>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eastAsia="仿宋"/>
          <w:color w:val="auto"/>
          <w:highlight w:val="none"/>
          <w:lang w:val="en-US" w:eastAsia="zh-CN"/>
        </w:rPr>
      </w:pPr>
      <w:r>
        <w:rPr>
          <w:rFonts w:hint="eastAsia" w:ascii="仿宋" w:hAnsi="仿宋" w:eastAsia="仿宋" w:cs="仿宋"/>
          <w:color w:val="auto"/>
          <w:sz w:val="21"/>
          <w:szCs w:val="21"/>
          <w:highlight w:val="none"/>
          <w:lang w:val="en-US" w:eastAsia="zh-CN"/>
        </w:rPr>
        <w:t xml:space="preserve">    4.4乙方应在货物发运前 2个工作日内将发运情况（发运时间、件数及重量等）以书面形式通知甲方，甲方有权根据自身情况安排对乙方所运货物进行验收，乙方应予配合。</w:t>
      </w:r>
    </w:p>
    <w:p>
      <w:pPr>
        <w:spacing w:line="460" w:lineRule="exact"/>
        <w:ind w:firstLine="420" w:firstLineChars="200"/>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4.</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乙方按甲方要求和发货明细发货</w:t>
      </w:r>
      <w:r>
        <w:rPr>
          <w:rFonts w:hint="eastAsia" w:ascii="仿宋" w:hAnsi="仿宋" w:eastAsia="仿宋" w:cs="仿宋"/>
          <w:color w:val="auto"/>
          <w:sz w:val="21"/>
          <w:szCs w:val="21"/>
          <w:highlight w:val="none"/>
          <w:lang w:eastAsia="zh-CN"/>
        </w:rPr>
        <w:t>，每件产品上要有生产日期，需加防尘袋，纸箱要结实不破损，并加“井”字打包带，</w:t>
      </w:r>
      <w:r>
        <w:rPr>
          <w:rFonts w:hint="eastAsia" w:ascii="仿宋" w:hAnsi="仿宋" w:eastAsia="仿宋" w:cs="仿宋"/>
          <w:color w:val="auto"/>
          <w:sz w:val="21"/>
          <w:szCs w:val="21"/>
          <w:highlight w:val="none"/>
          <w:lang w:val="en-US" w:eastAsia="zh-CN"/>
        </w:rPr>
        <w:t>外</w:t>
      </w:r>
      <w:r>
        <w:rPr>
          <w:rFonts w:hint="eastAsia" w:ascii="仿宋" w:hAnsi="仿宋" w:eastAsia="仿宋" w:cs="仿宋"/>
          <w:color w:val="auto"/>
          <w:sz w:val="21"/>
          <w:szCs w:val="21"/>
          <w:highlight w:val="none"/>
          <w:lang w:eastAsia="zh-CN"/>
        </w:rPr>
        <w:t>包装上要印服装e选商标。</w:t>
      </w:r>
      <w:r>
        <w:rPr>
          <w:rFonts w:hint="eastAsia" w:ascii="仿宋" w:hAnsi="仿宋" w:eastAsia="仿宋" w:cs="仿宋"/>
          <w:color w:val="auto"/>
          <w:sz w:val="21"/>
          <w:szCs w:val="21"/>
          <w:highlight w:val="none"/>
        </w:rPr>
        <w:t>包装完整，适应远距离运输、防潮、抗压、防野蛮装卸，以确保货物安全无损运抵指定地点，包装物及费用由乙方承担。如因包装不良引起货物损失，责任由乙方承担。</w:t>
      </w:r>
      <w:r>
        <w:rPr>
          <w:rFonts w:hint="eastAsia" w:ascii="仿宋" w:hAnsi="仿宋" w:eastAsia="仿宋" w:cs="仿宋"/>
          <w:color w:val="auto"/>
          <w:sz w:val="21"/>
          <w:szCs w:val="21"/>
          <w:highlight w:val="none"/>
          <w:lang w:val="en-US" w:eastAsia="zh-CN"/>
        </w:rPr>
        <w:t>快递单须做隐私保护处理。</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第五条 服务要求、质量标准和验收方式</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5.1质量标准：</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按国家</w:t>
      </w:r>
      <w:r>
        <w:rPr>
          <w:rFonts w:hint="eastAsia" w:ascii="宋体" w:hAnsi="宋体" w:eastAsia="宋体" w:cs="宋体"/>
          <w:color w:val="auto"/>
          <w:highlight w:val="none"/>
          <w:lang w:val="en-US" w:eastAsia="zh-CN"/>
        </w:rPr>
        <w:t>FZ/T 73001-2016、GB18401-2010、FZ/T73023-2006、GB/T 29862-2013</w:t>
      </w:r>
      <w:r>
        <w:rPr>
          <w:rFonts w:hint="eastAsia" w:ascii="仿宋" w:hAnsi="仿宋" w:eastAsia="仿宋" w:cs="仿宋"/>
          <w:color w:val="auto"/>
          <w:sz w:val="21"/>
          <w:szCs w:val="21"/>
          <w:highlight w:val="none"/>
        </w:rPr>
        <w:t>、南航服装手册标准和双方最终确认的“封样”验收。材质送省级以上第三方检测(产前封样样品交</w:t>
      </w:r>
      <w:r>
        <w:rPr>
          <w:rFonts w:hint="eastAsia" w:ascii="仿宋" w:hAnsi="仿宋" w:eastAsia="仿宋" w:cs="仿宋"/>
          <w:color w:val="auto"/>
          <w:sz w:val="21"/>
          <w:szCs w:val="21"/>
          <w:highlight w:val="none"/>
          <w:lang w:eastAsia="zh-CN"/>
        </w:rPr>
        <w:t>南航综合保障部</w:t>
      </w:r>
      <w:r>
        <w:rPr>
          <w:rFonts w:hint="eastAsia" w:ascii="仿宋" w:hAnsi="仿宋" w:eastAsia="仿宋" w:cs="仿宋"/>
          <w:color w:val="auto"/>
          <w:sz w:val="21"/>
          <w:szCs w:val="21"/>
          <w:highlight w:val="none"/>
        </w:rPr>
        <w:t>封存)。</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5.2</w:t>
      </w:r>
      <w:r>
        <w:rPr>
          <w:rFonts w:hint="eastAsia" w:ascii="仿宋" w:hAnsi="仿宋" w:eastAsia="仿宋" w:cs="仿宋"/>
          <w:color w:val="auto"/>
          <w:sz w:val="21"/>
          <w:szCs w:val="21"/>
          <w:highlight w:val="none"/>
        </w:rPr>
        <w:t>乙方应向甲方提供完整的、必要的技术资料。</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5.3</w:t>
      </w:r>
      <w:r>
        <w:rPr>
          <w:rFonts w:hint="eastAsia" w:ascii="仿宋" w:hAnsi="仿宋" w:eastAsia="仿宋" w:cs="仿宋"/>
          <w:color w:val="auto"/>
          <w:sz w:val="21"/>
          <w:szCs w:val="21"/>
          <w:highlight w:val="none"/>
        </w:rPr>
        <w:t>乙方提供给甲方的</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应通过合法且必要的测试和检验，并符合</w:t>
      </w:r>
      <w:r>
        <w:rPr>
          <w:rFonts w:hint="eastAsia" w:ascii="仿宋" w:hAnsi="仿宋" w:eastAsia="仿宋" w:cs="仿宋"/>
          <w:color w:val="auto"/>
          <w:sz w:val="21"/>
          <w:szCs w:val="21"/>
          <w:highlight w:val="none"/>
          <w:lang w:val="en-US" w:eastAsia="zh-CN"/>
        </w:rPr>
        <w:t>现行有效的</w:t>
      </w:r>
      <w:r>
        <w:rPr>
          <w:rFonts w:hint="eastAsia" w:ascii="仿宋" w:hAnsi="仿宋" w:eastAsia="仿宋" w:cs="仿宋"/>
          <w:color w:val="auto"/>
          <w:sz w:val="21"/>
          <w:szCs w:val="21"/>
          <w:highlight w:val="none"/>
        </w:rPr>
        <w:t>国家、行业相关标准及甲方采购文件中规定的用户需求的要求。</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5.4</w:t>
      </w:r>
      <w:r>
        <w:rPr>
          <w:rFonts w:hint="eastAsia" w:ascii="仿宋" w:hAnsi="仿宋" w:eastAsia="仿宋" w:cs="仿宋"/>
          <w:color w:val="auto"/>
          <w:sz w:val="21"/>
          <w:szCs w:val="21"/>
          <w:highlight w:val="none"/>
        </w:rPr>
        <w:t>甲方根据本合同及甲方采购订单载明的各项条件，在货物的包装、数量和规格等各项条件与采购订单相符时，在《中国南方航空股份有限公司采购项目验收单》上签字。但该验收单仅仅表示对本合同项下货物的包装、数量和规格与采购订单相符的外观确认，并非正式验收，不能成为解除乙方对产品质量及潜在缺陷应负责任的依据。</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5.5</w:t>
      </w:r>
      <w:r>
        <w:rPr>
          <w:rFonts w:hint="eastAsia" w:ascii="仿宋" w:hAnsi="仿宋" w:eastAsia="仿宋" w:cs="仿宋"/>
          <w:color w:val="auto"/>
          <w:sz w:val="21"/>
          <w:szCs w:val="21"/>
          <w:highlight w:val="none"/>
        </w:rPr>
        <w:t>甲方在开箱时，若发现箱内</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数量短缺、损坏或存在其他不符合本合同约定的，乙方应负责在开箱之日起</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天内进行更换或补齐，由此产生的相关费用概由乙方承担，同时乙方还须承担因延迟交付引起的一切责任。</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5.6</w:t>
      </w:r>
      <w:r>
        <w:rPr>
          <w:rFonts w:hint="eastAsia" w:ascii="仿宋" w:hAnsi="仿宋" w:eastAsia="仿宋" w:cs="仿宋"/>
          <w:color w:val="auto"/>
          <w:sz w:val="21"/>
          <w:szCs w:val="21"/>
          <w:highlight w:val="none"/>
        </w:rPr>
        <w:t>在验收或实际使用过程中，如因本合同项下</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的质量问题发生争议的，双方同意由广东省或广州市政府质检部门或其公布认可的合格质检机构进行质量鉴定。经鉴定符合质量标准的，鉴定费用由甲方承担；否则，鉴定费用由乙方承担。</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5.7 甲方有权对乙方已进货的原材料、辅料及成品等大货进行抽检：其中所有包工包料品种的面料乙方必须提供甲方指定的国家级认证检测机构出具的质量检测合格报告，同时甲方保留必要时由甲方送检的权利。甲方将在生产前进行原材料、样板封样确认和面、辅料抽检，待双方确认后方可投入加工制作。</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5.8 甲方有权在加工生产过程中对生产成品不定期抽检； 甲方有权随时在生产过程及交货前派人到原产地对产品进行质量检验或送检，所有检测费用由乙方承担。乙方对产品质量实行终身免费“包退、包换、包修改”的三包政策。乙方禁止向甲方供应“三无产品”（无包装、无合格证、无生产厂）和假冒伪劣产品。一经发现，甲方有权拒绝收货，由此造成的延期交货等违约责任由乙方承担。</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第六条 双方权利与义务</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 乙方权利与义务</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6.1.1 负责所有货物的合法性、合格性、完整性及其包装优良性。</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6.1.2 根据双方于本合同及本合同各项附件中确定的货物技术及服务要求，及时准确地向甲方提供本合同项下货物，并提供完整、准确的技术资料、安装手册、硬件配置图等所有与实施本合同相关的合法必要的材料。</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6.1.3 配合甲方货物的开箱检验，并提供开箱清点验收文件。</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6.1.4 对因本合同获知的甲方的技术、商业和经营信息等应予以保密。</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6.1.5 负责本合同项下货物经甲方验收合格前的运输、包装、保险。</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6.1.6 不得将本合同约定的义务发包或者分包给第三人。</w:t>
      </w:r>
    </w:p>
    <w:p>
      <w:pPr>
        <w:spacing w:line="460" w:lineRule="exact"/>
        <w:ind w:firstLine="420" w:firstLineChars="200"/>
        <w:rPr>
          <w:rFonts w:hint="eastAsia" w:ascii="仿宋" w:hAnsi="仿宋" w:eastAsia="仿宋" w:cs="仿宋"/>
          <w:color w:val="auto"/>
          <w:sz w:val="13"/>
          <w:szCs w:val="13"/>
          <w:highlight w:val="none"/>
        </w:rPr>
      </w:pPr>
      <w:r>
        <w:rPr>
          <w:rFonts w:hint="eastAsia" w:ascii="仿宋" w:hAnsi="仿宋" w:eastAsia="仿宋" w:cs="仿宋"/>
          <w:color w:val="auto"/>
          <w:sz w:val="21"/>
          <w:szCs w:val="21"/>
          <w:highlight w:val="none"/>
        </w:rPr>
        <w:t>6.2 甲方权利与义务</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6.2.1 负责提供开箱检验所需的场所。</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6.2.2 货物到货后，负责组织开箱检验，当检验合格时在《中国南方航空股份有限公司采购项目验收单》上签字。若检验不合格，且乙方未能在甲方要求的时限内提供合格的货物，甲方有权拒收不合格货物，无需支付不合格货物款。造成逾期交货的，乙方还需承担逾期交货的违约责任。</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第七条 乙方售后服务</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lang w:eastAsia="zh-CN"/>
        </w:rPr>
        <w:t>质量</w:t>
      </w:r>
      <w:r>
        <w:rPr>
          <w:rFonts w:hint="eastAsia" w:ascii="仿宋" w:hAnsi="仿宋" w:eastAsia="仿宋" w:cs="仿宋"/>
          <w:color w:val="auto"/>
          <w:sz w:val="21"/>
          <w:szCs w:val="21"/>
          <w:highlight w:val="none"/>
        </w:rPr>
        <w:t>保修期</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.1.1 自甲方签署验收合格单起货物</w:t>
      </w:r>
      <w:r>
        <w:rPr>
          <w:rFonts w:hint="eastAsia" w:ascii="仿宋" w:hAnsi="仿宋" w:eastAsia="仿宋" w:cs="仿宋"/>
          <w:color w:val="auto"/>
          <w:sz w:val="21"/>
          <w:szCs w:val="21"/>
          <w:highlight w:val="none"/>
          <w:lang w:eastAsia="zh-CN"/>
        </w:rPr>
        <w:t>【】年</w:t>
      </w:r>
      <w:r>
        <w:rPr>
          <w:rFonts w:hint="eastAsia" w:ascii="仿宋" w:hAnsi="仿宋" w:eastAsia="仿宋" w:cs="仿宋"/>
          <w:color w:val="auto"/>
          <w:sz w:val="21"/>
          <w:szCs w:val="21"/>
          <w:highlight w:val="none"/>
        </w:rPr>
        <w:t>免费保修。保修期内，当</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损坏时，乙方负责到</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所在地取走，并在取走货物之日起</w:t>
      </w:r>
      <w:r>
        <w:rPr>
          <w:rFonts w:hint="eastAsia" w:ascii="仿宋" w:hAnsi="仿宋" w:eastAsia="仿宋" w:cs="仿宋"/>
          <w:b/>
          <w:color w:val="auto"/>
          <w:sz w:val="21"/>
          <w:szCs w:val="21"/>
          <w:highlight w:val="none"/>
          <w:lang w:val="en-US" w:eastAsia="zh-CN"/>
        </w:rPr>
        <w:t>7</w:t>
      </w:r>
      <w:r>
        <w:rPr>
          <w:rFonts w:hint="eastAsia" w:ascii="仿宋" w:hAnsi="仿宋" w:eastAsia="仿宋" w:cs="仿宋"/>
          <w:color w:val="auto"/>
          <w:sz w:val="21"/>
          <w:szCs w:val="21"/>
          <w:highlight w:val="none"/>
        </w:rPr>
        <w:t>天内，把全新的</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或更换的</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送回原</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所在地。所涉及的</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运输费及</w:t>
      </w:r>
      <w:r>
        <w:rPr>
          <w:rFonts w:hint="eastAsia" w:ascii="仿宋" w:hAnsi="仿宋" w:eastAsia="仿宋" w:cs="仿宋"/>
          <w:color w:val="auto"/>
          <w:sz w:val="21"/>
          <w:szCs w:val="21"/>
          <w:highlight w:val="none"/>
          <w:lang w:eastAsia="zh-CN"/>
        </w:rPr>
        <w:t>货物</w:t>
      </w:r>
      <w:r>
        <w:rPr>
          <w:rFonts w:hint="eastAsia" w:ascii="仿宋" w:hAnsi="仿宋" w:eastAsia="仿宋" w:cs="仿宋"/>
          <w:color w:val="auto"/>
          <w:sz w:val="21"/>
          <w:szCs w:val="21"/>
          <w:highlight w:val="none"/>
        </w:rPr>
        <w:t>灭失</w:t>
      </w:r>
      <w:r>
        <w:rPr>
          <w:rFonts w:hint="eastAsia" w:ascii="仿宋" w:hAnsi="仿宋" w:eastAsia="仿宋" w:cs="仿宋"/>
          <w:color w:val="auto"/>
          <w:sz w:val="21"/>
          <w:szCs w:val="21"/>
          <w:highlight w:val="none"/>
          <w:lang w:eastAsia="zh-CN"/>
        </w:rPr>
        <w:t>、毁损</w:t>
      </w:r>
      <w:r>
        <w:rPr>
          <w:rFonts w:hint="eastAsia" w:ascii="仿宋" w:hAnsi="仿宋" w:eastAsia="仿宋" w:cs="仿宋"/>
          <w:color w:val="auto"/>
          <w:sz w:val="21"/>
          <w:szCs w:val="21"/>
          <w:highlight w:val="none"/>
        </w:rPr>
        <w:t>等风险由乙方承担。</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.2 保修期内服务</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标的物出现质量问题，甲方有权选择要求乙方修理、更换或退货。甲方要求乙方进行修理、更换，而乙方不能提供无偿修理、更换，或经修理、更换后质量仍不符合约定的，或者甲方要求退货的，乙方应负责退货并赔偿损失。</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第八条 知识产权保护</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乙方承诺本合同项下货物及甲方实施的任何对本合同项下货物进行购买、使用、销售、销毁等与之相关的行为，在任何时候均不会对本合同以外的第三人的知识产权以及其他合法权益造成任何侵犯。如有本合同以外的第三方因甲方购买、使用、销售本合同项下货物等与之相关的行为而提出侵犯其著作权、专利权、商标权及其他合法权益的，视为乙方违约，且乙方应赔偿由此导致的一切经济损失（包括但不限于甲方的直接损失、间接损失以及可得利益损失）并承担相应的法律责任。</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除法律强制性规定或双方另有约定外，甲方参与开发、设计、研发的与履行本合同有关的方案、产品、设计等一切涉及商业秘密或知识产权的智力成果及有关权利均属甲方所有，包括但不限于专有权、专用权、销售许可权、复制权、专利申请权、商标申请权、著作权申请权等。乙方应当尊重并保护甲方的上述智力成果及有关权利，并保证在取得甲方书面同意之前，不得将其用于履行本合同以外的事项，不得申请注册有关知识产权，单方使用或授权任何他人使用。否则，视为乙方违约，乙方应赔偿因此造成的甲方损失（包括但不限于直接损失、间接损失</w:t>
      </w:r>
      <w:r>
        <w:rPr>
          <w:rFonts w:hint="eastAsia" w:ascii="仿宋" w:hAnsi="仿宋" w:eastAsia="仿宋" w:cs="仿宋"/>
          <w:bCs/>
          <w:color w:val="auto"/>
          <w:sz w:val="21"/>
          <w:szCs w:val="21"/>
          <w:highlight w:val="none"/>
        </w:rPr>
        <w:t>以及可得利益损失</w:t>
      </w:r>
      <w:r>
        <w:rPr>
          <w:rFonts w:hint="eastAsia" w:ascii="仿宋" w:hAnsi="仿宋" w:eastAsia="仿宋" w:cs="仿宋"/>
          <w:bCs/>
          <w:color w:val="auto"/>
          <w:sz w:val="21"/>
          <w:szCs w:val="21"/>
          <w:highlight w:val="none"/>
          <w:lang w:val="en-US" w:eastAsia="zh-CN"/>
        </w:rPr>
        <w:t>等），并向甲方支付中标总价的30%作为惩罚性违约金。</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甲方的“服装e选”属无形资产，且储存有大量甲方员工个人信息，乙方应对甲方知识产权和员工隐私严格保护和保密，不得另作他用，不得通过任何形式或载体（无论口头、图像和书面方式等）向第三方披露。否则，视为乙方违约，乙方应赔偿因此造成的甲方损失（包括但不限于直接损失、间接损失以及可得利益损失等），并向甲方支付中标总价的30%作为惩罚性违约金。</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第九条 保密</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9.1 本合同拥有信息的一方（“提供方”）根据本合同向另一方（“接受方”）提供的信息，包括但不限于技术性信息、商业性信息、文件、程序、计划、技术、图表、模型、参数、数据、标准、专有技术、业务或业务运作方法、“服装e选”的冠名权、著作权、商标权，“服装e选”的核心技术、业务流程、操作界面及逻辑关系（南航专有服装规格号码表，系统中各类服装的点数测算原理及分配，员工的选择范围，“点对点”配送业务的运作模式，信息反馈渠道等），乙方从甲方获得的南航机构分布情况，各类人员构成，员工的姓名、性别、员工号、电话、邮箱、所在单位、家庭住址、快递单号等个人信息，以及其他专有信息，本合同的条款和与本合同有关的其他商业信息和技术信息(以下统称“保密信息”)，只能由接受方及其人员为本合同目的而使用。除本合同另有约定外，对于提供方提供的任何保密信息，未经提供方的书面同意，接受方及其知悉保密信息的人员均不得直接或间接地以任何方式提供、披露或转让给任何第三方或许可第三方使用，或以保密信息为任何第三方提供任何意见或建议。在本条款中，“第三方”是指除本合同当事人以外的任何自然人、法人或其他组织，但不包括甲方的分、子公司。</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9.2 接受方的律师、会计师、承包商和顾问为提供专业协助而需要了解保密信息时，接受方可向其披露保密信息，但是其应要求上述人员签订保密协议或按照有关职业道德标准履行保密义务。</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9.3 如相关政府部门或监管机构要求接受方披露任何保密信息，接受方可在该政府部门或监管机构要求的范围内做出披露而无需承担本合同项下的责任。但前提是该接受方应立即将需披露的信息书面通知提供方，以便提供方采取必要的保护措施，且该等通知应尽可能在信息披露前做出，并且接受方应尽商业上合理的努力确保该等被披露的信息获得有关政府机关或监管机构的保密待遇。</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9.4 在任何情形下，本条款所规定的保密义务应永久持续有效。</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9.5 本条规定的保密义务对以下信息不适用：</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9.5.1 在一方披露时，已经是公众所知的信息，或者在披露后，并非由于接受方或其雇员、律师、会计师、承包商、顾问或者其他人员的原因而成为公众所知的信息；</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9.5.2有书面证据证明在披露时已经由接受方掌握的信息，而且信息并非直接或间接来自提供方； </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9.5.3 有书面证据证明第三方已向接受方披露的信息，而该第三方并不负有保密义务，并且有权做出披露。</w:t>
      </w:r>
    </w:p>
    <w:p>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textAlignment w:val="auto"/>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9.6 当本合同解除或终止时，接受方应立即停止使用且不得许可第三方使用提供方的保密信息，同时，接受方应按照提供方的书面要求，将提供方提供的保密信息退还提供方或予以删除或销毁，不得以任何形式留存。</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第十条  违约责任及免责条款</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10.1</w:t>
      </w:r>
      <w:r>
        <w:rPr>
          <w:rFonts w:hint="eastAsia" w:ascii="仿宋" w:hAnsi="仿宋" w:eastAsia="仿宋" w:cs="仿宋"/>
          <w:color w:val="auto"/>
          <w:sz w:val="21"/>
          <w:szCs w:val="21"/>
          <w:highlight w:val="none"/>
        </w:rPr>
        <w:t>甲方违约责任</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w:t>
      </w:r>
      <w:r>
        <w:rPr>
          <w:rFonts w:hint="eastAsia" w:ascii="仿宋" w:hAnsi="仿宋" w:eastAsia="仿宋" w:cs="仿宋"/>
          <w:color w:val="auto"/>
          <w:sz w:val="21"/>
          <w:szCs w:val="21"/>
          <w:highlight w:val="none"/>
          <w:lang w:eastAsia="zh-CN"/>
        </w:rPr>
        <w:t>无正当理由</w:t>
      </w:r>
      <w:r>
        <w:rPr>
          <w:rFonts w:hint="eastAsia" w:ascii="仿宋" w:hAnsi="仿宋" w:eastAsia="仿宋" w:cs="仿宋"/>
          <w:color w:val="auto"/>
          <w:sz w:val="21"/>
          <w:szCs w:val="21"/>
          <w:highlight w:val="none"/>
        </w:rPr>
        <w:t>逾期支付本合同项下款项的，每逾期一日按逾期付款</w:t>
      </w:r>
      <w:r>
        <w:rPr>
          <w:rFonts w:hint="eastAsia" w:ascii="仿宋" w:hAnsi="仿宋" w:eastAsia="仿宋" w:cs="仿宋"/>
          <w:color w:val="auto"/>
          <w:sz w:val="21"/>
          <w:szCs w:val="21"/>
          <w:highlight w:val="none"/>
          <w:lang w:eastAsia="zh-CN"/>
        </w:rPr>
        <w:t>额</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lang w:val="en-US" w:eastAsia="zh-CN"/>
        </w:rPr>
        <w:t>万分之五</w:t>
      </w:r>
      <w:r>
        <w:rPr>
          <w:rFonts w:hint="eastAsia" w:ascii="仿宋" w:hAnsi="仿宋" w:eastAsia="仿宋" w:cs="仿宋"/>
          <w:color w:val="auto"/>
          <w:sz w:val="21"/>
          <w:szCs w:val="21"/>
          <w:highlight w:val="none"/>
        </w:rPr>
        <w:t>计算逾期</w:t>
      </w:r>
      <w:r>
        <w:rPr>
          <w:rFonts w:hint="eastAsia" w:ascii="仿宋" w:hAnsi="仿宋" w:eastAsia="仿宋" w:cs="仿宋"/>
          <w:color w:val="auto"/>
          <w:sz w:val="21"/>
          <w:szCs w:val="21"/>
          <w:highlight w:val="none"/>
          <w:lang w:eastAsia="zh-CN"/>
        </w:rPr>
        <w:t>付款</w:t>
      </w:r>
      <w:r>
        <w:rPr>
          <w:rFonts w:hint="eastAsia" w:ascii="仿宋" w:hAnsi="仿宋" w:eastAsia="仿宋" w:cs="仿宋"/>
          <w:color w:val="auto"/>
          <w:sz w:val="21"/>
          <w:szCs w:val="21"/>
          <w:highlight w:val="none"/>
        </w:rPr>
        <w:t>违约金，此项违约金</w:t>
      </w:r>
      <w:r>
        <w:rPr>
          <w:rFonts w:hint="eastAsia" w:ascii="仿宋" w:hAnsi="仿宋" w:eastAsia="仿宋" w:cs="仿宋"/>
          <w:color w:val="auto"/>
          <w:sz w:val="21"/>
          <w:szCs w:val="21"/>
          <w:highlight w:val="none"/>
          <w:lang w:eastAsia="zh-CN"/>
        </w:rPr>
        <w:t>总</w:t>
      </w:r>
      <w:r>
        <w:rPr>
          <w:rFonts w:hint="eastAsia" w:ascii="仿宋" w:hAnsi="仿宋" w:eastAsia="仿宋" w:cs="仿宋"/>
          <w:color w:val="auto"/>
          <w:sz w:val="21"/>
          <w:szCs w:val="21"/>
          <w:highlight w:val="none"/>
        </w:rPr>
        <w:t>额</w:t>
      </w:r>
      <w:r>
        <w:rPr>
          <w:rFonts w:hint="eastAsia" w:ascii="仿宋" w:hAnsi="仿宋" w:eastAsia="仿宋" w:cs="仿宋"/>
          <w:color w:val="auto"/>
          <w:sz w:val="21"/>
          <w:szCs w:val="21"/>
          <w:highlight w:val="none"/>
          <w:lang w:eastAsia="zh-CN"/>
        </w:rPr>
        <w:t>不超过</w:t>
      </w:r>
      <w:r>
        <w:rPr>
          <w:rFonts w:hint="eastAsia" w:ascii="仿宋" w:hAnsi="仿宋" w:eastAsia="仿宋" w:cs="仿宋"/>
          <w:color w:val="auto"/>
          <w:sz w:val="21"/>
          <w:szCs w:val="21"/>
          <w:highlight w:val="none"/>
        </w:rPr>
        <w:t>逾期</w:t>
      </w:r>
      <w:r>
        <w:rPr>
          <w:rFonts w:hint="eastAsia" w:ascii="仿宋" w:hAnsi="仿宋" w:eastAsia="仿宋" w:cs="仿宋"/>
          <w:color w:val="auto"/>
          <w:sz w:val="21"/>
          <w:szCs w:val="21"/>
          <w:highlight w:val="none"/>
          <w:lang w:eastAsia="zh-CN"/>
        </w:rPr>
        <w:t>付</w:t>
      </w:r>
      <w:r>
        <w:rPr>
          <w:rFonts w:hint="eastAsia" w:ascii="仿宋" w:hAnsi="仿宋" w:eastAsia="仿宋" w:cs="仿宋"/>
          <w:color w:val="auto"/>
          <w:sz w:val="21"/>
          <w:szCs w:val="21"/>
          <w:highlight w:val="none"/>
        </w:rPr>
        <w:t>款</w:t>
      </w:r>
      <w:r>
        <w:rPr>
          <w:rFonts w:hint="eastAsia" w:ascii="仿宋" w:hAnsi="仿宋" w:eastAsia="仿宋" w:cs="仿宋"/>
          <w:color w:val="auto"/>
          <w:sz w:val="21"/>
          <w:szCs w:val="21"/>
          <w:highlight w:val="none"/>
          <w:lang w:eastAsia="zh-CN"/>
        </w:rPr>
        <w:t>总额</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lang w:val="en-US" w:eastAsia="zh-CN"/>
        </w:rPr>
        <w:t>千分之一</w:t>
      </w:r>
      <w:r>
        <w:rPr>
          <w:rFonts w:hint="eastAsia" w:ascii="仿宋" w:hAnsi="仿宋" w:eastAsia="仿宋" w:cs="仿宋"/>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10.2</w:t>
      </w:r>
      <w:r>
        <w:rPr>
          <w:rFonts w:hint="eastAsia" w:ascii="仿宋" w:hAnsi="仿宋" w:eastAsia="仿宋" w:cs="仿宋"/>
          <w:color w:val="auto"/>
          <w:sz w:val="21"/>
          <w:szCs w:val="21"/>
          <w:highlight w:val="none"/>
        </w:rPr>
        <w:t>乙方违约责任</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10.2.</w:t>
      </w:r>
      <w:r>
        <w:rPr>
          <w:rFonts w:hint="eastAsia" w:ascii="仿宋" w:hAnsi="仿宋" w:eastAsia="仿宋" w:cs="仿宋"/>
          <w:color w:val="auto"/>
          <w:sz w:val="21"/>
          <w:szCs w:val="21"/>
          <w:highlight w:val="none"/>
        </w:rPr>
        <w:t>1乙方未按本合同约定的数量、质量、交货期和交货条件向甲方交货的，每逾期一日，按逾期交</w:t>
      </w:r>
      <w:r>
        <w:rPr>
          <w:rFonts w:hint="eastAsia" w:ascii="仿宋" w:hAnsi="仿宋" w:eastAsia="仿宋" w:cs="仿宋"/>
          <w:color w:val="auto"/>
          <w:sz w:val="21"/>
          <w:szCs w:val="21"/>
          <w:highlight w:val="none"/>
          <w:lang w:val="en-US" w:eastAsia="zh-CN"/>
        </w:rPr>
        <w:t>付</w:t>
      </w:r>
      <w:r>
        <w:rPr>
          <w:rFonts w:hint="eastAsia" w:ascii="仿宋" w:hAnsi="仿宋" w:eastAsia="仿宋" w:cs="仿宋"/>
          <w:color w:val="auto"/>
          <w:sz w:val="21"/>
          <w:szCs w:val="21"/>
          <w:highlight w:val="none"/>
        </w:rPr>
        <w:t>产品货款含税总价的万分之五向甲方支付违约金，不足一天按一天计算。如超过十天乙方仍未能按本合同约定交货的，甲方有权保留一切追究乙方责任的权利，包括但不限于甲方单方解除本合同，要求乙方支付逾期交</w:t>
      </w:r>
      <w:r>
        <w:rPr>
          <w:rFonts w:hint="eastAsia" w:ascii="仿宋" w:hAnsi="仿宋" w:eastAsia="仿宋" w:cs="仿宋"/>
          <w:color w:val="auto"/>
          <w:sz w:val="21"/>
          <w:szCs w:val="21"/>
          <w:highlight w:val="none"/>
          <w:lang w:val="en-US" w:eastAsia="zh-CN"/>
        </w:rPr>
        <w:t>付</w:t>
      </w:r>
      <w:r>
        <w:rPr>
          <w:rFonts w:hint="eastAsia" w:ascii="仿宋" w:hAnsi="仿宋" w:eastAsia="仿宋" w:cs="仿宋"/>
          <w:color w:val="auto"/>
          <w:sz w:val="21"/>
          <w:szCs w:val="21"/>
          <w:highlight w:val="none"/>
        </w:rPr>
        <w:t>产品货款含税总价的1%作为违约金并承担由此引起的甲方的全部损失（包括但不限于诉讼费、仲裁费、律师费等）。乙方在收到甲方发出的解除合同通知后的五天内，应无条件返还甲方已付款项。乙方逾期返还的，每逾期一日，按逾期返还金额的万分之五向甲方支付违约金，超过15天未返还的，甲方有权扣除乙方于本合同项下提交的所有保证金（包括但不限于质保金、履约保证金等），并保留一切继续追究乙方违约责任的权利。</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10.2.</w:t>
      </w:r>
      <w:r>
        <w:rPr>
          <w:rFonts w:hint="eastAsia" w:ascii="仿宋" w:hAnsi="仿宋" w:eastAsia="仿宋" w:cs="仿宋"/>
          <w:color w:val="auto"/>
          <w:sz w:val="21"/>
          <w:szCs w:val="21"/>
          <w:highlight w:val="none"/>
        </w:rPr>
        <w:t>2乙方未按本合同约定</w:t>
      </w:r>
      <w:r>
        <w:rPr>
          <w:rFonts w:hint="eastAsia" w:ascii="仿宋" w:hAnsi="仿宋" w:eastAsia="仿宋" w:cs="仿宋"/>
          <w:color w:val="auto"/>
          <w:sz w:val="21"/>
          <w:szCs w:val="21"/>
          <w:highlight w:val="none"/>
          <w:lang w:val="en-US" w:eastAsia="zh-CN"/>
        </w:rPr>
        <w:t>及时</w:t>
      </w:r>
      <w:r>
        <w:rPr>
          <w:rFonts w:hint="eastAsia" w:ascii="仿宋" w:hAnsi="仿宋" w:eastAsia="仿宋" w:cs="仿宋"/>
          <w:color w:val="auto"/>
          <w:sz w:val="21"/>
          <w:szCs w:val="21"/>
          <w:highlight w:val="none"/>
        </w:rPr>
        <w:t>提供</w:t>
      </w:r>
      <w:r>
        <w:rPr>
          <w:rFonts w:hint="eastAsia" w:ascii="仿宋" w:hAnsi="仿宋" w:eastAsia="仿宋" w:cs="仿宋"/>
          <w:color w:val="auto"/>
          <w:sz w:val="21"/>
          <w:szCs w:val="21"/>
          <w:highlight w:val="none"/>
          <w:lang w:val="en-US" w:eastAsia="zh-CN"/>
        </w:rPr>
        <w:t>保修</w:t>
      </w:r>
      <w:r>
        <w:rPr>
          <w:rFonts w:hint="eastAsia" w:ascii="仿宋" w:hAnsi="仿宋" w:eastAsia="仿宋" w:cs="仿宋"/>
          <w:color w:val="auto"/>
          <w:sz w:val="21"/>
          <w:szCs w:val="21"/>
          <w:highlight w:val="none"/>
        </w:rPr>
        <w:t>、售后</w:t>
      </w:r>
      <w:r>
        <w:rPr>
          <w:rFonts w:hint="eastAsia" w:ascii="仿宋" w:hAnsi="仿宋" w:eastAsia="仿宋" w:cs="仿宋"/>
          <w:color w:val="auto"/>
          <w:sz w:val="21"/>
          <w:szCs w:val="21"/>
          <w:highlight w:val="none"/>
          <w:lang w:val="en-US" w:eastAsia="zh-CN"/>
        </w:rPr>
        <w:t>等与履行本合同相关的</w:t>
      </w:r>
      <w:r>
        <w:rPr>
          <w:rFonts w:hint="eastAsia" w:ascii="仿宋" w:hAnsi="仿宋" w:eastAsia="仿宋" w:cs="仿宋"/>
          <w:color w:val="auto"/>
          <w:sz w:val="21"/>
          <w:szCs w:val="21"/>
          <w:highlight w:val="none"/>
        </w:rPr>
        <w:t>服务的，甲方有权采取其它方式实现目的，由此产生的费用由乙方承担。</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10.2.3</w:t>
      </w:r>
      <w:r>
        <w:rPr>
          <w:rFonts w:hint="eastAsia" w:ascii="仿宋" w:hAnsi="仿宋" w:eastAsia="仿宋" w:cs="仿宋"/>
          <w:color w:val="auto"/>
          <w:sz w:val="21"/>
          <w:szCs w:val="21"/>
          <w:highlight w:val="none"/>
        </w:rPr>
        <w:t>乙方于本合同项下提供的各项服务未达到本合同</w:t>
      </w:r>
      <w:r>
        <w:rPr>
          <w:rFonts w:hint="eastAsia" w:ascii="仿宋" w:hAnsi="仿宋" w:eastAsia="仿宋" w:cs="仿宋"/>
          <w:color w:val="auto"/>
          <w:sz w:val="21"/>
          <w:szCs w:val="21"/>
          <w:highlight w:val="none"/>
          <w:lang w:eastAsia="zh-CN"/>
        </w:rPr>
        <w:t>正文及</w:t>
      </w:r>
      <w:r>
        <w:rPr>
          <w:rFonts w:hint="eastAsia" w:ascii="仿宋" w:hAnsi="仿宋" w:eastAsia="仿宋" w:cs="仿宋"/>
          <w:color w:val="auto"/>
          <w:sz w:val="21"/>
          <w:szCs w:val="21"/>
          <w:highlight w:val="none"/>
        </w:rPr>
        <w:t>附件要求的技术、服务</w:t>
      </w:r>
      <w:r>
        <w:rPr>
          <w:rFonts w:hint="eastAsia" w:ascii="仿宋" w:hAnsi="仿宋" w:eastAsia="仿宋" w:cs="仿宋"/>
          <w:color w:val="auto"/>
          <w:sz w:val="21"/>
          <w:szCs w:val="21"/>
          <w:highlight w:val="none"/>
          <w:lang w:val="en-US" w:eastAsia="zh-CN"/>
        </w:rPr>
        <w:t>等各项</w:t>
      </w:r>
      <w:r>
        <w:rPr>
          <w:rFonts w:hint="eastAsia" w:ascii="仿宋" w:hAnsi="仿宋" w:eastAsia="仿宋" w:cs="仿宋"/>
          <w:color w:val="auto"/>
          <w:sz w:val="21"/>
          <w:szCs w:val="21"/>
          <w:highlight w:val="none"/>
        </w:rPr>
        <w:t>标准</w:t>
      </w:r>
      <w:r>
        <w:rPr>
          <w:rFonts w:hint="eastAsia" w:ascii="仿宋" w:hAnsi="仿宋" w:eastAsia="仿宋" w:cs="仿宋"/>
          <w:color w:val="auto"/>
          <w:sz w:val="21"/>
          <w:szCs w:val="21"/>
          <w:highlight w:val="none"/>
          <w:lang w:val="en-US" w:eastAsia="zh-CN"/>
        </w:rPr>
        <w:t>及要求</w:t>
      </w:r>
      <w:r>
        <w:rPr>
          <w:rFonts w:hint="eastAsia" w:ascii="仿宋" w:hAnsi="仿宋" w:eastAsia="仿宋" w:cs="仿宋"/>
          <w:color w:val="auto"/>
          <w:sz w:val="21"/>
          <w:szCs w:val="21"/>
          <w:highlight w:val="none"/>
        </w:rPr>
        <w:t>的，乙方除继续履行提供服务</w:t>
      </w:r>
      <w:r>
        <w:rPr>
          <w:rFonts w:hint="eastAsia" w:ascii="仿宋" w:hAnsi="仿宋" w:eastAsia="仿宋" w:cs="仿宋"/>
          <w:color w:val="auto"/>
          <w:sz w:val="21"/>
          <w:szCs w:val="21"/>
          <w:highlight w:val="none"/>
          <w:lang w:eastAsia="zh-CN"/>
        </w:rPr>
        <w:t>的</w:t>
      </w:r>
      <w:r>
        <w:rPr>
          <w:rFonts w:hint="eastAsia" w:ascii="仿宋" w:hAnsi="仿宋" w:eastAsia="仿宋" w:cs="仿宋"/>
          <w:color w:val="auto"/>
          <w:sz w:val="21"/>
          <w:szCs w:val="21"/>
          <w:highlight w:val="none"/>
        </w:rPr>
        <w:t>义务外，自应提供</w:t>
      </w:r>
      <w:r>
        <w:rPr>
          <w:rFonts w:hint="eastAsia" w:ascii="仿宋" w:hAnsi="仿宋" w:eastAsia="仿宋" w:cs="仿宋"/>
          <w:color w:val="auto"/>
          <w:sz w:val="21"/>
          <w:szCs w:val="21"/>
          <w:highlight w:val="none"/>
          <w:lang w:val="en-US" w:eastAsia="zh-CN"/>
        </w:rPr>
        <w:t>达标</w:t>
      </w:r>
      <w:r>
        <w:rPr>
          <w:rFonts w:hint="eastAsia" w:ascii="仿宋" w:hAnsi="仿宋" w:eastAsia="仿宋" w:cs="仿宋"/>
          <w:color w:val="auto"/>
          <w:sz w:val="21"/>
          <w:szCs w:val="21"/>
          <w:highlight w:val="none"/>
        </w:rPr>
        <w:t>服务</w:t>
      </w:r>
      <w:r>
        <w:rPr>
          <w:rFonts w:hint="eastAsia" w:ascii="仿宋" w:hAnsi="仿宋" w:eastAsia="仿宋" w:cs="仿宋"/>
          <w:color w:val="auto"/>
          <w:sz w:val="21"/>
          <w:szCs w:val="21"/>
          <w:highlight w:val="none"/>
          <w:lang w:eastAsia="zh-CN"/>
        </w:rPr>
        <w:t>之日</w:t>
      </w:r>
      <w:r>
        <w:rPr>
          <w:rFonts w:hint="eastAsia" w:ascii="仿宋" w:hAnsi="仿宋" w:eastAsia="仿宋" w:cs="仿宋"/>
          <w:color w:val="auto"/>
          <w:sz w:val="21"/>
          <w:szCs w:val="21"/>
          <w:highlight w:val="none"/>
        </w:rPr>
        <w:t>起到实际提供</w:t>
      </w:r>
      <w:r>
        <w:rPr>
          <w:rFonts w:hint="eastAsia" w:ascii="仿宋" w:hAnsi="仿宋" w:eastAsia="仿宋" w:cs="仿宋"/>
          <w:color w:val="auto"/>
          <w:sz w:val="21"/>
          <w:szCs w:val="21"/>
          <w:highlight w:val="none"/>
          <w:lang w:val="en-US" w:eastAsia="zh-CN"/>
        </w:rPr>
        <w:t>达标</w:t>
      </w:r>
      <w:r>
        <w:rPr>
          <w:rFonts w:hint="eastAsia" w:ascii="仿宋" w:hAnsi="仿宋" w:eastAsia="仿宋" w:cs="仿宋"/>
          <w:color w:val="auto"/>
          <w:sz w:val="21"/>
          <w:szCs w:val="21"/>
          <w:highlight w:val="none"/>
        </w:rPr>
        <w:t>服务</w:t>
      </w:r>
      <w:r>
        <w:rPr>
          <w:rFonts w:hint="eastAsia" w:ascii="仿宋" w:hAnsi="仿宋" w:eastAsia="仿宋" w:cs="仿宋"/>
          <w:color w:val="auto"/>
          <w:sz w:val="21"/>
          <w:szCs w:val="21"/>
          <w:highlight w:val="none"/>
          <w:lang w:eastAsia="zh-CN"/>
        </w:rPr>
        <w:t>之日</w:t>
      </w:r>
      <w:r>
        <w:rPr>
          <w:rFonts w:hint="eastAsia" w:ascii="仿宋" w:hAnsi="仿宋" w:eastAsia="仿宋" w:cs="仿宋"/>
          <w:color w:val="auto"/>
          <w:sz w:val="21"/>
          <w:szCs w:val="21"/>
          <w:highlight w:val="none"/>
        </w:rPr>
        <w:t>止，应每天按</w:t>
      </w:r>
      <w:r>
        <w:rPr>
          <w:rFonts w:hint="eastAsia" w:ascii="仿宋" w:hAnsi="仿宋" w:eastAsia="仿宋" w:cs="仿宋"/>
          <w:color w:val="auto"/>
          <w:sz w:val="21"/>
          <w:szCs w:val="21"/>
          <w:highlight w:val="none"/>
          <w:lang w:eastAsia="zh-CN"/>
        </w:rPr>
        <w:t>中标</w:t>
      </w:r>
      <w:r>
        <w:rPr>
          <w:rFonts w:hint="eastAsia" w:ascii="仿宋" w:hAnsi="仿宋" w:eastAsia="仿宋" w:cs="仿宋"/>
          <w:color w:val="auto"/>
          <w:sz w:val="21"/>
          <w:szCs w:val="21"/>
          <w:highlight w:val="none"/>
        </w:rPr>
        <w:t>总价的</w:t>
      </w:r>
      <w:r>
        <w:rPr>
          <w:rFonts w:hint="eastAsia" w:ascii="仿宋" w:hAnsi="仿宋" w:eastAsia="仿宋" w:cs="仿宋"/>
          <w:color w:val="auto"/>
          <w:sz w:val="21"/>
          <w:szCs w:val="21"/>
          <w:highlight w:val="none"/>
          <w:lang w:val="en-US" w:eastAsia="zh-CN"/>
        </w:rPr>
        <w:t>万分之五</w:t>
      </w:r>
      <w:r>
        <w:rPr>
          <w:rFonts w:hint="eastAsia" w:ascii="仿宋" w:hAnsi="仿宋" w:eastAsia="仿宋" w:cs="仿宋"/>
          <w:color w:val="auto"/>
          <w:sz w:val="21"/>
          <w:szCs w:val="21"/>
          <w:highlight w:val="none"/>
        </w:rPr>
        <w:t>向甲方支付违约金。</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10.2.4</w:t>
      </w:r>
      <w:r>
        <w:rPr>
          <w:rFonts w:hint="eastAsia" w:ascii="仿宋" w:hAnsi="仿宋" w:eastAsia="仿宋" w:cs="仿宋"/>
          <w:color w:val="auto"/>
          <w:sz w:val="21"/>
          <w:szCs w:val="21"/>
          <w:highlight w:val="none"/>
        </w:rPr>
        <w:t xml:space="preserve"> 上述违约金甲方均有权从本合同结算款及乙方提交的各项保证金（包括但不限于质保金、履约保证金等）中直接抵扣或向乙方提供的履约保函出具人主张支付，不足部分乙方应另行向甲方赔偿并支付。</w:t>
      </w:r>
    </w:p>
    <w:p>
      <w:pPr>
        <w:spacing w:line="460" w:lineRule="exact"/>
        <w:ind w:firstLine="420" w:firstLineChars="200"/>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10.2.5 乙方单方提出终止（解除）合同或以自己的行为表示不履行合同的，甲方有权经通知后解除本合同，乙方应按中标总价的20%向甲方支付违约金。</w:t>
      </w:r>
    </w:p>
    <w:p>
      <w:pPr>
        <w:spacing w:line="460" w:lineRule="exact"/>
        <w:ind w:firstLine="420" w:firstLineChars="200"/>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10.2.6 本合同约定的违约金不足以弥补甲方损失（包括但不限于甲方的直接损失、间接损失以及可得利益损失、诉讼费、诉讼保全费、律师费、财产保全担保费等）的，乙方应继续赔偿。</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10.3 其他</w:t>
      </w:r>
      <w:r>
        <w:rPr>
          <w:rFonts w:hint="eastAsia" w:ascii="仿宋" w:hAnsi="仿宋" w:eastAsia="仿宋" w:cs="仿宋"/>
          <w:color w:val="auto"/>
          <w:sz w:val="21"/>
          <w:szCs w:val="21"/>
          <w:highlight w:val="none"/>
        </w:rPr>
        <w:t>违约</w:t>
      </w:r>
      <w:r>
        <w:rPr>
          <w:rFonts w:hint="eastAsia" w:ascii="仿宋" w:hAnsi="仿宋" w:eastAsia="仿宋" w:cs="仿宋"/>
          <w:color w:val="auto"/>
          <w:sz w:val="21"/>
          <w:szCs w:val="21"/>
          <w:highlight w:val="none"/>
          <w:lang w:val="en-US" w:eastAsia="zh-CN"/>
        </w:rPr>
        <w:t>情形</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除本合同及本合同附件已明确违约金计算标准的，甲乙双方任何一方违反本合同</w:t>
      </w:r>
      <w:r>
        <w:rPr>
          <w:rFonts w:hint="eastAsia" w:ascii="仿宋" w:hAnsi="仿宋" w:eastAsia="仿宋" w:cs="仿宋"/>
          <w:color w:val="auto"/>
          <w:sz w:val="21"/>
          <w:szCs w:val="21"/>
          <w:highlight w:val="none"/>
          <w:lang w:val="en-US" w:eastAsia="zh-CN"/>
        </w:rPr>
        <w:t>其他</w:t>
      </w:r>
      <w:r>
        <w:rPr>
          <w:rFonts w:hint="eastAsia" w:ascii="仿宋" w:hAnsi="仿宋" w:eastAsia="仿宋" w:cs="仿宋"/>
          <w:color w:val="auto"/>
          <w:sz w:val="21"/>
          <w:szCs w:val="21"/>
          <w:highlight w:val="none"/>
        </w:rPr>
        <w:t>约定的，应按本</w:t>
      </w:r>
      <w:r>
        <w:rPr>
          <w:rFonts w:hint="eastAsia" w:ascii="仿宋" w:hAnsi="仿宋" w:eastAsia="仿宋" w:cs="仿宋"/>
          <w:color w:val="auto"/>
          <w:sz w:val="21"/>
          <w:szCs w:val="21"/>
          <w:highlight w:val="none"/>
          <w:lang w:eastAsia="zh-CN"/>
        </w:rPr>
        <w:t>中标</w:t>
      </w:r>
      <w:r>
        <w:rPr>
          <w:rFonts w:hint="eastAsia" w:ascii="仿宋" w:hAnsi="仿宋" w:eastAsia="仿宋" w:cs="仿宋"/>
          <w:color w:val="auto"/>
          <w:sz w:val="21"/>
          <w:szCs w:val="21"/>
          <w:highlight w:val="none"/>
        </w:rPr>
        <w:t>总价的</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%向守约方支付违约金。</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10.4 </w:t>
      </w:r>
      <w:r>
        <w:rPr>
          <w:rFonts w:hint="eastAsia" w:ascii="仿宋" w:hAnsi="仿宋" w:eastAsia="仿宋" w:cs="仿宋"/>
          <w:color w:val="auto"/>
          <w:sz w:val="21"/>
          <w:szCs w:val="21"/>
          <w:highlight w:val="none"/>
        </w:rPr>
        <w:t>免责情形</w:t>
      </w:r>
    </w:p>
    <w:p>
      <w:pPr>
        <w:spacing w:line="4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乙双方任何一方，由于战争及严重的火灾、水灾、台风、地震等不能预见、不能避免、不能克服的不可抗力事件而导致本合同必须延迟履行或部分履行或根本无法履行时，不构成对本合同的违约。但是，受不可抗力事件影响的一方应尽最大努力防止事件给对方造成或扩大损失，</w:t>
      </w:r>
      <w:r>
        <w:rPr>
          <w:rFonts w:hint="eastAsia" w:ascii="仿宋" w:hAnsi="仿宋" w:eastAsia="仿宋" w:cs="仿宋"/>
          <w:color w:val="auto"/>
          <w:sz w:val="21"/>
          <w:szCs w:val="21"/>
          <w:highlight w:val="none"/>
          <w:lang w:val="en-US" w:eastAsia="zh-CN"/>
        </w:rPr>
        <w:t>并在具备通知条件的情况下，</w:t>
      </w:r>
      <w:r>
        <w:rPr>
          <w:rFonts w:hint="eastAsia" w:ascii="仿宋" w:hAnsi="仿宋" w:eastAsia="仿宋" w:cs="仿宋"/>
          <w:color w:val="auto"/>
          <w:sz w:val="21"/>
          <w:szCs w:val="21"/>
          <w:highlight w:val="none"/>
        </w:rPr>
        <w:t>七个工作日内将发生不可抗力的情况以书面方式通知另一方</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在</w:t>
      </w:r>
      <w:r>
        <w:rPr>
          <w:rFonts w:hint="eastAsia" w:ascii="仿宋" w:hAnsi="仿宋" w:eastAsia="仿宋" w:cs="仿宋"/>
          <w:color w:val="auto"/>
          <w:sz w:val="21"/>
          <w:szCs w:val="21"/>
          <w:highlight w:val="none"/>
        </w:rPr>
        <w:t>不可抗力事件结束后的二周内，向对方提供官方政府机构出具的有关证明。当不可抗力事件终止或消除后，双方应尽可能继续履行合同，或在必要时另行以书面形式对本合同进行补充或变更。</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第十一条 通知及送达</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11.1任何与本合同各方之间的通知或其他通讯往来（以下简称“通知”）均应当采用书面形式（包括亲自送达、邮递、电子邮箱和传真等），并按照下列通讯地址和通讯号码送达被通知人，由此方构成一个有效的通知。</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11.1.1甲方联系方式：  </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11.1.2乙方联系方式：</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11.2</w:t>
      </w:r>
      <w:r>
        <w:rPr>
          <w:rFonts w:hint="eastAsia" w:ascii="仿宋" w:hAnsi="仿宋" w:eastAsia="仿宋" w:cs="仿宋"/>
          <w:color w:val="auto"/>
          <w:sz w:val="21"/>
          <w:szCs w:val="21"/>
          <w:highlight w:val="none"/>
        </w:rPr>
        <w:t>任何亲自送达的通知在被通知人签收时视为送达，被通知人未签收的不得视为有效的送达。</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11.3</w:t>
      </w:r>
      <w:r>
        <w:rPr>
          <w:rFonts w:hint="eastAsia" w:ascii="仿宋" w:hAnsi="仿宋" w:eastAsia="仿宋" w:cs="仿宋"/>
          <w:color w:val="auto"/>
          <w:sz w:val="21"/>
          <w:szCs w:val="21"/>
          <w:highlight w:val="none"/>
        </w:rPr>
        <w:t>任何以邮寄方式进行的通知均应采用挂号快件或特快专递的方式进行，并在经受送达人签收后视为送达。</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11.4</w:t>
      </w:r>
      <w:r>
        <w:rPr>
          <w:rFonts w:hint="eastAsia" w:ascii="仿宋" w:hAnsi="仿宋" w:eastAsia="仿宋" w:cs="仿宋"/>
          <w:color w:val="auto"/>
          <w:sz w:val="21"/>
          <w:szCs w:val="21"/>
          <w:highlight w:val="none"/>
        </w:rPr>
        <w:t>任何以传真方式发出的通知在取得传送确认时视为送达。</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11.5</w:t>
      </w:r>
      <w:r>
        <w:rPr>
          <w:rFonts w:hint="eastAsia" w:ascii="仿宋" w:hAnsi="仿宋" w:eastAsia="仿宋" w:cs="仿宋"/>
          <w:color w:val="auto"/>
          <w:sz w:val="21"/>
          <w:szCs w:val="21"/>
          <w:highlight w:val="none"/>
        </w:rPr>
        <w:t>任何以电子邮件方式发出的通知在到达被通知人邮件系统</w:t>
      </w:r>
      <w:r>
        <w:rPr>
          <w:rFonts w:hint="eastAsia" w:ascii="仿宋" w:hAnsi="仿宋" w:eastAsia="仿宋" w:cs="仿宋"/>
          <w:color w:val="auto"/>
          <w:sz w:val="21"/>
          <w:szCs w:val="21"/>
          <w:highlight w:val="none"/>
          <w:lang w:eastAsia="zh-CN"/>
        </w:rPr>
        <w:t>时</w:t>
      </w:r>
      <w:r>
        <w:rPr>
          <w:rFonts w:hint="eastAsia" w:ascii="仿宋" w:hAnsi="仿宋" w:eastAsia="仿宋" w:cs="仿宋"/>
          <w:color w:val="auto"/>
          <w:sz w:val="21"/>
          <w:szCs w:val="21"/>
          <w:highlight w:val="none"/>
        </w:rPr>
        <w:t>即视为送达，邮件到达日期为送达日期。具体以发出通知一方的邮件发送成功的系统记录为准。</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11.6</w:t>
      </w:r>
      <w:r>
        <w:rPr>
          <w:rFonts w:hint="eastAsia" w:ascii="仿宋" w:hAnsi="仿宋" w:eastAsia="仿宋" w:cs="仿宋"/>
          <w:color w:val="auto"/>
          <w:sz w:val="21"/>
          <w:szCs w:val="21"/>
          <w:highlight w:val="none"/>
        </w:rPr>
        <w:t>任何一方于本合同第11.1款列明的通讯地址或通讯号码发生变化时，至少应于该变更发生前的7个工作日内</w:t>
      </w:r>
      <w:r>
        <w:rPr>
          <w:rFonts w:hint="eastAsia" w:ascii="仿宋" w:hAnsi="仿宋" w:eastAsia="仿宋" w:cs="仿宋"/>
          <w:color w:val="auto"/>
          <w:sz w:val="21"/>
          <w:szCs w:val="21"/>
          <w:highlight w:val="none"/>
          <w:lang w:val="en-US" w:eastAsia="zh-CN"/>
        </w:rPr>
        <w:t>书面</w:t>
      </w:r>
      <w:r>
        <w:rPr>
          <w:rFonts w:hint="eastAsia" w:ascii="仿宋" w:hAnsi="仿宋" w:eastAsia="仿宋" w:cs="仿宋"/>
          <w:color w:val="auto"/>
          <w:sz w:val="21"/>
          <w:szCs w:val="21"/>
          <w:highlight w:val="none"/>
        </w:rPr>
        <w:t>通知另一方，否则另一方按照原通讯方式发出的通知自发出之日起的第3个工作日，即视为有效通知并送达，而不论被通知方实际签收或确认与否。</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11.7</w:t>
      </w:r>
      <w:r>
        <w:rPr>
          <w:rFonts w:hint="eastAsia" w:ascii="仿宋" w:hAnsi="仿宋" w:eastAsia="仿宋" w:cs="仿宋"/>
          <w:color w:val="auto"/>
          <w:sz w:val="21"/>
          <w:szCs w:val="21"/>
          <w:highlight w:val="none"/>
        </w:rPr>
        <w:t>诉讼、仲裁文书的约定送达</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11.7.</w:t>
      </w:r>
      <w:r>
        <w:rPr>
          <w:rFonts w:hint="eastAsia" w:ascii="仿宋" w:hAnsi="仿宋" w:eastAsia="仿宋" w:cs="仿宋"/>
          <w:color w:val="auto"/>
          <w:sz w:val="21"/>
          <w:szCs w:val="21"/>
          <w:highlight w:val="none"/>
        </w:rPr>
        <w:t>1合同各方一致确认本合同第11.1款列明的通讯地址和通讯号码亦为各方解决争议时接收法院、仲裁机构的诉讼、仲裁等法律文书之送达地址。如变更联系方式，变更方应按前述约定向法院、仲裁机构递送书面变更通知。</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11.7.</w:t>
      </w:r>
      <w:r>
        <w:rPr>
          <w:rFonts w:hint="eastAsia" w:ascii="仿宋" w:hAnsi="仿宋" w:eastAsia="仿宋" w:cs="仿宋"/>
          <w:color w:val="auto"/>
          <w:sz w:val="21"/>
          <w:szCs w:val="21"/>
          <w:highlight w:val="none"/>
        </w:rPr>
        <w:t>2如合同各方根据法院、仲裁机构要求填写送达地址确认书，该确认地址与前述联系方式不一致的，以向法院、仲裁机构提交确认的送达地址为准。该确认地址适用前述约定的送达方式及送达的法律后果。</w:t>
      </w:r>
      <w:r>
        <w:rPr>
          <w:rFonts w:hint="eastAsia" w:ascii="仿宋" w:hAnsi="仿宋" w:eastAsia="仿宋" w:cs="仿宋"/>
          <w:color w:val="auto"/>
          <w:sz w:val="21"/>
          <w:szCs w:val="21"/>
          <w:highlight w:val="none"/>
          <w:lang w:val="en-US" w:eastAsia="zh-CN"/>
        </w:rPr>
        <w:t xml:space="preserve"> </w:t>
      </w:r>
    </w:p>
    <w:p>
      <w:pPr>
        <w:spacing w:line="460" w:lineRule="exact"/>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第十二条 争议的解决及法律适用</w:t>
      </w:r>
    </w:p>
    <w:p>
      <w:pPr>
        <w:pStyle w:val="16"/>
        <w:spacing w:after="0" w:line="460" w:lineRule="exact"/>
        <w:ind w:left="0" w:lef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12.1因履行本合同所发生的和本合同有关的一切争议，双方应优先通过友好协商解决。经友好协商不能达成一致的，双方应向甲方所在地有管辖权的人民法院提起诉讼。除正在诉讼的争议事项外，双方应继续行使其本合同项下的其余权利，并履行其本合同项下的其它义务。</w:t>
      </w:r>
    </w:p>
    <w:p>
      <w:pPr>
        <w:pStyle w:val="16"/>
        <w:spacing w:after="0" w:line="460" w:lineRule="exact"/>
        <w:ind w:left="0" w:lef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12.2双方一致同意本合同及与本合同相关的所有争议均适用中华人民共和国法律（不含港澳台地区）。</w:t>
      </w:r>
    </w:p>
    <w:p>
      <w:pPr>
        <w:pStyle w:val="16"/>
        <w:spacing w:after="0" w:line="460" w:lineRule="exact"/>
        <w:ind w:left="0" w:leftChars="0"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第十三条 合同生效、终止及其他</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13.1</w:t>
      </w:r>
      <w:r>
        <w:rPr>
          <w:rFonts w:hint="eastAsia" w:ascii="仿宋" w:hAnsi="仿宋" w:eastAsia="仿宋" w:cs="仿宋"/>
          <w:color w:val="auto"/>
          <w:sz w:val="21"/>
          <w:szCs w:val="21"/>
          <w:highlight w:val="none"/>
        </w:rPr>
        <w:t>除本合同另行约定生效期限的，本合同经合作双方法定代表人或其授权</w:t>
      </w:r>
      <w:r>
        <w:rPr>
          <w:rFonts w:hint="eastAsia" w:ascii="仿宋" w:hAnsi="仿宋" w:eastAsia="仿宋" w:cs="仿宋"/>
          <w:color w:val="auto"/>
          <w:sz w:val="21"/>
          <w:szCs w:val="21"/>
          <w:highlight w:val="none"/>
          <w:lang w:val="en-US" w:eastAsia="zh-CN"/>
        </w:rPr>
        <w:t>签约</w:t>
      </w:r>
      <w:r>
        <w:rPr>
          <w:rFonts w:hint="eastAsia" w:ascii="仿宋" w:hAnsi="仿宋" w:eastAsia="仿宋" w:cs="仿宋"/>
          <w:color w:val="auto"/>
          <w:sz w:val="21"/>
          <w:szCs w:val="21"/>
          <w:highlight w:val="none"/>
        </w:rPr>
        <w:t>代表签字并加盖公司公章或合同专用章之日起生效，合同有效期</w:t>
      </w:r>
      <w:r>
        <w:rPr>
          <w:rFonts w:hint="eastAsia" w:ascii="仿宋" w:hAnsi="仿宋" w:eastAsia="仿宋" w:cs="仿宋"/>
          <w:color w:val="auto"/>
          <w:sz w:val="21"/>
          <w:szCs w:val="21"/>
          <w:highlight w:val="none"/>
          <w:lang w:val="en-US" w:eastAsia="zh-CN"/>
        </w:rPr>
        <w:t>3年</w:t>
      </w:r>
      <w:r>
        <w:rPr>
          <w:rFonts w:hint="eastAsia" w:ascii="宋体" w:hAnsi="宋体" w:cs="宋体"/>
          <w:color w:val="auto"/>
          <w:kern w:val="0"/>
          <w:szCs w:val="21"/>
          <w:highlight w:val="none"/>
          <w:lang w:val="en-US" w:eastAsia="zh-CN"/>
        </w:rPr>
        <w:t>。</w:t>
      </w:r>
      <w:r>
        <w:rPr>
          <w:rFonts w:hint="eastAsia" w:ascii="仿宋" w:hAnsi="仿宋" w:eastAsia="仿宋" w:cs="仿宋"/>
          <w:color w:val="auto"/>
          <w:sz w:val="21"/>
          <w:szCs w:val="21"/>
          <w:highlight w:val="none"/>
        </w:rPr>
        <w:t>本合同期限届至，并不代表乙方的</w:t>
      </w:r>
      <w:r>
        <w:rPr>
          <w:rFonts w:hint="eastAsia" w:ascii="仿宋" w:hAnsi="仿宋" w:eastAsia="仿宋" w:cs="仿宋"/>
          <w:color w:val="auto"/>
          <w:sz w:val="21"/>
          <w:szCs w:val="21"/>
          <w:highlight w:val="none"/>
          <w:lang w:eastAsia="zh-CN"/>
        </w:rPr>
        <w:t>质量保证</w:t>
      </w:r>
      <w:r>
        <w:rPr>
          <w:rFonts w:hint="eastAsia" w:ascii="仿宋" w:hAnsi="仿宋" w:eastAsia="仿宋" w:cs="仿宋"/>
          <w:color w:val="auto"/>
          <w:sz w:val="21"/>
          <w:szCs w:val="21"/>
          <w:highlight w:val="none"/>
        </w:rPr>
        <w:t>期结束，相关售后服务仍需按合同条款约定的要求继续履行</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本合同关于验收、知识产权保护、保密、违约责任、争议解决等条款仍然有效</w:t>
      </w:r>
      <w:r>
        <w:rPr>
          <w:rFonts w:hint="eastAsia" w:ascii="仿宋" w:hAnsi="仿宋" w:eastAsia="仿宋" w:cs="仿宋"/>
          <w:color w:val="auto"/>
          <w:sz w:val="21"/>
          <w:szCs w:val="21"/>
          <w:highlight w:val="none"/>
        </w:rPr>
        <w:t>。如本合同失效后，甲方发现乙方违反合同相关要求的，甲方依然享有追究、</w:t>
      </w:r>
      <w:r>
        <w:rPr>
          <w:rFonts w:hint="eastAsia" w:ascii="仿宋" w:hAnsi="仿宋" w:eastAsia="仿宋" w:cs="仿宋"/>
          <w:color w:val="auto"/>
          <w:sz w:val="21"/>
          <w:szCs w:val="21"/>
          <w:highlight w:val="none"/>
          <w:lang w:eastAsia="zh-CN"/>
        </w:rPr>
        <w:t>索</w:t>
      </w:r>
      <w:r>
        <w:rPr>
          <w:rFonts w:hint="eastAsia" w:ascii="仿宋" w:hAnsi="仿宋" w:eastAsia="仿宋" w:cs="仿宋"/>
          <w:color w:val="auto"/>
          <w:sz w:val="21"/>
          <w:szCs w:val="21"/>
          <w:highlight w:val="none"/>
        </w:rPr>
        <w:t>赔的权利。</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13.2 本合同对应项目的甲方招标文件（项目编号：【】）及乙方响应文件作为本合同的组成部分，与本合同具有同等法律效力。本合同未约定而招标文件中有规定的，按招标文件规定执行；招标文件与乙方响应文件都有规定，以条件更有利于甲方者作为履行依据。前述文件中相关条款或内容发生冲突的，以条件更有利于甲方的条款或内容为履行依据。</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13.3 应甲方要求，乙方如与甲方下属的子公司就本项目单独签署合同的，应确保与其所签署的合同条款与本合同的一致性，否则视为乙方违约。乙方在单独签署过程中，有权给予甲方下属子公司优于本合同的条件，不视为违反与本合同的一致性。</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13.4本合同生效后，如甲方发现并经查实乙方在参与本项目过程中（包括但不限于投标、开标、评标、复议、中标等）因存在违法、违规或采购文件列明的不良行为而被列入甲方限制交易供应商名单的，甲方有权保留一切追究乙方责任的权利，包括但不限于单方解除本合同，并要求乙方支付与本项目投标保证金（含保函）等额的赔偿金，以及承担由此引起的甲方的全部损失（包括但不限于诉讼费、仲裁费、担保费、保全费、律师费等）。甲方有权从本合同结算款及乙方提交的各项保证金（包括但不限于质保金、履约保证金等）中直接抵扣或向乙方提供的履约保函出具人主张支付前述赔偿金及损失，不足部分乙方应在收到甲方发出的解除合同通知后的三天内向甲方支付；乙方逾期支付或返还的，每逾期一日，应按逾期金额的万分之五向甲方支付惩罚性违约金。</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jc w:val="both"/>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13.5对本合同条款和附件的任何变更、修</w:t>
      </w:r>
      <w:r>
        <w:rPr>
          <w:rFonts w:hint="eastAsia" w:ascii="仿宋" w:hAnsi="仿宋" w:eastAsia="仿宋" w:cs="仿宋"/>
          <w:color w:val="auto"/>
          <w:sz w:val="21"/>
          <w:szCs w:val="21"/>
          <w:highlight w:val="none"/>
        </w:rPr>
        <w:t>改或增减，均须经双方协商同意后并签署书面补充或变更协议。补充或变更协议生效后，构成本协议组成部分，与本协议具有同等法律效力。</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13.6</w:t>
      </w:r>
      <w:r>
        <w:rPr>
          <w:rFonts w:hint="eastAsia" w:ascii="仿宋" w:hAnsi="仿宋" w:eastAsia="仿宋" w:cs="仿宋"/>
          <w:color w:val="auto"/>
          <w:sz w:val="21"/>
          <w:szCs w:val="21"/>
          <w:highlight w:val="none"/>
        </w:rPr>
        <w:t>本合同及附件一式</w:t>
      </w:r>
      <w:r>
        <w:rPr>
          <w:rFonts w:hint="eastAsia" w:ascii="仿宋" w:hAnsi="仿宋" w:eastAsia="仿宋" w:cs="仿宋"/>
          <w:color w:val="auto"/>
          <w:sz w:val="21"/>
          <w:szCs w:val="21"/>
          <w:highlight w:val="none"/>
          <w:lang w:eastAsia="zh-CN"/>
        </w:rPr>
        <w:t>陆</w:t>
      </w:r>
      <w:r>
        <w:rPr>
          <w:rFonts w:hint="eastAsia" w:ascii="仿宋" w:hAnsi="仿宋" w:eastAsia="仿宋" w:cs="仿宋"/>
          <w:color w:val="auto"/>
          <w:sz w:val="21"/>
          <w:szCs w:val="21"/>
          <w:highlight w:val="none"/>
        </w:rPr>
        <w:t>份，</w:t>
      </w:r>
      <w:r>
        <w:rPr>
          <w:rFonts w:hint="eastAsia" w:ascii="仿宋" w:hAnsi="仿宋" w:eastAsia="仿宋" w:cs="仿宋"/>
          <w:color w:val="auto"/>
          <w:sz w:val="21"/>
          <w:szCs w:val="21"/>
          <w:highlight w:val="none"/>
          <w:lang w:eastAsia="zh-CN"/>
        </w:rPr>
        <w:t>甲</w:t>
      </w:r>
      <w:r>
        <w:rPr>
          <w:rFonts w:hint="eastAsia" w:ascii="仿宋" w:hAnsi="仿宋" w:eastAsia="仿宋" w:cs="仿宋"/>
          <w:color w:val="auto"/>
          <w:sz w:val="21"/>
          <w:szCs w:val="21"/>
          <w:highlight w:val="none"/>
        </w:rPr>
        <w:t>方执</w:t>
      </w:r>
      <w:r>
        <w:rPr>
          <w:rFonts w:hint="eastAsia" w:ascii="仿宋" w:hAnsi="仿宋" w:eastAsia="仿宋" w:cs="仿宋"/>
          <w:color w:val="auto"/>
          <w:sz w:val="21"/>
          <w:szCs w:val="21"/>
          <w:highlight w:val="none"/>
          <w:lang w:eastAsia="zh-CN"/>
        </w:rPr>
        <w:t>叁</w:t>
      </w:r>
      <w:r>
        <w:rPr>
          <w:rFonts w:hint="eastAsia" w:ascii="仿宋" w:hAnsi="仿宋" w:eastAsia="仿宋" w:cs="仿宋"/>
          <w:color w:val="auto"/>
          <w:sz w:val="21"/>
          <w:szCs w:val="21"/>
          <w:highlight w:val="none"/>
        </w:rPr>
        <w:t>份</w:t>
      </w:r>
      <w:r>
        <w:rPr>
          <w:rFonts w:hint="eastAsia" w:ascii="仿宋" w:hAnsi="仿宋" w:eastAsia="仿宋" w:cs="仿宋"/>
          <w:color w:val="auto"/>
          <w:sz w:val="21"/>
          <w:szCs w:val="21"/>
          <w:highlight w:val="none"/>
          <w:lang w:eastAsia="zh-CN"/>
        </w:rPr>
        <w:t>，乙方</w:t>
      </w:r>
      <w:r>
        <w:rPr>
          <w:rFonts w:hint="eastAsia" w:ascii="仿宋" w:hAnsi="仿宋" w:eastAsia="仿宋" w:cs="仿宋"/>
          <w:color w:val="auto"/>
          <w:sz w:val="21"/>
          <w:szCs w:val="21"/>
          <w:highlight w:val="none"/>
        </w:rPr>
        <w:t>执</w:t>
      </w:r>
      <w:r>
        <w:rPr>
          <w:rFonts w:hint="eastAsia" w:ascii="仿宋" w:hAnsi="仿宋" w:eastAsia="仿宋" w:cs="仿宋"/>
          <w:color w:val="auto"/>
          <w:sz w:val="21"/>
          <w:szCs w:val="21"/>
          <w:highlight w:val="none"/>
          <w:lang w:eastAsia="zh-CN"/>
        </w:rPr>
        <w:t>叁</w:t>
      </w:r>
      <w:r>
        <w:rPr>
          <w:rFonts w:hint="eastAsia" w:ascii="仿宋" w:hAnsi="仿宋" w:eastAsia="仿宋" w:cs="仿宋"/>
          <w:color w:val="auto"/>
          <w:sz w:val="21"/>
          <w:szCs w:val="21"/>
          <w:highlight w:val="none"/>
        </w:rPr>
        <w:t>份，具有同等法律效力。</w:t>
      </w:r>
    </w:p>
    <w:p>
      <w:pPr>
        <w:spacing w:line="460" w:lineRule="exact"/>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b/>
          <w:bCs/>
          <w:color w:val="auto"/>
          <w:sz w:val="21"/>
          <w:szCs w:val="21"/>
          <w:highlight w:val="none"/>
          <w:lang w:val="zh-CN"/>
        </w:rPr>
        <w:t>附件：</w:t>
      </w:r>
    </w:p>
    <w:p>
      <w:pPr>
        <w:spacing w:beforeLines="0" w:afterLines="0" w:line="360" w:lineRule="auto"/>
        <w:ind w:firstLine="0" w:firstLineChars="0"/>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lang w:val="en-US" w:eastAsia="zh-CN"/>
        </w:rPr>
        <w:t xml:space="preserve">    </w:t>
      </w:r>
      <w:r>
        <w:rPr>
          <w:rFonts w:hint="eastAsia" w:ascii="方正仿宋_GBK" w:hAnsi="方正仿宋_GBK" w:eastAsia="方正仿宋_GBK" w:cs="方正仿宋_GBK"/>
          <w:color w:val="auto"/>
          <w:sz w:val="21"/>
          <w:szCs w:val="21"/>
          <w:highlight w:val="none"/>
        </w:rPr>
        <w:t>1.货物分项清单</w:t>
      </w:r>
    </w:p>
    <w:p>
      <w:pPr>
        <w:spacing w:beforeLines="0" w:afterLines="0" w:line="360" w:lineRule="auto"/>
        <w:ind w:firstLine="0" w:firstLineChars="0"/>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lang w:val="en-US" w:eastAsia="zh-CN"/>
        </w:rPr>
        <w:t xml:space="preserve">    </w:t>
      </w:r>
      <w:r>
        <w:rPr>
          <w:rFonts w:hint="eastAsia" w:ascii="方正仿宋_GBK" w:hAnsi="方正仿宋_GBK" w:eastAsia="方正仿宋_GBK" w:cs="方正仿宋_GBK"/>
          <w:color w:val="auto"/>
          <w:sz w:val="21"/>
          <w:szCs w:val="21"/>
          <w:highlight w:val="none"/>
        </w:rPr>
        <w:t>2.技术及服务要求（用户需求响应书）</w:t>
      </w:r>
    </w:p>
    <w:p>
      <w:pPr>
        <w:spacing w:beforeLines="0" w:afterLines="0" w:line="360" w:lineRule="auto"/>
        <w:ind w:firstLine="0" w:firstLineChars="0"/>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lang w:val="en-US" w:eastAsia="zh-CN"/>
        </w:rPr>
        <w:t xml:space="preserve">    </w:t>
      </w:r>
      <w:r>
        <w:rPr>
          <w:rFonts w:hint="eastAsia" w:ascii="方正仿宋_GBK" w:hAnsi="方正仿宋_GBK" w:eastAsia="方正仿宋_GBK" w:cs="方正仿宋_GBK"/>
          <w:color w:val="auto"/>
          <w:sz w:val="21"/>
          <w:szCs w:val="21"/>
          <w:highlight w:val="none"/>
        </w:rPr>
        <w:t>3.到货交接单</w:t>
      </w:r>
    </w:p>
    <w:p>
      <w:pPr>
        <w:spacing w:beforeLines="0" w:afterLines="0" w:line="360" w:lineRule="auto"/>
        <w:ind w:firstLine="420" w:firstLineChars="200"/>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4.验收单/技术检验单</w:t>
      </w:r>
    </w:p>
    <w:p>
      <w:pPr>
        <w:pStyle w:val="20"/>
        <w:spacing w:line="360" w:lineRule="auto"/>
        <w:ind w:firstLine="420" w:firstLineChars="200"/>
        <w:rPr>
          <w:rFonts w:hint="eastAsia" w:eastAsia="仿宋_GB2312"/>
          <w:color w:val="auto"/>
          <w:sz w:val="21"/>
          <w:szCs w:val="21"/>
          <w:highlight w:val="none"/>
          <w:lang w:val="en-US" w:eastAsia="zh-CN"/>
        </w:rPr>
      </w:pPr>
      <w:r>
        <w:rPr>
          <w:rFonts w:hint="eastAsia" w:ascii="方正仿宋_GBK" w:hAnsi="方正仿宋_GBK" w:eastAsia="方正仿宋_GBK" w:cs="方正仿宋_GBK"/>
          <w:color w:val="auto"/>
          <w:kern w:val="2"/>
          <w:sz w:val="21"/>
          <w:szCs w:val="21"/>
          <w:highlight w:val="none"/>
          <w:lang w:val="en-US" w:eastAsia="zh-CN" w:bidi="ar-SA"/>
        </w:rPr>
        <w:t>5. 廉洁合作约定书</w:t>
      </w:r>
    </w:p>
    <w:p>
      <w:pPr>
        <w:spacing w:line="360" w:lineRule="auto"/>
        <w:ind w:firstLine="420"/>
        <w:jc w:val="left"/>
        <w:rPr>
          <w:rFonts w:hint="eastAsia" w:ascii="仿宋" w:hAnsi="仿宋" w:eastAsia="仿宋" w:cs="仿宋"/>
          <w:b w:val="0"/>
          <w:bCs w:val="0"/>
          <w:color w:val="auto"/>
          <w:sz w:val="21"/>
          <w:szCs w:val="21"/>
          <w:highlight w:val="none"/>
        </w:rPr>
      </w:pPr>
      <w:r>
        <w:rPr>
          <w:rFonts w:hint="eastAsia" w:ascii="方正仿宋_GBK" w:hAnsi="方正仿宋_GBK" w:eastAsia="方正仿宋_GBK" w:cs="方正仿宋_GBK"/>
          <w:color w:val="auto"/>
          <w:sz w:val="21"/>
          <w:szCs w:val="21"/>
          <w:highlight w:val="none"/>
          <w:lang w:val="en-US" w:eastAsia="zh-CN"/>
        </w:rPr>
        <w:t>6.</w:t>
      </w:r>
      <w:r>
        <w:rPr>
          <w:rFonts w:hint="eastAsia" w:ascii="仿宋" w:hAnsi="仿宋" w:eastAsia="仿宋" w:cs="仿宋"/>
          <w:b w:val="0"/>
          <w:bCs w:val="0"/>
          <w:color w:val="auto"/>
          <w:sz w:val="21"/>
          <w:szCs w:val="21"/>
          <w:highlight w:val="none"/>
        </w:rPr>
        <w:t>民营企业和中小企业账款清欠工作线索受理联系方式</w:t>
      </w:r>
    </w:p>
    <w:p>
      <w:pPr>
        <w:pStyle w:val="20"/>
        <w:spacing w:line="360" w:lineRule="auto"/>
        <w:ind w:firstLine="420" w:firstLineChars="200"/>
        <w:rPr>
          <w:rFonts w:hint="eastAsia" w:ascii="仿宋" w:hAnsi="仿宋" w:eastAsia="仿宋" w:cs="仿宋"/>
          <w:color w:val="auto"/>
          <w:szCs w:val="21"/>
          <w:highlight w:val="none"/>
          <w:lang w:val="en-US" w:eastAsia="zh-CN"/>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Cs w:val="21"/>
          <w:highlight w:val="none"/>
          <w:lang w:val="en-US" w:eastAsia="zh-CN"/>
        </w:rPr>
        <w:t>保密协议</w:t>
      </w:r>
      <w:r>
        <w:rPr>
          <w:rFonts w:hint="eastAsia" w:ascii="仿宋" w:hAnsi="仿宋" w:eastAsia="仿宋" w:cs="仿宋"/>
          <w:b w:val="0"/>
          <w:bCs w:val="0"/>
          <w:color w:val="auto"/>
          <w:szCs w:val="21"/>
          <w:highlight w:val="none"/>
          <w:lang w:val="en-US" w:eastAsia="zh-CN"/>
        </w:rPr>
        <w:t>【根据集团保密办通知要求统一设置，如有疑问，请咨询集团保密办】</w:t>
      </w:r>
    </w:p>
    <w:p>
      <w:pPr>
        <w:pStyle w:val="2"/>
        <w:ind w:firstLine="420"/>
        <w:rPr>
          <w:rFonts w:hint="eastAsia"/>
        </w:rPr>
      </w:pPr>
    </w:p>
    <w:p>
      <w:pPr>
        <w:spacing w:beforeLines="0" w:afterLines="0" w:line="360" w:lineRule="auto"/>
        <w:ind w:firstLine="0" w:firstLineChars="0"/>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lang w:val="en-US" w:eastAsia="zh-CN"/>
        </w:rPr>
        <w:t xml:space="preserve">     </w:t>
      </w:r>
      <w:r>
        <w:rPr>
          <w:rFonts w:hint="eastAsia" w:ascii="方正仿宋_GBK" w:hAnsi="方正仿宋_GBK" w:eastAsia="方正仿宋_GBK" w:cs="方正仿宋_GBK"/>
          <w:color w:val="auto"/>
          <w:sz w:val="21"/>
          <w:szCs w:val="21"/>
          <w:highlight w:val="none"/>
        </w:rPr>
        <w:t>（以下无正文）</w:t>
      </w:r>
    </w:p>
    <w:p>
      <w:pPr>
        <w:pStyle w:val="20"/>
        <w:rPr>
          <w:rFonts w:hint="eastAsia" w:ascii="仿宋" w:hAnsi="仿宋" w:eastAsia="仿宋" w:cs="仿宋"/>
          <w:color w:val="auto"/>
          <w:sz w:val="21"/>
          <w:szCs w:val="21"/>
          <w:highlight w:val="none"/>
        </w:rPr>
      </w:pPr>
    </w:p>
    <w:p>
      <w:pPr>
        <w:spacing w:line="460" w:lineRule="exact"/>
        <w:ind w:firstLine="436" w:firstLineChars="200"/>
        <w:rPr>
          <w:rFonts w:hint="eastAsia" w:ascii="仿宋" w:hAnsi="仿宋" w:eastAsia="仿宋" w:cs="仿宋"/>
          <w:color w:val="auto"/>
          <w:spacing w:val="4"/>
          <w:sz w:val="21"/>
          <w:szCs w:val="21"/>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5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440" w:type="dxa"/>
            <w:tcBorders>
              <w:bottom w:val="single" w:color="auto" w:sz="4" w:space="0"/>
            </w:tcBorders>
            <w:noWrap w:val="0"/>
            <w:vAlign w:val="top"/>
          </w:tcPr>
          <w:p>
            <w:pPr>
              <w:spacing w:line="40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甲</w:t>
            </w:r>
            <w:r>
              <w:rPr>
                <w:rFonts w:hint="eastAsia" w:ascii="仿宋" w:hAnsi="仿宋" w:eastAsia="仿宋" w:cs="仿宋"/>
                <w:color w:val="auto"/>
                <w:sz w:val="21"/>
                <w:szCs w:val="21"/>
                <w:highlight w:val="none"/>
              </w:rPr>
              <w:t xml:space="preserve">   方</w:t>
            </w:r>
          </w:p>
        </w:tc>
        <w:tc>
          <w:tcPr>
            <w:tcW w:w="5024" w:type="dxa"/>
            <w:tcBorders>
              <w:bottom w:val="single" w:color="auto" w:sz="4" w:space="0"/>
            </w:tcBorders>
            <w:noWrap w:val="0"/>
            <w:vAlign w:val="top"/>
          </w:tcPr>
          <w:p>
            <w:pPr>
              <w:spacing w:line="40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乙</w:t>
            </w:r>
            <w:r>
              <w:rPr>
                <w:rFonts w:hint="eastAsia" w:ascii="仿宋" w:hAnsi="仿宋" w:eastAsia="仿宋" w:cs="仿宋"/>
                <w:color w:val="auto"/>
                <w:sz w:val="21"/>
                <w:szCs w:val="21"/>
                <w:highlight w:val="none"/>
              </w:rPr>
              <w:t xml:space="preserve">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8" w:hRule="exact"/>
          <w:jc w:val="center"/>
        </w:trPr>
        <w:tc>
          <w:tcPr>
            <w:tcW w:w="4440" w:type="dxa"/>
            <w:tcBorders>
              <w:bottom w:val="single" w:color="auto" w:sz="4" w:space="0"/>
            </w:tcBorders>
            <w:noWrap w:val="0"/>
            <w:vAlign w:val="top"/>
          </w:tcPr>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单位名称（章）：中国南方航空股份有限公司</w:t>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单位地址：广州市白云区齐心路68号</w:t>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开户银行：</w:t>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帐号：</w:t>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纳税人登记号：</w:t>
            </w:r>
          </w:p>
          <w:p>
            <w:pPr>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电话：</w:t>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法定代表人或其授权签约代表</w:t>
            </w:r>
            <w:r>
              <w:rPr>
                <w:rFonts w:hint="eastAsia" w:ascii="仿宋" w:hAnsi="仿宋" w:eastAsia="仿宋" w:cs="仿宋"/>
                <w:color w:val="auto"/>
                <w:spacing w:val="4"/>
                <w:sz w:val="21"/>
                <w:szCs w:val="21"/>
                <w:highlight w:val="none"/>
                <w:lang w:eastAsia="zh-CN"/>
              </w:rPr>
              <w:t>（签名）</w:t>
            </w:r>
            <w:r>
              <w:rPr>
                <w:rFonts w:hint="eastAsia" w:ascii="仿宋" w:hAnsi="仿宋" w:eastAsia="仿宋" w:cs="仿宋"/>
                <w:color w:val="auto"/>
                <w:spacing w:val="4"/>
                <w:sz w:val="21"/>
                <w:szCs w:val="21"/>
                <w:highlight w:val="none"/>
              </w:rPr>
              <w:t>：</w:t>
            </w:r>
          </w:p>
        </w:tc>
        <w:tc>
          <w:tcPr>
            <w:tcW w:w="5024" w:type="dxa"/>
            <w:tcBorders>
              <w:bottom w:val="single" w:color="auto" w:sz="4" w:space="0"/>
            </w:tcBorders>
            <w:noWrap w:val="0"/>
            <w:vAlign w:val="top"/>
          </w:tcPr>
          <w:p>
            <w:pPr>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单位名称（章）：</w:t>
            </w:r>
          </w:p>
          <w:p>
            <w:pPr>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单位地址：</w:t>
            </w:r>
          </w:p>
          <w:p>
            <w:pPr>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开户银行：</w:t>
            </w:r>
          </w:p>
          <w:p>
            <w:pPr>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帐号：</w:t>
            </w:r>
          </w:p>
          <w:p>
            <w:pPr>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纳税人登记号：</w:t>
            </w:r>
          </w:p>
          <w:p>
            <w:pPr>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电话：</w:t>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法定代表人或其授权签约代表</w:t>
            </w:r>
            <w:r>
              <w:rPr>
                <w:rFonts w:hint="eastAsia" w:ascii="仿宋" w:hAnsi="仿宋" w:eastAsia="仿宋" w:cs="仿宋"/>
                <w:color w:val="auto"/>
                <w:sz w:val="21"/>
                <w:szCs w:val="21"/>
                <w:highlight w:val="none"/>
                <w:lang w:eastAsia="zh-CN"/>
              </w:rPr>
              <w:t>（签名）</w:t>
            </w:r>
            <w:r>
              <w:rPr>
                <w:rFonts w:hint="eastAsia" w:ascii="仿宋" w:hAnsi="仿宋" w:eastAsia="仿宋" w:cs="仿宋"/>
                <w:color w:val="auto"/>
                <w:sz w:val="21"/>
                <w:szCs w:val="21"/>
                <w:highlight w:val="none"/>
              </w:rPr>
              <w:t>：</w:t>
            </w:r>
          </w:p>
        </w:tc>
      </w:tr>
    </w:tbl>
    <w:p>
      <w:pPr>
        <w:widowControl/>
        <w:spacing w:beforeAutospacing="1" w:afterAutospacing="1" w:line="460" w:lineRule="exact"/>
        <w:rPr>
          <w:rFonts w:hint="eastAsia" w:ascii="仿宋" w:hAnsi="仿宋" w:eastAsia="仿宋" w:cs="仿宋"/>
          <w:color w:val="auto"/>
          <w:spacing w:val="4"/>
          <w:sz w:val="21"/>
          <w:szCs w:val="21"/>
          <w:highlight w:val="none"/>
        </w:rPr>
        <w:sectPr>
          <w:footerReference r:id="rId3" w:type="default"/>
          <w:pgSz w:w="11906" w:h="16838"/>
          <w:pgMar w:top="1020" w:right="1134" w:bottom="907" w:left="1134" w:header="794" w:footer="794" w:gutter="0"/>
          <w:pgNumType w:fmt="decimal"/>
          <w:cols w:space="720" w:num="1"/>
          <w:rtlGutter w:val="0"/>
          <w:docGrid w:linePitch="1" w:charSpace="0"/>
        </w:sectPr>
      </w:pPr>
    </w:p>
    <w:p>
      <w:pPr>
        <w:pStyle w:val="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附件1：货物分项清单</w:t>
      </w:r>
    </w:p>
    <w:p>
      <w:pPr>
        <w:spacing w:line="460" w:lineRule="exact"/>
        <w:jc w:val="both"/>
        <w:rPr>
          <w:rFonts w:hint="eastAsia" w:ascii="宋体" w:hAnsi="宋体" w:eastAsia="宋体" w:cs="宋体"/>
          <w:b/>
          <w:bCs/>
          <w:color w:val="auto"/>
          <w:sz w:val="21"/>
          <w:szCs w:val="21"/>
          <w:highlight w:val="none"/>
        </w:rPr>
      </w:pPr>
    </w:p>
    <w:p>
      <w:pPr>
        <w:spacing w:line="460" w:lineRule="exact"/>
        <w:ind w:left="576" w:hanging="576"/>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p>
    <w:tbl>
      <w:tblPr>
        <w:tblStyle w:val="27"/>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3"/>
        <w:gridCol w:w="992"/>
        <w:gridCol w:w="1236"/>
        <w:gridCol w:w="2065"/>
        <w:gridCol w:w="827"/>
        <w:gridCol w:w="2133"/>
        <w:gridCol w:w="1492"/>
        <w:gridCol w:w="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83" w:type="dxa"/>
            <w:tcBorders>
              <w:top w:val="single" w:color="auto" w:sz="4" w:space="0"/>
              <w:left w:val="single" w:color="auto" w:sz="4" w:space="0"/>
              <w:bottom w:val="single" w:color="auto" w:sz="4" w:space="0"/>
              <w:right w:val="single" w:color="auto" w:sz="4" w:space="0"/>
            </w:tcBorders>
            <w:noWrap w:val="0"/>
            <w:vAlign w:val="center"/>
          </w:tcPr>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992" w:type="dxa"/>
            <w:tcBorders>
              <w:top w:val="single" w:color="auto" w:sz="4" w:space="0"/>
              <w:left w:val="nil"/>
              <w:bottom w:val="single" w:color="auto" w:sz="4" w:space="0"/>
              <w:right w:val="single" w:color="auto" w:sz="4" w:space="0"/>
            </w:tcBorders>
            <w:noWrap w:val="0"/>
            <w:vAlign w:val="center"/>
          </w:tcPr>
          <w:p>
            <w:pPr>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采购品</w:t>
            </w:r>
          </w:p>
        </w:tc>
        <w:tc>
          <w:tcPr>
            <w:tcW w:w="1236" w:type="dxa"/>
            <w:tcBorders>
              <w:top w:val="single" w:color="auto" w:sz="4" w:space="0"/>
              <w:left w:val="nil"/>
              <w:bottom w:val="single" w:color="auto" w:sz="4" w:space="0"/>
              <w:right w:val="single" w:color="auto" w:sz="4" w:space="0"/>
            </w:tcBorders>
            <w:noWrap w:val="0"/>
            <w:vAlign w:val="center"/>
          </w:tcPr>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品牌及型号</w:t>
            </w:r>
          </w:p>
        </w:tc>
        <w:tc>
          <w:tcPr>
            <w:tcW w:w="2065" w:type="dxa"/>
            <w:tcBorders>
              <w:top w:val="single" w:color="auto" w:sz="4" w:space="0"/>
              <w:left w:val="nil"/>
              <w:bottom w:val="single" w:color="auto" w:sz="4" w:space="0"/>
              <w:right w:val="single" w:color="auto" w:sz="4" w:space="0"/>
            </w:tcBorders>
            <w:noWrap w:val="0"/>
            <w:vAlign w:val="center"/>
          </w:tcPr>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不含税单价</w:t>
            </w:r>
          </w:p>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rPr>
              <w:t>（单位：元，人民币）</w:t>
            </w:r>
          </w:p>
        </w:tc>
        <w:tc>
          <w:tcPr>
            <w:tcW w:w="827" w:type="dxa"/>
            <w:tcBorders>
              <w:top w:val="single" w:color="auto" w:sz="4" w:space="0"/>
              <w:left w:val="nil"/>
              <w:bottom w:val="single" w:color="auto" w:sz="4" w:space="0"/>
              <w:right w:val="single" w:color="auto" w:sz="4" w:space="0"/>
            </w:tcBorders>
            <w:noWrap w:val="0"/>
            <w:vAlign w:val="center"/>
          </w:tcPr>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增值税税率</w:t>
            </w:r>
          </w:p>
        </w:tc>
        <w:tc>
          <w:tcPr>
            <w:tcW w:w="2133" w:type="dxa"/>
            <w:tcBorders>
              <w:top w:val="single" w:color="auto" w:sz="4" w:space="0"/>
              <w:left w:val="nil"/>
              <w:bottom w:val="single" w:color="auto" w:sz="4" w:space="0"/>
              <w:right w:val="single" w:color="auto" w:sz="4" w:space="0"/>
            </w:tcBorders>
            <w:noWrap w:val="0"/>
            <w:vAlign w:val="center"/>
          </w:tcPr>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含税单价</w:t>
            </w:r>
          </w:p>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rPr>
              <w:t>（单位：元，人民币）</w:t>
            </w:r>
          </w:p>
        </w:tc>
        <w:tc>
          <w:tcPr>
            <w:tcW w:w="1492" w:type="dxa"/>
            <w:tcBorders>
              <w:top w:val="single" w:color="auto" w:sz="4" w:space="0"/>
              <w:left w:val="nil"/>
              <w:bottom w:val="single" w:color="auto" w:sz="4" w:space="0"/>
              <w:right w:val="single" w:color="auto" w:sz="4" w:space="0"/>
            </w:tcBorders>
            <w:noWrap w:val="0"/>
            <w:vAlign w:val="center"/>
          </w:tcPr>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交货期</w:t>
            </w:r>
          </w:p>
        </w:tc>
        <w:tc>
          <w:tcPr>
            <w:tcW w:w="626" w:type="dxa"/>
            <w:tcBorders>
              <w:top w:val="single" w:color="auto" w:sz="4" w:space="0"/>
              <w:left w:val="nil"/>
              <w:bottom w:val="single" w:color="auto" w:sz="4" w:space="0"/>
              <w:right w:val="single" w:color="auto" w:sz="4" w:space="0"/>
            </w:tcBorders>
            <w:noWrap w:val="0"/>
            <w:vAlign w:val="center"/>
          </w:tcPr>
          <w:p>
            <w:pPr>
              <w:widowControl/>
              <w:spacing w:line="4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83" w:type="dxa"/>
            <w:tcBorders>
              <w:top w:val="single" w:color="auto" w:sz="4" w:space="0"/>
              <w:left w:val="single" w:color="auto" w:sz="4" w:space="0"/>
              <w:bottom w:val="single" w:color="auto" w:sz="4" w:space="0"/>
              <w:right w:val="single" w:color="auto" w:sz="4" w:space="0"/>
            </w:tcBorders>
            <w:noWrap w:val="0"/>
            <w:vAlign w:val="center"/>
          </w:tcPr>
          <w:p>
            <w:pPr>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92" w:type="dxa"/>
            <w:tcBorders>
              <w:top w:val="single" w:color="auto" w:sz="4" w:space="0"/>
              <w:left w:val="nil"/>
              <w:bottom w:val="single" w:color="auto" w:sz="4" w:space="0"/>
              <w:right w:val="single" w:color="auto" w:sz="4" w:space="0"/>
            </w:tcBorders>
            <w:noWrap w:val="0"/>
            <w:vAlign w:val="center"/>
          </w:tcPr>
          <w:p>
            <w:pPr>
              <w:widowControl/>
              <w:spacing w:line="460" w:lineRule="exact"/>
              <w:jc w:val="left"/>
              <w:textAlignment w:val="center"/>
              <w:rPr>
                <w:rFonts w:hint="eastAsia" w:ascii="宋体" w:hAnsi="宋体" w:eastAsia="宋体" w:cs="宋体"/>
                <w:color w:val="auto"/>
                <w:sz w:val="21"/>
                <w:szCs w:val="21"/>
                <w:highlight w:val="none"/>
              </w:rPr>
            </w:pPr>
          </w:p>
        </w:tc>
        <w:tc>
          <w:tcPr>
            <w:tcW w:w="1236" w:type="dxa"/>
            <w:tcBorders>
              <w:top w:val="single" w:color="auto" w:sz="4" w:space="0"/>
              <w:left w:val="nil"/>
              <w:bottom w:val="single" w:color="auto" w:sz="4" w:space="0"/>
              <w:right w:val="single" w:color="auto" w:sz="4" w:space="0"/>
            </w:tcBorders>
            <w:noWrap w:val="0"/>
            <w:vAlign w:val="center"/>
          </w:tcPr>
          <w:p>
            <w:pPr>
              <w:spacing w:line="460" w:lineRule="exact"/>
              <w:jc w:val="left"/>
              <w:rPr>
                <w:rFonts w:hint="eastAsia" w:ascii="宋体" w:hAnsi="宋体" w:eastAsia="宋体" w:cs="宋体"/>
                <w:color w:val="auto"/>
                <w:sz w:val="21"/>
                <w:szCs w:val="21"/>
                <w:highlight w:val="none"/>
              </w:rPr>
            </w:pPr>
          </w:p>
        </w:tc>
        <w:tc>
          <w:tcPr>
            <w:tcW w:w="2065" w:type="dxa"/>
            <w:tcBorders>
              <w:top w:val="single" w:color="auto" w:sz="4" w:space="0"/>
              <w:left w:val="nil"/>
              <w:bottom w:val="single" w:color="auto" w:sz="4" w:space="0"/>
              <w:right w:val="single" w:color="auto" w:sz="4" w:space="0"/>
            </w:tcBorders>
            <w:noWrap w:val="0"/>
            <w:vAlign w:val="center"/>
          </w:tcPr>
          <w:p>
            <w:pPr>
              <w:spacing w:line="460" w:lineRule="exact"/>
              <w:jc w:val="center"/>
              <w:rPr>
                <w:rFonts w:hint="eastAsia" w:ascii="宋体" w:hAnsi="宋体" w:eastAsia="宋体" w:cs="宋体"/>
                <w:color w:val="auto"/>
                <w:sz w:val="21"/>
                <w:szCs w:val="21"/>
                <w:highlight w:val="none"/>
              </w:rPr>
            </w:pPr>
          </w:p>
        </w:tc>
        <w:tc>
          <w:tcPr>
            <w:tcW w:w="827" w:type="dxa"/>
            <w:tcBorders>
              <w:top w:val="single" w:color="auto" w:sz="4" w:space="0"/>
              <w:left w:val="nil"/>
              <w:bottom w:val="single" w:color="auto" w:sz="4" w:space="0"/>
              <w:right w:val="single" w:color="auto" w:sz="4" w:space="0"/>
            </w:tcBorders>
            <w:noWrap w:val="0"/>
            <w:vAlign w:val="center"/>
          </w:tcPr>
          <w:p>
            <w:pPr>
              <w:spacing w:line="460" w:lineRule="exact"/>
              <w:jc w:val="center"/>
              <w:rPr>
                <w:rFonts w:hint="eastAsia" w:ascii="宋体" w:hAnsi="宋体" w:eastAsia="宋体" w:cs="宋体"/>
                <w:color w:val="auto"/>
                <w:sz w:val="21"/>
                <w:szCs w:val="21"/>
                <w:highlight w:val="none"/>
              </w:rPr>
            </w:pPr>
          </w:p>
        </w:tc>
        <w:tc>
          <w:tcPr>
            <w:tcW w:w="2133" w:type="dxa"/>
            <w:tcBorders>
              <w:top w:val="single" w:color="auto" w:sz="4" w:space="0"/>
              <w:left w:val="nil"/>
              <w:bottom w:val="single" w:color="auto" w:sz="4" w:space="0"/>
              <w:right w:val="single" w:color="auto" w:sz="4" w:space="0"/>
            </w:tcBorders>
            <w:noWrap w:val="0"/>
            <w:vAlign w:val="center"/>
          </w:tcPr>
          <w:p>
            <w:pPr>
              <w:spacing w:line="460" w:lineRule="exact"/>
              <w:jc w:val="center"/>
              <w:rPr>
                <w:rFonts w:hint="eastAsia" w:ascii="宋体" w:hAnsi="宋体" w:eastAsia="宋体" w:cs="宋体"/>
                <w:color w:val="auto"/>
                <w:sz w:val="21"/>
                <w:szCs w:val="21"/>
                <w:highlight w:val="none"/>
              </w:rPr>
            </w:pPr>
          </w:p>
        </w:tc>
        <w:tc>
          <w:tcPr>
            <w:tcW w:w="1492" w:type="dxa"/>
            <w:tcBorders>
              <w:top w:val="single" w:color="auto" w:sz="4" w:space="0"/>
              <w:left w:val="nil"/>
              <w:bottom w:val="single" w:color="auto" w:sz="4" w:space="0"/>
              <w:right w:val="single" w:color="auto" w:sz="4" w:space="0"/>
            </w:tcBorders>
            <w:noWrap w:val="0"/>
            <w:vAlign w:val="center"/>
          </w:tcPr>
          <w:p>
            <w:pPr>
              <w:spacing w:line="460" w:lineRule="exact"/>
              <w:jc w:val="left"/>
              <w:rPr>
                <w:rFonts w:hint="eastAsia" w:ascii="宋体" w:hAnsi="宋体" w:eastAsia="宋体" w:cs="宋体"/>
                <w:color w:val="auto"/>
                <w:sz w:val="21"/>
                <w:szCs w:val="21"/>
                <w:highlight w:val="none"/>
              </w:rPr>
            </w:pPr>
          </w:p>
        </w:tc>
        <w:tc>
          <w:tcPr>
            <w:tcW w:w="626" w:type="dxa"/>
            <w:tcBorders>
              <w:top w:val="single" w:color="auto" w:sz="4" w:space="0"/>
              <w:left w:val="nil"/>
              <w:bottom w:val="single" w:color="auto" w:sz="4" w:space="0"/>
              <w:right w:val="single" w:color="auto" w:sz="4" w:space="0"/>
            </w:tcBorders>
            <w:noWrap w:val="0"/>
            <w:vAlign w:val="center"/>
          </w:tcPr>
          <w:p>
            <w:pPr>
              <w:spacing w:line="460" w:lineRule="exact"/>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w:t>
            </w:r>
          </w:p>
        </w:tc>
      </w:tr>
    </w:tbl>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 </w:t>
      </w:r>
      <w:r>
        <w:rPr>
          <w:rFonts w:hint="eastAsia" w:ascii="宋体" w:hAnsi="宋体" w:eastAsia="宋体" w:cs="宋体"/>
          <w:color w:val="auto"/>
          <w:sz w:val="21"/>
          <w:szCs w:val="21"/>
          <w:highlight w:val="none"/>
        </w:rPr>
        <w:t>本合同所约定货物价格包含货款、包装费、运输到甲方指定收货地点运输费、搬运费、等全部费用（含税）。</w:t>
      </w:r>
    </w:p>
    <w:p>
      <w:pPr>
        <w:tabs>
          <w:tab w:val="left" w:pos="432"/>
          <w:tab w:val="left" w:pos="576"/>
        </w:tabs>
        <w:spacing w:line="460" w:lineRule="exact"/>
        <w:ind w:left="576" w:hanging="576"/>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9"/>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20"/>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20"/>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20"/>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20"/>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20"/>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20"/>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20"/>
        <w:rPr>
          <w:rFonts w:hint="eastAsia" w:ascii="宋体" w:hAnsi="宋体" w:eastAsia="宋体" w:cs="宋体"/>
          <w:b/>
          <w:color w:val="auto"/>
          <w:sz w:val="21"/>
          <w:szCs w:val="21"/>
          <w:highlight w:val="none"/>
          <w:lang w:bidi="ar"/>
        </w:rPr>
      </w:pPr>
    </w:p>
    <w:p>
      <w:pPr>
        <w:rPr>
          <w:rFonts w:hint="eastAsia" w:ascii="宋体" w:hAnsi="宋体" w:eastAsia="宋体" w:cs="宋体"/>
          <w:b/>
          <w:color w:val="auto"/>
          <w:sz w:val="21"/>
          <w:szCs w:val="21"/>
          <w:highlight w:val="none"/>
          <w:lang w:bidi="ar"/>
        </w:rPr>
      </w:pPr>
    </w:p>
    <w:p>
      <w:pPr>
        <w:pStyle w:val="20"/>
        <w:rPr>
          <w:rFonts w:hint="eastAsia" w:ascii="宋体" w:hAnsi="宋体" w:eastAsia="宋体" w:cs="宋体"/>
          <w:b/>
          <w:color w:val="auto"/>
          <w:sz w:val="21"/>
          <w:szCs w:val="21"/>
          <w:highlight w:val="none"/>
          <w:lang w:bidi="ar"/>
        </w:rPr>
      </w:pPr>
    </w:p>
    <w:p>
      <w:pPr>
        <w:rPr>
          <w:rFonts w:hint="eastAsia"/>
          <w:color w:val="auto"/>
          <w:highlight w:val="none"/>
        </w:rPr>
      </w:pPr>
    </w:p>
    <w:p>
      <w:pPr>
        <w:rPr>
          <w:rFonts w:hint="eastAsia" w:ascii="宋体" w:hAnsi="宋体" w:eastAsia="宋体" w:cs="宋体"/>
          <w:color w:val="auto"/>
          <w:sz w:val="21"/>
          <w:szCs w:val="21"/>
          <w:highlight w:val="none"/>
        </w:rPr>
      </w:pPr>
    </w:p>
    <w:p>
      <w:pPr>
        <w:pStyle w:val="9"/>
        <w:rPr>
          <w:rFonts w:hint="eastAsia" w:ascii="宋体" w:hAnsi="宋体" w:eastAsia="宋体" w:cs="宋体"/>
          <w:b/>
          <w:color w:val="auto"/>
          <w:sz w:val="21"/>
          <w:szCs w:val="21"/>
          <w:highlight w:val="none"/>
          <w:lang w:bidi="ar"/>
        </w:rPr>
      </w:pPr>
    </w:p>
    <w:p>
      <w:pPr>
        <w:pStyle w:val="9"/>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
        </w:rPr>
        <w:t>附件2：技术及服务要求</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（用户需求响应书）</w:t>
      </w:r>
    </w:p>
    <w:p>
      <w:pPr>
        <w:pStyle w:val="9"/>
        <w:ind w:left="0" w:leftChars="0" w:firstLine="0" w:firstLineChars="0"/>
        <w:rPr>
          <w:rFonts w:hint="eastAsia" w:ascii="宋体" w:hAnsi="宋体" w:eastAsia="宋体" w:cs="宋体"/>
          <w:color w:val="auto"/>
          <w:sz w:val="21"/>
          <w:szCs w:val="21"/>
          <w:highlight w:val="none"/>
        </w:rPr>
        <w:sectPr>
          <w:footerReference r:id="rId4" w:type="default"/>
          <w:pgSz w:w="11906" w:h="16838"/>
          <w:pgMar w:top="1134" w:right="1134" w:bottom="1134" w:left="1134" w:header="794" w:footer="794" w:gutter="0"/>
          <w:pgNumType w:fmt="decimal"/>
          <w:cols w:space="720" w:num="1"/>
          <w:rtlGutter w:val="0"/>
          <w:docGrid w:linePitch="312" w:charSpace="0"/>
        </w:sectPr>
      </w:pPr>
    </w:p>
    <w:tbl>
      <w:tblPr>
        <w:tblStyle w:val="28"/>
        <w:tblpPr w:leftFromText="180" w:rightFromText="180" w:vertAnchor="text" w:horzAnchor="page" w:tblpX="1084" w:tblpY="-62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7"/>
        <w:gridCol w:w="2521"/>
        <w:gridCol w:w="1666"/>
        <w:gridCol w:w="200"/>
        <w:gridCol w:w="2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4" w:type="dxa"/>
            <w:gridSpan w:val="5"/>
            <w:tcBorders>
              <w:top w:val="nil"/>
              <w:left w:val="nil"/>
              <w:bottom w:val="nil"/>
              <w:right w:val="nil"/>
            </w:tcBorders>
            <w:noWrap w:val="0"/>
            <w:vAlign w:val="top"/>
          </w:tcPr>
          <w:p>
            <w:pPr>
              <w:widowControl/>
              <w:spacing w:line="360" w:lineRule="auto"/>
              <w:jc w:val="both"/>
              <w:rPr>
                <w:rFonts w:hint="eastAsia" w:ascii="宋体" w:hAnsi="宋体" w:eastAsia="宋体" w:cs="宋体"/>
                <w:b/>
                <w:bCs/>
                <w:color w:val="auto"/>
                <w:sz w:val="21"/>
                <w:szCs w:val="21"/>
                <w:highlight w:val="none"/>
                <w:vertAlign w:val="baseline"/>
                <w:lang w:val="en-US" w:eastAsia="zh-CN"/>
              </w:rPr>
            </w:pPr>
          </w:p>
          <w:p>
            <w:pPr>
              <w:widowControl/>
              <w:spacing w:line="360" w:lineRule="auto"/>
              <w:jc w:val="both"/>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附件3：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4" w:type="dxa"/>
            <w:gridSpan w:val="5"/>
            <w:tcBorders>
              <w:top w:val="nil"/>
              <w:left w:val="nil"/>
              <w:right w:val="nil"/>
            </w:tcBorders>
            <w:noWrap w:val="0"/>
            <w:vAlign w:val="top"/>
          </w:tcPr>
          <w:p>
            <w:pPr>
              <w:widowControl/>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eastAsia="zh-CN"/>
              </w:rPr>
              <w:t>到货交接单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供货单位（合同乙方）</w:t>
            </w:r>
          </w:p>
        </w:tc>
        <w:tc>
          <w:tcPr>
            <w:tcW w:w="7067" w:type="dxa"/>
            <w:gridSpan w:val="4"/>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合同编号：</w:t>
            </w:r>
          </w:p>
        </w:tc>
        <w:tc>
          <w:tcPr>
            <w:tcW w:w="7067" w:type="dxa"/>
            <w:gridSpan w:val="4"/>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产品名称、型号规格：</w:t>
            </w:r>
          </w:p>
        </w:tc>
        <w:tc>
          <w:tcPr>
            <w:tcW w:w="4187" w:type="dxa"/>
            <w:gridSpan w:val="2"/>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c>
          <w:tcPr>
            <w:tcW w:w="2880" w:type="dxa"/>
            <w:gridSpan w:val="2"/>
            <w:vMerge w:val="restart"/>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供货单位盖章：</w:t>
            </w:r>
          </w:p>
          <w:p>
            <w:pPr>
              <w:widowControl/>
              <w:spacing w:line="360" w:lineRule="auto"/>
              <w:jc w:val="left"/>
              <w:rPr>
                <w:rFonts w:hint="eastAsia" w:ascii="宋体" w:hAnsi="宋体" w:eastAsia="宋体" w:cs="宋体"/>
                <w:b/>
                <w:bCs/>
                <w:color w:val="auto"/>
                <w:sz w:val="21"/>
                <w:szCs w:val="21"/>
                <w:highlight w:val="none"/>
                <w:vertAlign w:val="baseline"/>
                <w:lang w:val="en-US" w:eastAsia="zh-CN"/>
              </w:rPr>
            </w:pPr>
          </w:p>
          <w:p>
            <w:pPr>
              <w:widowControl/>
              <w:spacing w:line="360" w:lineRule="auto"/>
              <w:jc w:val="left"/>
              <w:rPr>
                <w:rFonts w:hint="eastAsia" w:ascii="宋体" w:hAnsi="宋体" w:eastAsia="宋体" w:cs="宋体"/>
                <w:b/>
                <w:bCs/>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数量：</w:t>
            </w:r>
          </w:p>
        </w:tc>
        <w:tc>
          <w:tcPr>
            <w:tcW w:w="4187" w:type="dxa"/>
            <w:gridSpan w:val="2"/>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p>
        </w:tc>
        <w:tc>
          <w:tcPr>
            <w:tcW w:w="2880" w:type="dxa"/>
            <w:gridSpan w:val="2"/>
            <w:vMerge w:val="continue"/>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到货日期：</w:t>
            </w:r>
          </w:p>
        </w:tc>
        <w:tc>
          <w:tcPr>
            <w:tcW w:w="4187" w:type="dxa"/>
            <w:gridSpan w:val="2"/>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       年    月     日</w:t>
            </w:r>
          </w:p>
        </w:tc>
        <w:tc>
          <w:tcPr>
            <w:tcW w:w="2880" w:type="dxa"/>
            <w:gridSpan w:val="2"/>
            <w:vMerge w:val="continue"/>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到货地址：</w:t>
            </w:r>
          </w:p>
        </w:tc>
        <w:tc>
          <w:tcPr>
            <w:tcW w:w="4187" w:type="dxa"/>
            <w:gridSpan w:val="2"/>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c>
          <w:tcPr>
            <w:tcW w:w="2880" w:type="dxa"/>
            <w:gridSpan w:val="2"/>
            <w:vMerge w:val="continue"/>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送货人签字：</w:t>
            </w:r>
          </w:p>
        </w:tc>
        <w:tc>
          <w:tcPr>
            <w:tcW w:w="2521"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c>
          <w:tcPr>
            <w:tcW w:w="1666"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联系电话：</w:t>
            </w:r>
          </w:p>
        </w:tc>
        <w:tc>
          <w:tcPr>
            <w:tcW w:w="2880" w:type="dxa"/>
            <w:gridSpan w:val="2"/>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4" w:type="dxa"/>
            <w:gridSpan w:val="5"/>
            <w:noWrap w:val="0"/>
            <w:vAlign w:val="top"/>
          </w:tcPr>
          <w:p>
            <w:pPr>
              <w:widowControl/>
              <w:tabs>
                <w:tab w:val="left" w:pos="996"/>
              </w:tabs>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交接问题处理结果（无问题可直接写“无”）</w:t>
            </w:r>
          </w:p>
          <w:p>
            <w:pPr>
              <w:widowControl/>
              <w:tabs>
                <w:tab w:val="left" w:pos="996"/>
              </w:tabs>
              <w:spacing w:line="360" w:lineRule="auto"/>
              <w:jc w:val="left"/>
              <w:rPr>
                <w:rFonts w:hint="eastAsia" w:ascii="宋体" w:hAnsi="宋体" w:eastAsia="宋体" w:cs="宋体"/>
                <w:b/>
                <w:bCs/>
                <w:color w:val="auto"/>
                <w:sz w:val="21"/>
                <w:szCs w:val="21"/>
                <w:highlight w:val="none"/>
                <w:vertAlign w:val="baseline"/>
                <w:lang w:val="en-US" w:eastAsia="zh-CN"/>
              </w:rPr>
            </w:pPr>
          </w:p>
          <w:p>
            <w:pPr>
              <w:widowControl/>
              <w:tabs>
                <w:tab w:val="left" w:pos="996"/>
              </w:tabs>
              <w:spacing w:line="360" w:lineRule="auto"/>
              <w:jc w:val="left"/>
              <w:rPr>
                <w:rFonts w:hint="eastAsia" w:ascii="宋体" w:hAnsi="宋体" w:eastAsia="宋体" w:cs="宋体"/>
                <w:b/>
                <w:bCs/>
                <w:color w:val="auto"/>
                <w:sz w:val="21"/>
                <w:szCs w:val="21"/>
                <w:highlight w:val="none"/>
                <w:vertAlign w:val="baseline"/>
                <w:lang w:val="en-US" w:eastAsia="zh-CN"/>
              </w:rPr>
            </w:pPr>
          </w:p>
          <w:p>
            <w:pPr>
              <w:widowControl/>
              <w:tabs>
                <w:tab w:val="left" w:pos="996"/>
              </w:tabs>
              <w:spacing w:line="360" w:lineRule="auto"/>
              <w:jc w:val="left"/>
              <w:rPr>
                <w:rFonts w:hint="eastAsia" w:ascii="宋体" w:hAnsi="宋体" w:eastAsia="宋体" w:cs="宋体"/>
                <w:b/>
                <w:bCs/>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接受单位：</w:t>
            </w:r>
          </w:p>
        </w:tc>
        <w:tc>
          <w:tcPr>
            <w:tcW w:w="4387" w:type="dxa"/>
            <w:gridSpan w:val="3"/>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c>
          <w:tcPr>
            <w:tcW w:w="2680" w:type="dxa"/>
            <w:vMerge w:val="restart"/>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接受单位盖章：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接受人（签收人）：</w:t>
            </w:r>
          </w:p>
        </w:tc>
        <w:tc>
          <w:tcPr>
            <w:tcW w:w="4387" w:type="dxa"/>
            <w:gridSpan w:val="3"/>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c>
          <w:tcPr>
            <w:tcW w:w="2680" w:type="dxa"/>
            <w:vMerge w:val="continue"/>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7" w:type="dxa"/>
            <w:noWrap w:val="0"/>
            <w:vAlign w:val="top"/>
          </w:tcPr>
          <w:p>
            <w:pPr>
              <w:widowControl/>
              <w:spacing w:line="360" w:lineRule="auto"/>
              <w:jc w:val="left"/>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联系电话：</w:t>
            </w:r>
          </w:p>
        </w:tc>
        <w:tc>
          <w:tcPr>
            <w:tcW w:w="4387" w:type="dxa"/>
            <w:gridSpan w:val="3"/>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c>
          <w:tcPr>
            <w:tcW w:w="2680" w:type="dxa"/>
            <w:vMerge w:val="continue"/>
            <w:noWrap w:val="0"/>
            <w:vAlign w:val="top"/>
          </w:tcPr>
          <w:p>
            <w:pPr>
              <w:widowControl/>
              <w:spacing w:line="360" w:lineRule="auto"/>
              <w:jc w:val="left"/>
              <w:rPr>
                <w:rFonts w:hint="eastAsia" w:ascii="宋体" w:hAnsi="宋体" w:eastAsia="宋体" w:cs="宋体"/>
                <w:b/>
                <w:bCs/>
                <w:color w:val="auto"/>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4" w:type="dxa"/>
            <w:gridSpan w:val="5"/>
            <w:noWrap w:val="0"/>
            <w:vAlign w:val="top"/>
          </w:tcPr>
          <w:p>
            <w:pPr>
              <w:widowControl/>
              <w:spacing w:line="360" w:lineRule="auto"/>
              <w:jc w:val="left"/>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sz w:val="21"/>
                <w:szCs w:val="21"/>
                <w:highlight w:val="none"/>
                <w:lang w:val="en-US" w:eastAsia="zh-CN"/>
              </w:rPr>
              <w:t>注：1.该</w:t>
            </w:r>
            <w:r>
              <w:rPr>
                <w:rFonts w:hint="eastAsia" w:ascii="宋体" w:hAnsi="宋体" w:eastAsia="宋体" w:cs="宋体"/>
                <w:b/>
                <w:bCs/>
                <w:color w:val="auto"/>
                <w:kern w:val="2"/>
                <w:sz w:val="21"/>
                <w:szCs w:val="21"/>
                <w:highlight w:val="none"/>
              </w:rPr>
              <w:t>《</w:t>
            </w:r>
            <w:r>
              <w:rPr>
                <w:rFonts w:hint="eastAsia" w:ascii="宋体" w:hAnsi="宋体" w:eastAsia="宋体" w:cs="宋体"/>
                <w:b/>
                <w:bCs/>
                <w:color w:val="auto"/>
                <w:kern w:val="2"/>
                <w:sz w:val="21"/>
                <w:szCs w:val="21"/>
                <w:highlight w:val="none"/>
                <w:lang w:eastAsia="zh-CN"/>
              </w:rPr>
              <w:t>到货交接单</w:t>
            </w:r>
            <w:r>
              <w:rPr>
                <w:rFonts w:hint="eastAsia" w:ascii="宋体" w:hAnsi="宋体" w:eastAsia="宋体" w:cs="宋体"/>
                <w:b/>
                <w:bCs/>
                <w:color w:val="auto"/>
                <w:kern w:val="2"/>
                <w:sz w:val="21"/>
                <w:szCs w:val="21"/>
                <w:highlight w:val="none"/>
              </w:rPr>
              <w:t>》</w:t>
            </w:r>
            <w:r>
              <w:rPr>
                <w:rFonts w:hint="eastAsia" w:ascii="宋体" w:hAnsi="宋体" w:eastAsia="宋体" w:cs="宋体"/>
                <w:b/>
                <w:bCs/>
                <w:color w:val="auto"/>
                <w:kern w:val="2"/>
                <w:sz w:val="21"/>
                <w:szCs w:val="21"/>
                <w:highlight w:val="none"/>
                <w:lang w:val="en-US" w:eastAsia="zh-CN"/>
              </w:rPr>
              <w:t>由用户和供货方各执一份；</w:t>
            </w:r>
          </w:p>
          <w:p>
            <w:pPr>
              <w:widowControl/>
              <w:spacing w:line="360" w:lineRule="auto"/>
              <w:jc w:val="left"/>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 xml:space="preserve">    2.该</w:t>
            </w:r>
            <w:r>
              <w:rPr>
                <w:rFonts w:hint="eastAsia" w:ascii="宋体" w:hAnsi="宋体" w:eastAsia="宋体" w:cs="宋体"/>
                <w:b/>
                <w:bCs/>
                <w:color w:val="auto"/>
                <w:sz w:val="21"/>
                <w:szCs w:val="21"/>
                <w:highlight w:val="none"/>
              </w:rPr>
              <w:t>《到货交接单》，不是对货物的验收，不能成为解除乙方对产品潜在缺陷应负责任的依据</w:t>
            </w:r>
            <w:r>
              <w:rPr>
                <w:rFonts w:hint="eastAsia" w:ascii="宋体" w:hAnsi="宋体" w:eastAsia="宋体" w:cs="宋体"/>
                <w:b/>
                <w:bCs/>
                <w:color w:val="auto"/>
                <w:sz w:val="21"/>
                <w:szCs w:val="21"/>
                <w:highlight w:val="none"/>
                <w:lang w:eastAsia="zh-CN"/>
              </w:rPr>
              <w:t>。</w:t>
            </w:r>
          </w:p>
        </w:tc>
      </w:tr>
    </w:tbl>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rPr>
      </w:pP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val="en-US" w:eastAsia="zh-CN"/>
        </w:rPr>
        <w:t>4</w:t>
      </w:r>
    </w:p>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中国南方航空集团有限公司采购项目验收单</w:t>
      </w:r>
    </w:p>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kern w:val="0"/>
          <w:sz w:val="21"/>
          <w:szCs w:val="21"/>
          <w:highlight w:val="none"/>
        </w:rPr>
        <w:t>技术检验单</w:t>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                           项目编号：</w:t>
      </w:r>
    </w:p>
    <w:tbl>
      <w:tblPr>
        <w:tblStyle w:val="27"/>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893"/>
        <w:gridCol w:w="772"/>
        <w:gridCol w:w="617"/>
        <w:gridCol w:w="999"/>
        <w:gridCol w:w="591"/>
        <w:gridCol w:w="417"/>
        <w:gridCol w:w="151"/>
        <w:gridCol w:w="915"/>
        <w:gridCol w:w="998"/>
        <w:gridCol w:w="1264"/>
        <w:gridCol w:w="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trPr>
        <w:tc>
          <w:tcPr>
            <w:tcW w:w="157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设备名称</w:t>
            </w:r>
          </w:p>
        </w:tc>
        <w:tc>
          <w:tcPr>
            <w:tcW w:w="2388"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left"/>
              <w:rPr>
                <w:rFonts w:hint="eastAsia" w:ascii="宋体" w:hAnsi="宋体" w:eastAsia="宋体" w:cs="宋体"/>
                <w:color w:val="auto"/>
                <w:sz w:val="21"/>
                <w:szCs w:val="21"/>
                <w:highlight w:val="none"/>
              </w:rPr>
            </w:pPr>
          </w:p>
        </w:tc>
        <w:tc>
          <w:tcPr>
            <w:tcW w:w="1008"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合同编号</w:t>
            </w:r>
          </w:p>
        </w:tc>
        <w:tc>
          <w:tcPr>
            <w:tcW w:w="3328" w:type="dxa"/>
            <w:gridSpan w:val="4"/>
            <w:tcBorders>
              <w:top w:val="single" w:color="auto" w:sz="4" w:space="0"/>
              <w:left w:val="nil"/>
              <w:bottom w:val="single" w:color="auto" w:sz="4" w:space="0"/>
              <w:right w:val="single" w:color="auto" w:sz="4" w:space="0"/>
            </w:tcBorders>
            <w:noWrap w:val="0"/>
            <w:vAlign w:val="top"/>
          </w:tcPr>
          <w:p>
            <w:pPr>
              <w:spacing w:line="480" w:lineRule="auto"/>
              <w:jc w:val="left"/>
              <w:rPr>
                <w:rFonts w:hint="eastAsia" w:ascii="宋体" w:hAnsi="宋体" w:eastAsia="宋体" w:cs="宋体"/>
                <w:color w:val="auto"/>
                <w:sz w:val="21"/>
                <w:szCs w:val="21"/>
                <w:highlight w:val="none"/>
              </w:rPr>
            </w:pPr>
          </w:p>
        </w:tc>
        <w:tc>
          <w:tcPr>
            <w:tcW w:w="380" w:type="dxa"/>
            <w:vMerge w:val="restart"/>
            <w:tcBorders>
              <w:top w:val="nil"/>
              <w:left w:val="single" w:color="auto" w:sz="4" w:space="0"/>
              <w:bottom w:val="nil"/>
              <w:right w:val="nil"/>
            </w:tcBorders>
            <w:noWrap w:val="0"/>
            <w:textDirection w:val="tbRlV"/>
            <w:vAlign w:val="top"/>
          </w:tcPr>
          <w:p>
            <w:pPr>
              <w:spacing w:line="240" w:lineRule="atLeast"/>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用户联</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备案联</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财务联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157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品牌</w:t>
            </w:r>
          </w:p>
        </w:tc>
        <w:tc>
          <w:tcPr>
            <w:tcW w:w="2388"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left"/>
              <w:rPr>
                <w:rFonts w:hint="eastAsia" w:ascii="宋体" w:hAnsi="宋体" w:eastAsia="宋体" w:cs="宋体"/>
                <w:color w:val="auto"/>
                <w:sz w:val="21"/>
                <w:szCs w:val="21"/>
                <w:highlight w:val="none"/>
              </w:rPr>
            </w:pPr>
          </w:p>
        </w:tc>
        <w:tc>
          <w:tcPr>
            <w:tcW w:w="1008"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规格型号</w:t>
            </w:r>
          </w:p>
        </w:tc>
        <w:tc>
          <w:tcPr>
            <w:tcW w:w="3328" w:type="dxa"/>
            <w:gridSpan w:val="4"/>
            <w:tcBorders>
              <w:top w:val="single" w:color="auto" w:sz="4" w:space="0"/>
              <w:left w:val="nil"/>
              <w:bottom w:val="single" w:color="auto" w:sz="4" w:space="0"/>
              <w:right w:val="single" w:color="auto" w:sz="4" w:space="0"/>
            </w:tcBorders>
            <w:noWrap w:val="0"/>
            <w:vAlign w:val="top"/>
          </w:tcPr>
          <w:p>
            <w:pPr>
              <w:spacing w:line="480" w:lineRule="auto"/>
              <w:jc w:val="left"/>
              <w:rPr>
                <w:rFonts w:hint="eastAsia" w:ascii="宋体" w:hAnsi="宋体" w:eastAsia="宋体" w:cs="宋体"/>
                <w:color w:val="auto"/>
                <w:sz w:val="21"/>
                <w:szCs w:val="21"/>
                <w:highlight w:val="none"/>
              </w:rPr>
            </w:pPr>
          </w:p>
        </w:tc>
        <w:tc>
          <w:tcPr>
            <w:tcW w:w="380" w:type="dxa"/>
            <w:vMerge w:val="continue"/>
            <w:tcBorders>
              <w:left w:val="single" w:color="auto" w:sz="4" w:space="0"/>
              <w:right w:val="nil"/>
            </w:tcBorders>
            <w:noWrap w:val="0"/>
            <w:textDirection w:val="tbRlV"/>
            <w:vAlign w:val="top"/>
          </w:tcPr>
          <w:p>
            <w:pPr>
              <w:spacing w:line="240" w:lineRule="atLeast"/>
              <w:ind w:left="113" w:right="113"/>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57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生产厂家</w:t>
            </w:r>
          </w:p>
        </w:tc>
        <w:tc>
          <w:tcPr>
            <w:tcW w:w="6724" w:type="dxa"/>
            <w:gridSpan w:val="9"/>
            <w:tcBorders>
              <w:top w:val="single" w:color="auto" w:sz="4" w:space="0"/>
              <w:left w:val="nil"/>
              <w:bottom w:val="single" w:color="auto" w:sz="4" w:space="0"/>
              <w:right w:val="single" w:color="auto" w:sz="4" w:space="0"/>
            </w:tcBorders>
            <w:noWrap w:val="0"/>
            <w:vAlign w:val="center"/>
          </w:tcPr>
          <w:p>
            <w:pPr>
              <w:spacing w:line="480" w:lineRule="auto"/>
              <w:jc w:val="left"/>
              <w:rPr>
                <w:rFonts w:hint="eastAsia" w:ascii="宋体" w:hAnsi="宋体" w:eastAsia="宋体" w:cs="宋体"/>
                <w:color w:val="auto"/>
                <w:sz w:val="21"/>
                <w:szCs w:val="21"/>
                <w:highlight w:val="none"/>
              </w:rPr>
            </w:pPr>
          </w:p>
        </w:tc>
        <w:tc>
          <w:tcPr>
            <w:tcW w:w="380" w:type="dxa"/>
            <w:vMerge w:val="continue"/>
            <w:tcBorders>
              <w:left w:val="single" w:color="auto" w:sz="4" w:space="0"/>
              <w:right w:val="nil"/>
            </w:tcBorders>
            <w:noWrap w:val="0"/>
            <w:textDirection w:val="tbRlV"/>
            <w:vAlign w:val="top"/>
          </w:tcPr>
          <w:p>
            <w:pPr>
              <w:spacing w:line="240" w:lineRule="atLeast"/>
              <w:ind w:left="113" w:right="113"/>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81" w:type="dxa"/>
            <w:vMerge w:val="restart"/>
            <w:tcBorders>
              <w:top w:val="single" w:color="auto" w:sz="4" w:space="0"/>
              <w:left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282" w:type="dxa"/>
            <w:gridSpan w:val="3"/>
            <w:vMerge w:val="restart"/>
            <w:tcBorders>
              <w:top w:val="single" w:color="auto" w:sz="4" w:space="0"/>
              <w:left w:val="nil"/>
              <w:right w:val="single" w:color="auto" w:sz="4" w:space="0"/>
            </w:tcBorders>
            <w:noWrap w:val="0"/>
            <w:vAlign w:val="center"/>
          </w:tcPr>
          <w:p>
            <w:pPr>
              <w:pageBreakBefore w:val="0"/>
              <w:kinsoku/>
              <w:wordWrap/>
              <w:overflowPunct/>
              <w:topLinePunct w:val="0"/>
              <w:autoSpaceDE/>
              <w:autoSpaceDN/>
              <w:bidi w:val="0"/>
              <w:spacing w:line="48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w:t>
            </w:r>
            <w:r>
              <w:rPr>
                <w:rFonts w:hint="eastAsia" w:ascii="宋体" w:hAnsi="宋体" w:eastAsia="宋体" w:cs="宋体"/>
                <w:color w:val="auto"/>
                <w:sz w:val="21"/>
                <w:szCs w:val="21"/>
                <w:highlight w:val="none"/>
                <w:lang w:val="en-US" w:eastAsia="zh-CN"/>
              </w:rPr>
              <w:t>内容（名称）</w:t>
            </w:r>
          </w:p>
        </w:tc>
        <w:tc>
          <w:tcPr>
            <w:tcW w:w="2158" w:type="dxa"/>
            <w:gridSpan w:val="4"/>
            <w:vMerge w:val="restart"/>
            <w:tcBorders>
              <w:top w:val="single" w:color="auto" w:sz="4" w:space="0"/>
              <w:left w:val="nil"/>
              <w:right w:val="single" w:color="auto" w:sz="4" w:space="0"/>
            </w:tcBorders>
            <w:noWrap w:val="0"/>
            <w:vAlign w:val="center"/>
          </w:tcPr>
          <w:p>
            <w:pPr>
              <w:pageBreakBefore w:val="0"/>
              <w:kinsoku/>
              <w:wordWrap/>
              <w:overflowPunct/>
              <w:topLinePunct w:val="0"/>
              <w:autoSpaceDE/>
              <w:autoSpaceDN/>
              <w:bidi w:val="0"/>
              <w:spacing w:line="48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验收标准（型号）</w:t>
            </w:r>
          </w:p>
        </w:tc>
        <w:tc>
          <w:tcPr>
            <w:tcW w:w="1913"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验收结果</w:t>
            </w:r>
          </w:p>
        </w:tc>
        <w:tc>
          <w:tcPr>
            <w:tcW w:w="1264" w:type="dxa"/>
            <w:vMerge w:val="restart"/>
            <w:tcBorders>
              <w:top w:val="single" w:color="auto" w:sz="4" w:space="0"/>
              <w:left w:val="nil"/>
              <w:right w:val="single" w:color="auto" w:sz="4" w:space="0"/>
            </w:tcBorders>
            <w:noWrap w:val="0"/>
            <w:vAlign w:val="center"/>
          </w:tcPr>
          <w:p>
            <w:pPr>
              <w:spacing w:line="48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p>
        </w:tc>
        <w:tc>
          <w:tcPr>
            <w:tcW w:w="380" w:type="dxa"/>
            <w:vMerge w:val="continue"/>
            <w:tcBorders>
              <w:left w:val="single" w:color="auto" w:sz="4" w:space="0"/>
              <w:right w:val="nil"/>
            </w:tcBorders>
            <w:noWrap w:val="0"/>
            <w:textDirection w:val="tbRlV"/>
            <w:vAlign w:val="top"/>
          </w:tcPr>
          <w:p>
            <w:pPr>
              <w:spacing w:line="240" w:lineRule="atLeast"/>
              <w:ind w:left="113" w:right="113"/>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81" w:type="dxa"/>
            <w:vMerge w:val="continue"/>
            <w:tcBorders>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2282" w:type="dxa"/>
            <w:gridSpan w:val="3"/>
            <w:vMerge w:val="continue"/>
            <w:tcBorders>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2158" w:type="dxa"/>
            <w:gridSpan w:val="4"/>
            <w:vMerge w:val="continue"/>
            <w:tcBorders>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15"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tc>
        <w:tc>
          <w:tcPr>
            <w:tcW w:w="99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8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c>
          <w:tcPr>
            <w:tcW w:w="1264" w:type="dxa"/>
            <w:vMerge w:val="continue"/>
            <w:tcBorders>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380" w:type="dxa"/>
            <w:vMerge w:val="continue"/>
            <w:tcBorders>
              <w:top w:val="nil"/>
              <w:left w:val="single" w:color="auto" w:sz="4" w:space="0"/>
              <w:bottom w:val="nil"/>
              <w:right w:val="nil"/>
            </w:tcBorders>
            <w:noWrap w:val="0"/>
            <w:vAlign w:val="top"/>
          </w:tcPr>
          <w:p>
            <w:pPr>
              <w:spacing w:line="48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81" w:type="dxa"/>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282" w:type="dxa"/>
            <w:gridSpan w:val="3"/>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2158" w:type="dxa"/>
            <w:gridSpan w:val="4"/>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15" w:type="dxa"/>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1264" w:type="dxa"/>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380" w:type="dxa"/>
            <w:vMerge w:val="continue"/>
            <w:tcBorders>
              <w:top w:val="nil"/>
              <w:left w:val="single" w:color="auto" w:sz="4" w:space="0"/>
              <w:bottom w:val="nil"/>
              <w:right w:val="nil"/>
            </w:tcBorders>
            <w:noWrap w:val="0"/>
            <w:vAlign w:val="top"/>
          </w:tcPr>
          <w:p>
            <w:pPr>
              <w:spacing w:line="48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81" w:type="dxa"/>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282" w:type="dxa"/>
            <w:gridSpan w:val="3"/>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2158" w:type="dxa"/>
            <w:gridSpan w:val="4"/>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15" w:type="dxa"/>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1264" w:type="dxa"/>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380" w:type="dxa"/>
            <w:vMerge w:val="continue"/>
            <w:tcBorders>
              <w:top w:val="nil"/>
              <w:left w:val="single" w:color="auto" w:sz="4" w:space="0"/>
              <w:bottom w:val="nil"/>
              <w:right w:val="nil"/>
            </w:tcBorders>
            <w:noWrap w:val="0"/>
            <w:vAlign w:val="top"/>
          </w:tcPr>
          <w:p>
            <w:pPr>
              <w:spacing w:line="48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81" w:type="dxa"/>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282" w:type="dxa"/>
            <w:gridSpan w:val="3"/>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2158" w:type="dxa"/>
            <w:gridSpan w:val="4"/>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15" w:type="dxa"/>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1264" w:type="dxa"/>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380" w:type="dxa"/>
            <w:vMerge w:val="continue"/>
            <w:tcBorders>
              <w:top w:val="nil"/>
              <w:left w:val="single" w:color="auto" w:sz="4" w:space="0"/>
              <w:bottom w:val="nil"/>
              <w:right w:val="nil"/>
            </w:tcBorders>
            <w:noWrap w:val="0"/>
            <w:vAlign w:val="top"/>
          </w:tcPr>
          <w:p>
            <w:pPr>
              <w:spacing w:line="48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81" w:type="dxa"/>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282" w:type="dxa"/>
            <w:gridSpan w:val="3"/>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2158" w:type="dxa"/>
            <w:gridSpan w:val="4"/>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15" w:type="dxa"/>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1264" w:type="dxa"/>
            <w:tcBorders>
              <w:top w:val="single" w:color="auto" w:sz="4" w:space="0"/>
              <w:left w:val="nil"/>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p>
        </w:tc>
        <w:tc>
          <w:tcPr>
            <w:tcW w:w="380" w:type="dxa"/>
            <w:vMerge w:val="continue"/>
            <w:tcBorders>
              <w:top w:val="nil"/>
              <w:left w:val="single" w:color="auto" w:sz="4" w:space="0"/>
              <w:bottom w:val="nil"/>
              <w:right w:val="nil"/>
            </w:tcBorders>
            <w:noWrap w:val="0"/>
            <w:vAlign w:val="top"/>
          </w:tcPr>
          <w:p>
            <w:pPr>
              <w:spacing w:line="48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298" w:type="dxa"/>
            <w:gridSpan w:val="11"/>
            <w:tcBorders>
              <w:top w:val="single" w:color="auto" w:sz="4" w:space="0"/>
              <w:left w:val="single" w:color="auto" w:sz="4" w:space="0"/>
              <w:bottom w:val="single" w:color="auto" w:sz="4" w:space="0"/>
              <w:right w:val="single" w:color="auto" w:sz="4" w:space="0"/>
            </w:tcBorders>
            <w:noWrap w:val="0"/>
            <w:vAlign w:val="top"/>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注：如货物（服务）数量不够填写，请附表格。</w:t>
            </w:r>
          </w:p>
        </w:tc>
        <w:tc>
          <w:tcPr>
            <w:tcW w:w="380" w:type="dxa"/>
            <w:vMerge w:val="continue"/>
            <w:tcBorders>
              <w:top w:val="nil"/>
              <w:left w:val="single" w:color="auto" w:sz="4" w:space="0"/>
              <w:right w:val="nil"/>
            </w:tcBorders>
            <w:noWrap w:val="0"/>
            <w:vAlign w:val="top"/>
          </w:tcPr>
          <w:p>
            <w:pPr>
              <w:spacing w:line="480" w:lineRule="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346" w:type="dxa"/>
            <w:gridSpan w:val="3"/>
            <w:tcBorders>
              <w:top w:val="single" w:color="auto" w:sz="4" w:space="0"/>
              <w:left w:val="single" w:color="auto" w:sz="4" w:space="0"/>
              <w:bottom w:val="single" w:color="auto" w:sz="4" w:space="0"/>
              <w:right w:val="single" w:color="auto" w:sz="4" w:space="0"/>
            </w:tcBorders>
            <w:noWrap w:val="0"/>
            <w:vAlign w:val="top"/>
          </w:tcPr>
          <w:p>
            <w:pPr>
              <w:spacing w:line="48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项目验收总结论</w:t>
            </w:r>
          </w:p>
        </w:tc>
        <w:tc>
          <w:tcPr>
            <w:tcW w:w="5952" w:type="dxa"/>
            <w:gridSpan w:val="8"/>
            <w:tcBorders>
              <w:top w:val="single" w:color="auto" w:sz="4" w:space="0"/>
              <w:left w:val="nil"/>
              <w:bottom w:val="single" w:color="auto" w:sz="4" w:space="0"/>
              <w:right w:val="single" w:color="auto" w:sz="4" w:space="0"/>
            </w:tcBorders>
            <w:noWrap w:val="0"/>
            <w:vAlign w:val="top"/>
          </w:tcPr>
          <w:p>
            <w:pPr>
              <w:spacing w:line="480" w:lineRule="auto"/>
              <w:rPr>
                <w:rFonts w:hint="eastAsia" w:ascii="宋体" w:hAnsi="宋体" w:eastAsia="宋体" w:cs="宋体"/>
                <w:color w:val="auto"/>
                <w:sz w:val="21"/>
                <w:szCs w:val="21"/>
                <w:highlight w:val="none"/>
              </w:rPr>
            </w:pPr>
          </w:p>
        </w:tc>
        <w:tc>
          <w:tcPr>
            <w:tcW w:w="380" w:type="dxa"/>
            <w:vMerge w:val="continue"/>
            <w:tcBorders>
              <w:left w:val="single" w:color="auto" w:sz="4" w:space="0"/>
              <w:right w:val="nil"/>
            </w:tcBorders>
            <w:noWrap w:val="0"/>
            <w:vAlign w:val="top"/>
          </w:tcPr>
          <w:p>
            <w:pPr>
              <w:spacing w:line="480" w:lineRule="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346" w:type="dxa"/>
            <w:gridSpan w:val="3"/>
            <w:vMerge w:val="restart"/>
            <w:tcBorders>
              <w:top w:val="nil"/>
              <w:left w:val="single" w:color="auto" w:sz="4" w:space="0"/>
              <w:bottom w:val="single" w:color="auto" w:sz="4" w:space="0"/>
              <w:right w:val="single" w:color="auto" w:sz="4" w:space="0"/>
            </w:tcBorders>
            <w:noWrap w:val="0"/>
            <w:vAlign w:val="center"/>
          </w:tcPr>
          <w:p>
            <w:pPr>
              <w:spacing w:line="48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验收小组签字</w:t>
            </w:r>
          </w:p>
        </w:tc>
        <w:tc>
          <w:tcPr>
            <w:tcW w:w="2207" w:type="dxa"/>
            <w:gridSpan w:val="3"/>
            <w:tcBorders>
              <w:top w:val="single" w:color="auto" w:sz="4" w:space="0"/>
              <w:left w:val="nil"/>
              <w:bottom w:val="single" w:color="auto" w:sz="4" w:space="0"/>
              <w:right w:val="single" w:color="auto" w:sz="4" w:space="0"/>
            </w:tcBorders>
            <w:noWrap w:val="0"/>
            <w:vAlign w:val="top"/>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验收人员</w:t>
            </w:r>
          </w:p>
        </w:tc>
        <w:tc>
          <w:tcPr>
            <w:tcW w:w="3745" w:type="dxa"/>
            <w:gridSpan w:val="5"/>
            <w:tcBorders>
              <w:top w:val="single" w:color="auto" w:sz="4" w:space="0"/>
              <w:left w:val="nil"/>
              <w:bottom w:val="single" w:color="auto" w:sz="4" w:space="0"/>
              <w:right w:val="single" w:color="auto" w:sz="4" w:space="0"/>
            </w:tcBorders>
            <w:noWrap w:val="0"/>
            <w:vAlign w:val="top"/>
          </w:tcPr>
          <w:p>
            <w:pPr>
              <w:spacing w:line="480" w:lineRule="auto"/>
              <w:rPr>
                <w:rFonts w:hint="eastAsia" w:ascii="宋体" w:hAnsi="宋体" w:eastAsia="宋体" w:cs="宋体"/>
                <w:color w:val="auto"/>
                <w:sz w:val="21"/>
                <w:szCs w:val="21"/>
                <w:highlight w:val="none"/>
              </w:rPr>
            </w:pPr>
          </w:p>
        </w:tc>
        <w:tc>
          <w:tcPr>
            <w:tcW w:w="380" w:type="dxa"/>
            <w:vMerge w:val="continue"/>
            <w:tcBorders>
              <w:left w:val="single" w:color="auto" w:sz="4" w:space="0"/>
              <w:right w:val="nil"/>
            </w:tcBorders>
            <w:noWrap w:val="0"/>
            <w:vAlign w:val="top"/>
          </w:tcPr>
          <w:p>
            <w:pPr>
              <w:spacing w:line="480" w:lineRule="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2346" w:type="dxa"/>
            <w:gridSpan w:val="3"/>
            <w:vMerge w:val="continue"/>
            <w:tcBorders>
              <w:top w:val="nil"/>
              <w:left w:val="single" w:color="auto" w:sz="4" w:space="0"/>
              <w:bottom w:val="single" w:color="auto" w:sz="4" w:space="0"/>
              <w:right w:val="single" w:color="auto" w:sz="4" w:space="0"/>
            </w:tcBorders>
            <w:noWrap w:val="0"/>
            <w:vAlign w:val="center"/>
          </w:tcPr>
          <w:p>
            <w:pPr>
              <w:widowControl/>
              <w:spacing w:line="480" w:lineRule="auto"/>
              <w:jc w:val="left"/>
              <w:rPr>
                <w:rFonts w:hint="eastAsia" w:ascii="宋体" w:hAnsi="宋体" w:eastAsia="宋体" w:cs="宋体"/>
                <w:color w:val="auto"/>
                <w:sz w:val="21"/>
                <w:szCs w:val="21"/>
                <w:highlight w:val="none"/>
              </w:rPr>
            </w:pPr>
          </w:p>
        </w:tc>
        <w:tc>
          <w:tcPr>
            <w:tcW w:w="2207" w:type="dxa"/>
            <w:gridSpan w:val="3"/>
            <w:tcBorders>
              <w:top w:val="single" w:color="auto" w:sz="4" w:space="0"/>
              <w:left w:val="nil"/>
              <w:bottom w:val="single" w:color="auto" w:sz="4" w:space="0"/>
              <w:right w:val="single" w:color="auto" w:sz="4" w:space="0"/>
            </w:tcBorders>
            <w:noWrap w:val="0"/>
            <w:vAlign w:val="top"/>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专家签名或检测机构公章</w:t>
            </w:r>
          </w:p>
        </w:tc>
        <w:tc>
          <w:tcPr>
            <w:tcW w:w="3745" w:type="dxa"/>
            <w:gridSpan w:val="5"/>
            <w:tcBorders>
              <w:top w:val="single" w:color="auto" w:sz="4" w:space="0"/>
              <w:left w:val="nil"/>
              <w:bottom w:val="single" w:color="auto" w:sz="4" w:space="0"/>
              <w:right w:val="single" w:color="auto" w:sz="4" w:space="0"/>
            </w:tcBorders>
            <w:noWrap w:val="0"/>
            <w:vAlign w:val="top"/>
          </w:tcPr>
          <w:p>
            <w:pPr>
              <w:spacing w:line="480" w:lineRule="auto"/>
              <w:rPr>
                <w:rFonts w:hint="eastAsia" w:ascii="宋体" w:hAnsi="宋体" w:eastAsia="宋体" w:cs="宋体"/>
                <w:color w:val="auto"/>
                <w:sz w:val="21"/>
                <w:szCs w:val="21"/>
                <w:highlight w:val="none"/>
              </w:rPr>
            </w:pPr>
          </w:p>
        </w:tc>
        <w:tc>
          <w:tcPr>
            <w:tcW w:w="380" w:type="dxa"/>
            <w:vMerge w:val="continue"/>
            <w:tcBorders>
              <w:left w:val="single" w:color="auto" w:sz="4" w:space="0"/>
              <w:bottom w:val="single" w:color="auto" w:sz="4" w:space="0"/>
              <w:right w:val="nil"/>
            </w:tcBorders>
            <w:noWrap w:val="0"/>
            <w:vAlign w:val="top"/>
          </w:tcPr>
          <w:p>
            <w:pPr>
              <w:spacing w:line="480" w:lineRule="auto"/>
              <w:rPr>
                <w:rFonts w:hint="eastAsia" w:ascii="宋体" w:hAnsi="宋体" w:eastAsia="宋体" w:cs="宋体"/>
                <w:color w:val="auto"/>
                <w:sz w:val="21"/>
                <w:szCs w:val="21"/>
                <w:highlight w:val="none"/>
              </w:rPr>
            </w:pPr>
          </w:p>
        </w:tc>
      </w:tr>
    </w:tbl>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验收时间：</w:t>
      </w:r>
    </w:p>
    <w:p>
      <w:pPr>
        <w:rPr>
          <w:rFonts w:hint="eastAsia" w:ascii="方正仿宋_GBK" w:hAnsi="方正仿宋_GBK" w:eastAsia="方正仿宋_GBK" w:cs="方正仿宋_GBK"/>
          <w:color w:val="auto"/>
          <w:sz w:val="30"/>
          <w:szCs w:val="30"/>
          <w:highlight w:val="none"/>
        </w:rPr>
      </w:pPr>
    </w:p>
    <w:p>
      <w:pPr>
        <w:rPr>
          <w:rFonts w:hint="eastAsia" w:ascii="方正仿宋_GBK" w:hAnsi="方正仿宋_GBK" w:eastAsia="方正仿宋_GBK" w:cs="方正仿宋_GBK"/>
          <w:color w:val="auto"/>
          <w:sz w:val="30"/>
          <w:szCs w:val="30"/>
          <w:highlight w:val="none"/>
        </w:rPr>
      </w:pPr>
    </w:p>
    <w:p>
      <w:pPr>
        <w:pStyle w:val="20"/>
        <w:rPr>
          <w:rFonts w:hint="eastAsia"/>
          <w:color w:val="auto"/>
          <w:highlight w:val="none"/>
        </w:rPr>
      </w:pPr>
    </w:p>
    <w:p>
      <w:pPr>
        <w:rPr>
          <w:rFonts w:hint="eastAsia" w:ascii="仿宋" w:hAnsi="仿宋" w:eastAsia="仿宋" w:cs="仿宋"/>
          <w:b/>
          <w:bCs/>
          <w:color w:val="auto"/>
          <w:sz w:val="21"/>
          <w:szCs w:val="21"/>
          <w:highlight w:val="none"/>
        </w:rPr>
      </w:pPr>
    </w:p>
    <w:p>
      <w:pPr>
        <w:pStyle w:val="20"/>
        <w:rPr>
          <w:rFonts w:hint="eastAsia"/>
          <w:color w:val="auto"/>
          <w:highlight w:val="none"/>
        </w:rPr>
      </w:pPr>
    </w:p>
    <w:p>
      <w:pPr>
        <w:rPr>
          <w:rFonts w:ascii="方正小标宋简体" w:hAnsi="华文中宋" w:eastAsia="方正小标宋简体"/>
          <w:b/>
          <w:bCs/>
          <w:color w:val="auto"/>
          <w:sz w:val="28"/>
          <w:szCs w:val="28"/>
          <w:highlight w:val="none"/>
        </w:rPr>
      </w:pP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r>
        <w:rPr>
          <w:rFonts w:hint="eastAsia" w:ascii="方正小标宋简体" w:hAnsi="华文中宋" w:eastAsia="方正小标宋简体"/>
          <w:b/>
          <w:bCs/>
          <w:color w:val="auto"/>
          <w:sz w:val="28"/>
          <w:szCs w:val="28"/>
          <w:highlight w:val="none"/>
        </w:rPr>
        <w:t xml:space="preserve"> </w:t>
      </w:r>
    </w:p>
    <w:p>
      <w:pPr>
        <w:jc w:val="center"/>
        <w:rPr>
          <w:rFonts w:ascii="华文仿宋" w:hAnsi="华文仿宋" w:eastAsia="华文仿宋" w:cs="宋体"/>
          <w:color w:val="auto"/>
          <w:sz w:val="32"/>
          <w:szCs w:val="32"/>
          <w:highlight w:val="none"/>
        </w:rPr>
      </w:pPr>
      <w:r>
        <w:rPr>
          <w:rFonts w:hint="eastAsia" w:ascii="方正小标宋简体" w:hAnsi="华文中宋" w:eastAsia="方正小标宋简体"/>
          <w:color w:val="auto"/>
          <w:sz w:val="32"/>
          <w:szCs w:val="32"/>
          <w:highlight w:val="none"/>
        </w:rPr>
        <w:t>廉 洁 合 作 约 定 书</w:t>
      </w:r>
      <w:r>
        <w:rPr>
          <w:rFonts w:ascii="方正小标宋简体" w:hAnsi="华文中宋" w:eastAsia="方正小标宋简体"/>
          <w:color w:val="auto"/>
          <w:sz w:val="32"/>
          <w:szCs w:val="32"/>
          <w:highlight w:val="none"/>
        </w:rPr>
        <w:br w:type="textWrapping"/>
      </w:r>
    </w:p>
    <w:p>
      <w:pPr>
        <w:spacing w:line="360" w:lineRule="auto"/>
        <w:rPr>
          <w:rFonts w:hint="eastAsia" w:ascii="华文仿宋" w:hAnsi="华文仿宋" w:eastAsia="华文仿宋" w:cs="华文仿宋"/>
          <w:color w:val="auto"/>
          <w:szCs w:val="21"/>
          <w:highlight w:val="none"/>
          <w:lang w:eastAsia="zh-CN"/>
        </w:rPr>
      </w:pPr>
      <w:r>
        <w:rPr>
          <w:rFonts w:hint="eastAsia" w:ascii="华文仿宋" w:hAnsi="华文仿宋" w:eastAsia="华文仿宋" w:cs="华文仿宋"/>
          <w:color w:val="auto"/>
          <w:szCs w:val="21"/>
          <w:highlight w:val="none"/>
        </w:rPr>
        <w:t>甲方：</w:t>
      </w:r>
      <w:r>
        <w:rPr>
          <w:rFonts w:hint="eastAsia" w:ascii="华文仿宋" w:hAnsi="华文仿宋" w:eastAsia="华文仿宋" w:cs="华文仿宋"/>
          <w:color w:val="auto"/>
          <w:szCs w:val="21"/>
          <w:highlight w:val="none"/>
          <w:lang w:eastAsia="zh-CN"/>
        </w:rPr>
        <w:t>【】</w:t>
      </w:r>
    </w:p>
    <w:p>
      <w:pPr>
        <w:spacing w:line="360" w:lineRule="auto"/>
        <w:ind w:left="368" w:hanging="367" w:hangingChars="175"/>
        <w:rPr>
          <w:rFonts w:hint="eastAsia" w:ascii="华文仿宋" w:hAnsi="华文仿宋" w:eastAsia="华文仿宋" w:cs="华文仿宋"/>
          <w:color w:val="auto"/>
          <w:szCs w:val="21"/>
          <w:highlight w:val="none"/>
        </w:rPr>
      </w:pPr>
      <w:r>
        <w:rPr>
          <w:rFonts w:hint="eastAsia" w:ascii="华文仿宋" w:hAnsi="华文仿宋" w:eastAsia="华文仿宋" w:cs="华文仿宋"/>
          <w:color w:val="auto"/>
          <w:szCs w:val="21"/>
          <w:highlight w:val="none"/>
        </w:rPr>
        <w:t>乙方：【】</w:t>
      </w:r>
    </w:p>
    <w:p>
      <w:pPr>
        <w:spacing w:line="360" w:lineRule="auto"/>
        <w:rPr>
          <w:rFonts w:hint="eastAsia" w:ascii="方正仿宋_GBK" w:hAnsi="方正仿宋_GBK" w:eastAsia="方正仿宋_GBK" w:cs="方正仿宋_GBK"/>
          <w:color w:val="auto"/>
          <w:szCs w:val="21"/>
          <w:highlight w:val="none"/>
        </w:rPr>
      </w:pPr>
    </w:p>
    <w:p>
      <w:pPr>
        <w:spacing w:line="360" w:lineRule="auto"/>
        <w:ind w:firstLine="403" w:firstLineChars="19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本着合法交易、公平公正、互利共赢原则，为建立并巩固长期合作关系，保障合作的规范与廉洁，双方就廉洁合作相关事宜达成如下一致：</w:t>
      </w:r>
    </w:p>
    <w:p>
      <w:pPr>
        <w:spacing w:line="360" w:lineRule="auto"/>
        <w:ind w:firstLine="404" w:firstLineChars="192"/>
        <w:rPr>
          <w:rFonts w:hint="eastAsia" w:ascii="方正仿宋_GBK" w:hAnsi="方正仿宋_GBK" w:eastAsia="方正仿宋_GBK" w:cs="方正仿宋_GBK"/>
          <w:b/>
          <w:bCs/>
          <w:color w:val="auto"/>
          <w:szCs w:val="21"/>
          <w:highlight w:val="none"/>
        </w:rPr>
      </w:pPr>
      <w:r>
        <w:rPr>
          <w:rFonts w:hint="eastAsia" w:ascii="方正仿宋_GBK" w:hAnsi="方正仿宋_GBK" w:eastAsia="方正仿宋_GBK" w:cs="方正仿宋_GBK"/>
          <w:b/>
          <w:bCs/>
          <w:color w:val="auto"/>
          <w:szCs w:val="21"/>
          <w:highlight w:val="none"/>
        </w:rPr>
        <w:t>一、定义与名词解释：</w:t>
      </w:r>
    </w:p>
    <w:p>
      <w:pPr>
        <w:spacing w:line="360" w:lineRule="auto"/>
        <w:ind w:firstLine="403" w:firstLineChars="19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下列用于本约定书的文字，除依据其文义需做另外的解释外，均依本条要求解释：</w:t>
      </w:r>
    </w:p>
    <w:p>
      <w:pPr>
        <w:numPr>
          <w:ilvl w:val="0"/>
          <w:numId w:val="2"/>
        </w:numPr>
        <w:spacing w:line="360" w:lineRule="auto"/>
        <w:ind w:firstLine="403" w:firstLineChars="19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甲方：除作为本约定书主体外，本约定书所指甲方包含甲方及其关联企业；</w:t>
      </w:r>
    </w:p>
    <w:p>
      <w:pPr>
        <w:numPr>
          <w:ilvl w:val="0"/>
          <w:numId w:val="2"/>
        </w:numPr>
        <w:spacing w:line="360" w:lineRule="auto"/>
        <w:ind w:firstLine="403" w:firstLineChars="19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乙方：除作为本约定书主体外，本约定书所指乙方包含乙方及其关联企业；</w:t>
      </w:r>
    </w:p>
    <w:p>
      <w:pPr>
        <w:numPr>
          <w:ilvl w:val="0"/>
          <w:numId w:val="2"/>
        </w:numPr>
        <w:spacing w:line="360" w:lineRule="auto"/>
        <w:ind w:firstLine="403" w:firstLineChars="19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利害关系人：指一方员工近亲属及其他关系密切或有利益往来的亲友；</w:t>
      </w:r>
    </w:p>
    <w:p>
      <w:pPr>
        <w:numPr>
          <w:ilvl w:val="0"/>
          <w:numId w:val="2"/>
        </w:numPr>
        <w:spacing w:line="360" w:lineRule="auto"/>
        <w:ind w:firstLine="403" w:firstLineChars="19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关联企业：如一方与另一公司、企业和其他经济组织（以下统称为另一企业）至少存在一种或多种如下关联关系的，则该两个企业互为关联企业。“关联关系”是指一方与另一企业存在如下关系的一种或多种：</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相互间直接或间接持有其中一方的股份总和达到5%或以上的；</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直接或间接同为第三者拥有或控制股份达到5%或以上的；</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一方与另一企业之间借贷资金占自有资金50%或以上或一方借贷资金总额的10%或以上是由另一企业担保的，或者相反情况；</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一方董事或经理等高级管理人是由另一企业所委派的，或者相反情况；</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一方的生产经营活动必须由另一企业提供特许权利（包括工业产权、专有技术等）才能正常进行的；</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一方生产经营购进的原材料、零配件等（包括价格及交易条件等）是由另一企业所控制或供应的，或者相反情况；</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一方生产的产品或商品的销售（包括价格及交易条件等）是由另一企业控制的，或者相反情况；</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对一方生产经营、交易具有实际控制的其他利益上相关联的关系（包括但不限于家族、亲属关系等）；</w:t>
      </w:r>
    </w:p>
    <w:p>
      <w:pPr>
        <w:numPr>
          <w:ilvl w:val="0"/>
          <w:numId w:val="3"/>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持有上述第1-8项所述企业5%以上（含）股份的股东、出资人，或者为员工激励、持股计划、股权投资而设立的直接或间接持有上述第1-8项企业股权的股东；</w:t>
      </w:r>
    </w:p>
    <w:p>
      <w:pPr>
        <w:spacing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 xml:space="preserve">  （五）不正当利益：指违反国家法律、法规以及甲方公司制度的利益，以及要求甲方提供违反国家法律、法规及甲方公司制度的帮助或便利条件，包括但不限于以下情形：</w:t>
      </w:r>
    </w:p>
    <w:p>
      <w:pPr>
        <w:numPr>
          <w:ilvl w:val="0"/>
          <w:numId w:val="4"/>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向甲方员工或利害关系人提供、承诺或给予“酬金”、“回扣”等任何形式的现金、有价物品或应由其个人自付的各种费用，包括但不限于住宅装修、婚丧嫁娶、旅游度假及其它娱乐活动、食宿、健身、购物、学费、子女出国留学等；</w:t>
      </w:r>
    </w:p>
    <w:p>
      <w:pPr>
        <w:numPr>
          <w:ilvl w:val="0"/>
          <w:numId w:val="4"/>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向甲方员工或利害关系人提供各种形式劳务报酬、提成、经营分红等；</w:t>
      </w:r>
    </w:p>
    <w:p>
      <w:pPr>
        <w:numPr>
          <w:ilvl w:val="0"/>
          <w:numId w:val="4"/>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向甲方员工或利害关系人以结婚、生日、丧葬等名义赠送礼金；</w:t>
      </w:r>
    </w:p>
    <w:p>
      <w:pPr>
        <w:numPr>
          <w:ilvl w:val="0"/>
          <w:numId w:val="4"/>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向甲方员工或利害关系人以不合理的低价或免费借用金钱、汽车、房屋等财物，或以不合理的高价从甲方借/租入金钱、汽车、房屋等财物；</w:t>
      </w:r>
    </w:p>
    <w:p>
      <w:pPr>
        <w:numPr>
          <w:ilvl w:val="0"/>
          <w:numId w:val="4"/>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与甲方员工或利害关系人进行含金钱性质的棋牌娱乐类活动、赌博性活动；</w:t>
      </w:r>
    </w:p>
    <w:p>
      <w:pPr>
        <w:numPr>
          <w:ilvl w:val="0"/>
          <w:numId w:val="4"/>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为甲方员工或利害关系人提供持股（含干股、暗股，不含证券市场小宗交易）、顾问、直接或间接参与经营等机会或便利；</w:t>
      </w:r>
    </w:p>
    <w:p>
      <w:pPr>
        <w:numPr>
          <w:ilvl w:val="0"/>
          <w:numId w:val="4"/>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利用甲方或其利害关系人的便利为乙方谋取交易机会；</w:t>
      </w:r>
    </w:p>
    <w:p>
      <w:pPr>
        <w:numPr>
          <w:ilvl w:val="0"/>
          <w:numId w:val="4"/>
        </w:num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其他违背诚信原则、职业道德从甲方或通过甲方获取利益的情形。</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（六）限制交易供应商名单：是指南航集团记录重大违规违法行为企业的汇总名单，被列入限制交易供应商名单的企业及其关联企业依据限制交易认定等级在相应限制期内不得与南航集团各单位进行业务合作。</w:t>
      </w:r>
    </w:p>
    <w:p>
      <w:pPr>
        <w:spacing w:line="360" w:lineRule="auto"/>
        <w:ind w:firstLine="421" w:firstLineChars="200"/>
        <w:rPr>
          <w:rFonts w:hint="eastAsia" w:ascii="方正仿宋_GBK" w:hAnsi="方正仿宋_GBK" w:eastAsia="方正仿宋_GBK" w:cs="方正仿宋_GBK"/>
          <w:b/>
          <w:bCs/>
          <w:color w:val="auto"/>
          <w:szCs w:val="21"/>
          <w:highlight w:val="none"/>
        </w:rPr>
      </w:pPr>
      <w:r>
        <w:rPr>
          <w:rFonts w:hint="eastAsia" w:ascii="方正仿宋_GBK" w:hAnsi="方正仿宋_GBK" w:eastAsia="方正仿宋_GBK" w:cs="方正仿宋_GBK"/>
          <w:b/>
          <w:bCs/>
          <w:color w:val="auto"/>
          <w:szCs w:val="21"/>
          <w:highlight w:val="none"/>
        </w:rPr>
        <w:t>二、乙方违反以下行为要求时，甲方有权按照本约定书第五条违约责任进行处理：</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1、乙方声明并保证因与甲方签署或履行协议而提供给甲方的全部信息、材料是真实、完整、正确、合法、有效的，不存在虚假、欺瞒、伪造。</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2、乙方保证依法开展经营活动，尤其不得进行任何形式的商业贿赂行为。一旦发现有任何涉及甲方的商业贿赂行为，乙方应立即通知甲方，并进行查处和整改。</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3、乙方不得以任何方式直接或间接允诺向甲方员工或其利害关系人发生任何不正当利益往来。</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4、乙方承诺不恶意诽谤、诬告、陷害甲方员工或其它竞争对手。</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5、乙方在与甲方合作过程中不得发生其他形式的违反法律法规、社会公序良俗，或违背诚实信用、公平交易原则的行为，或其它可能造成甲方员工被司法机关认定为职务犯罪或被行政执法机关处罚的行为。</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6、乙方声明在双方业务往来期间及合作终止后3年内不对甲方的员工（包括但不限于董事、经理、员工等）采取任何手段使其离开甲方到乙方或乙方关联企业、乙方客户单位工作或任职。</w:t>
      </w:r>
    </w:p>
    <w:p>
      <w:pPr>
        <w:spacing w:line="360" w:lineRule="auto"/>
        <w:ind w:firstLine="421" w:firstLineChars="200"/>
        <w:rPr>
          <w:rFonts w:hint="eastAsia" w:ascii="方正仿宋_GBK" w:hAnsi="方正仿宋_GBK" w:eastAsia="方正仿宋_GBK" w:cs="方正仿宋_GBK"/>
          <w:b/>
          <w:bCs/>
          <w:color w:val="auto"/>
          <w:szCs w:val="21"/>
          <w:highlight w:val="none"/>
        </w:rPr>
      </w:pPr>
      <w:r>
        <w:rPr>
          <w:rFonts w:hint="eastAsia" w:ascii="方正仿宋_GBK" w:hAnsi="方正仿宋_GBK" w:eastAsia="方正仿宋_GBK" w:cs="方正仿宋_GBK"/>
          <w:b/>
          <w:bCs/>
          <w:color w:val="auto"/>
          <w:szCs w:val="21"/>
          <w:highlight w:val="none"/>
        </w:rPr>
        <w:t>三、甲方权利义务</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1、禁止甲方员工与乙方发生任何不正当利益往来，如发现此类问题，甲方有权按照乙方提供的举报方式进行举报。</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2、甲方鼓励乙方举报甲方员工违规行为，甲方承诺对乙方的举报严格保密，并及时予以查实和处理。</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3、甲方有权对不正当利益行为进行调查，情节严重的，有权移送司法机关。</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4、若甲方发现乙方或其业务合作伙伴可能存在已违反或将违反本约定书的情形，甲方有权对乙方就该特定事项进行审计、检查；同时甲方有权就双方之间的交易进行定期审计、检查。具体措施包括但不限于：就合规政策、培训和监督进行问卷调查；监测交易以发现可能的商业贿赂迹象；检查乙方与甲方之间业务协议中涉及的活动和/或因此开展的活动的政策方针、流程、账簿和记录等。</w:t>
      </w:r>
    </w:p>
    <w:p>
      <w:pPr>
        <w:spacing w:line="360" w:lineRule="auto"/>
        <w:ind w:firstLine="421" w:firstLineChars="200"/>
        <w:rPr>
          <w:rFonts w:hint="eastAsia" w:ascii="方正仿宋_GBK" w:hAnsi="方正仿宋_GBK" w:eastAsia="方正仿宋_GBK" w:cs="方正仿宋_GBK"/>
          <w:b/>
          <w:bCs/>
          <w:color w:val="auto"/>
          <w:szCs w:val="21"/>
          <w:highlight w:val="none"/>
        </w:rPr>
      </w:pPr>
      <w:r>
        <w:rPr>
          <w:rFonts w:hint="eastAsia" w:ascii="方正仿宋_GBK" w:hAnsi="方正仿宋_GBK" w:eastAsia="方正仿宋_GBK" w:cs="方正仿宋_GBK"/>
          <w:b/>
          <w:bCs/>
          <w:color w:val="auto"/>
          <w:szCs w:val="21"/>
          <w:highlight w:val="none"/>
        </w:rPr>
        <w:t>四、乙方权利义务</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1、乙方确认知晓双方签署本约定书的目的，理解甲方对双方廉洁合作的重大关切，明白违反廉洁行为的后果，同意定期向乙方公司员工宣传贯彻，并遵照执行本约定书。</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2、乙方承诺严格依照法律规定、协议约定履行义务，不向甲方及其关联企业员工提供任何不正当利益。</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3、如乙方员工为甲方员工的利害关系人，乙方应将该事实立即披露给甲方。</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4、乙方应当拒绝甲方员工任何形式的向乙方谋求、索取不正当利益的要求，并及时向甲方举报甲方员工的违规行为。</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5、乙方在接受甲方调查和审计时，不得隐瞒事实真相，不提供虚假材料。调查后，不得推翻已经认可的调查事实。</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6、乙方承诺对甲方调查和审计的内容进行保密，在未经甲方允许的情况下，乙方不得就调查事件对外发表言论。乙方更不得应非甲方外的第三人要求出庭作证（法院采取强制措施要求出庭除外）。</w:t>
      </w:r>
    </w:p>
    <w:p>
      <w:pPr>
        <w:spacing w:line="360" w:lineRule="auto"/>
        <w:ind w:firstLine="421"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zCs w:val="21"/>
          <w:highlight w:val="none"/>
        </w:rPr>
        <w:t>7、乙方深刻理解违反廉洁合作行为的危害性，在此确认本约定书条款已经过审慎阅读，认可本约定书约定的赔偿金额合理，不会以任何理由向任何机构申请调整。</w:t>
      </w:r>
    </w:p>
    <w:p>
      <w:pPr>
        <w:spacing w:line="360" w:lineRule="auto"/>
        <w:ind w:firstLine="421" w:firstLineChars="200"/>
        <w:rPr>
          <w:rFonts w:hint="eastAsia" w:ascii="方正仿宋_GBK" w:hAnsi="方正仿宋_GBK" w:eastAsia="方正仿宋_GBK" w:cs="方正仿宋_GBK"/>
          <w:b/>
          <w:bCs/>
          <w:color w:val="auto"/>
          <w:szCs w:val="21"/>
          <w:highlight w:val="none"/>
        </w:rPr>
      </w:pPr>
      <w:r>
        <w:rPr>
          <w:rFonts w:hint="eastAsia" w:ascii="方正仿宋_GBK" w:hAnsi="方正仿宋_GBK" w:eastAsia="方正仿宋_GBK" w:cs="方正仿宋_GBK"/>
          <w:b/>
          <w:bCs/>
          <w:color w:val="auto"/>
          <w:szCs w:val="21"/>
          <w:highlight w:val="none"/>
        </w:rPr>
        <w:t>五、违约责任</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1、若乙方违反本约定书任一约定的，乙方同意按不正当利益的十倍，或上一年度（即从甲方发现乙方违反本约定书约定之日起的前12个月）交易金额的20%向甲方支付赔偿金</w:t>
      </w:r>
      <w:r>
        <w:rPr>
          <w:rFonts w:hint="eastAsia" w:ascii="仿宋" w:hAnsi="仿宋" w:eastAsia="仿宋" w:cs="仿宋"/>
          <w:color w:val="auto"/>
          <w:szCs w:val="21"/>
          <w:highlight w:val="none"/>
        </w:rPr>
        <w:t>（以金额高者为准）</w:t>
      </w:r>
      <w:r>
        <w:rPr>
          <w:rFonts w:hint="eastAsia" w:ascii="方正仿宋_GBK" w:hAnsi="方正仿宋_GBK" w:eastAsia="方正仿宋_GBK" w:cs="方正仿宋_GBK"/>
          <w:color w:val="auto"/>
          <w:szCs w:val="21"/>
          <w:highlight w:val="none"/>
        </w:rPr>
        <w:t>，但是最低不少于人民币10万元（大写：壹拾万元）。甲方及其关联企业有权直接从应付给乙方的款项中扣除上述赔偿金。</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2、若乙方违反本约定书任一约定的，甲方及其关联企业有权解除与乙方的相关交易协议，将乙方纳入南航集团限制交易供应商名单且不承担任何责任。</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3、乙方基于本约定书约定承担的违约责任，并不影响乙方依相关具体交易协议而承担的责任。</w:t>
      </w:r>
    </w:p>
    <w:p>
      <w:pPr>
        <w:spacing w:line="360" w:lineRule="auto"/>
        <w:ind w:firstLine="421" w:firstLineChars="200"/>
        <w:rPr>
          <w:rFonts w:hint="eastAsia" w:ascii="方正仿宋_GBK" w:hAnsi="方正仿宋_GBK" w:eastAsia="方正仿宋_GBK" w:cs="方正仿宋_GBK"/>
          <w:b/>
          <w:bCs/>
          <w:color w:val="auto"/>
          <w:szCs w:val="21"/>
          <w:highlight w:val="none"/>
        </w:rPr>
      </w:pPr>
      <w:r>
        <w:rPr>
          <w:rFonts w:hint="eastAsia" w:ascii="方正仿宋_GBK" w:hAnsi="方正仿宋_GBK" w:eastAsia="方正仿宋_GBK" w:cs="方正仿宋_GBK"/>
          <w:b/>
          <w:bCs/>
          <w:color w:val="auto"/>
          <w:szCs w:val="21"/>
          <w:highlight w:val="none"/>
        </w:rPr>
        <w:t>六、举报方式</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乙方可通过以下方式直接向甲方举报：</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举报电话：</w:t>
      </w:r>
      <w:r>
        <w:rPr>
          <w:rFonts w:hint="eastAsia" w:ascii="方正仿宋_GBK" w:hAnsi="方正仿宋_GBK" w:eastAsia="方正仿宋_GBK" w:cs="方正仿宋_GBK"/>
          <w:color w:val="auto"/>
          <w:szCs w:val="21"/>
          <w:highlight w:val="none"/>
        </w:rPr>
        <w:t>020-86123373</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jc w:val="both"/>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举报邮箱：zbbjw@csair.com</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jc w:val="both"/>
        <w:textAlignment w:val="auto"/>
        <w:outlineLvl w:val="9"/>
        <w:rPr>
          <w:rFonts w:hint="eastAsia" w:ascii="方正仿宋_GBK" w:hAnsi="方正仿宋_GBK" w:eastAsia="方正仿宋_GBK" w:cs="方正仿宋_GBK"/>
          <w:color w:val="auto"/>
          <w:szCs w:val="21"/>
          <w:highlight w:val="none"/>
          <w:lang w:val="en-US" w:eastAsia="zh-CN"/>
        </w:rPr>
      </w:pPr>
      <w:r>
        <w:rPr>
          <w:rFonts w:hint="eastAsia" w:ascii="仿宋" w:hAnsi="仿宋" w:eastAsia="仿宋" w:cs="仿宋"/>
          <w:color w:val="auto"/>
          <w:sz w:val="21"/>
          <w:szCs w:val="21"/>
          <w:highlight w:val="none"/>
        </w:rPr>
        <w:t>邮寄地址：</w:t>
      </w:r>
      <w:r>
        <w:rPr>
          <w:rFonts w:hint="eastAsia" w:ascii="方正仿宋_GBK" w:hAnsi="方正仿宋_GBK" w:eastAsia="方正仿宋_GBK" w:cs="方正仿宋_GBK"/>
          <w:color w:val="auto"/>
          <w:szCs w:val="21"/>
          <w:highlight w:val="none"/>
          <w:lang w:eastAsia="zh-CN"/>
        </w:rPr>
        <w:t>【】</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甲方可通过以下方式直接向乙方举报（以下内容乙方自愿填写）：</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举报电话：【】</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举报邮箱：【】</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邮寄地址：【】</w:t>
      </w:r>
    </w:p>
    <w:p>
      <w:pPr>
        <w:spacing w:line="360" w:lineRule="auto"/>
        <w:ind w:firstLine="421" w:firstLineChars="200"/>
        <w:rPr>
          <w:rFonts w:hint="eastAsia" w:ascii="方正仿宋_GBK" w:hAnsi="方正仿宋_GBK" w:eastAsia="方正仿宋_GBK" w:cs="方正仿宋_GBK"/>
          <w:b/>
          <w:bCs/>
          <w:color w:val="auto"/>
          <w:szCs w:val="21"/>
          <w:highlight w:val="none"/>
        </w:rPr>
      </w:pPr>
      <w:r>
        <w:rPr>
          <w:rFonts w:hint="eastAsia" w:ascii="方正仿宋_GBK" w:hAnsi="方正仿宋_GBK" w:eastAsia="方正仿宋_GBK" w:cs="方正仿宋_GBK"/>
          <w:b/>
          <w:bCs/>
          <w:color w:val="auto"/>
          <w:szCs w:val="21"/>
          <w:highlight w:val="none"/>
        </w:rPr>
        <w:t>七、其它约定</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1、本约定书系双方之间因具体业务所签订的合作或业务协议（下称“主协议”）附件之一，无需双方另行签字盖章。本约定书自主协议签字盖章之日起生效，效力追溯至双方合作开始之日，不因双方业务合作终止、协议终止或解除而失效。</w:t>
      </w:r>
    </w:p>
    <w:p>
      <w:pPr>
        <w:spacing w:line="360" w:lineRule="auto"/>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2、本约定书独立于主协议存在，不因合作或主协议的无效、终止、解除而无效、终止、解除。主协议的相关约定与本约定书约定不一致的，以本约定书为准。</w:t>
      </w:r>
    </w:p>
    <w:p>
      <w:pPr>
        <w:spacing w:line="360" w:lineRule="auto"/>
        <w:ind w:firstLine="420" w:firstLineChars="200"/>
        <w:rPr>
          <w:rFonts w:hint="eastAsia" w:ascii="华文仿宋" w:hAnsi="华文仿宋" w:eastAsia="华文仿宋" w:cs="华文仿宋"/>
          <w:color w:val="auto"/>
          <w:szCs w:val="21"/>
          <w:highlight w:val="none"/>
        </w:rPr>
      </w:pPr>
      <w:r>
        <w:rPr>
          <w:rFonts w:hint="eastAsia" w:ascii="方正仿宋_GBK" w:hAnsi="方正仿宋_GBK" w:eastAsia="方正仿宋_GBK" w:cs="方正仿宋_GBK"/>
          <w:color w:val="auto"/>
          <w:szCs w:val="21"/>
          <w:highlight w:val="none"/>
        </w:rPr>
        <w:t>3、双方应协商解决因本约定书导致的争议，协商不成，提交甲方所在地人民法院解决。</w:t>
      </w:r>
    </w:p>
    <w:p>
      <w:pPr>
        <w:widowControl/>
        <w:tabs>
          <w:tab w:val="left" w:pos="432"/>
          <w:tab w:val="left" w:pos="576"/>
        </w:tabs>
        <w:spacing w:line="460" w:lineRule="exact"/>
        <w:jc w:val="left"/>
        <w:rPr>
          <w:rFonts w:hint="eastAsia" w:ascii="仿宋" w:hAnsi="仿宋" w:eastAsia="仿宋" w:cs="仿宋"/>
          <w:color w:val="auto"/>
          <w:szCs w:val="21"/>
          <w:highlight w:val="none"/>
        </w:rPr>
      </w:pPr>
    </w:p>
    <w:p>
      <w:pPr>
        <w:widowControl/>
        <w:jc w:val="left"/>
        <w:rPr>
          <w:rStyle w:val="33"/>
          <w:rFonts w:hint="eastAsia" w:ascii="仿宋" w:hAnsi="仿宋" w:eastAsia="仿宋" w:cs="仿宋"/>
          <w:color w:val="auto"/>
          <w:sz w:val="21"/>
          <w:szCs w:val="21"/>
          <w:highlight w:val="none"/>
          <w:lang w:bidi="ar"/>
        </w:rPr>
      </w:pPr>
    </w:p>
    <w:p>
      <w:pPr>
        <w:widowControl/>
        <w:jc w:val="left"/>
        <w:rPr>
          <w:rStyle w:val="33"/>
          <w:rFonts w:hint="eastAsia" w:ascii="仿宋" w:hAnsi="仿宋" w:eastAsia="仿宋" w:cs="仿宋"/>
          <w:color w:val="auto"/>
          <w:sz w:val="21"/>
          <w:szCs w:val="21"/>
          <w:highlight w:val="none"/>
          <w:lang w:bidi="ar"/>
        </w:rPr>
      </w:pPr>
    </w:p>
    <w:p>
      <w:pPr>
        <w:widowControl/>
        <w:jc w:val="left"/>
        <w:rPr>
          <w:rStyle w:val="33"/>
          <w:rFonts w:hint="eastAsia" w:ascii="仿宋" w:hAnsi="仿宋" w:eastAsia="仿宋" w:cs="仿宋"/>
          <w:color w:val="auto"/>
          <w:sz w:val="21"/>
          <w:szCs w:val="21"/>
          <w:highlight w:val="none"/>
          <w:lang w:bidi="ar"/>
        </w:rPr>
      </w:pPr>
    </w:p>
    <w:p>
      <w:pPr>
        <w:widowControl/>
        <w:jc w:val="left"/>
        <w:rPr>
          <w:rStyle w:val="33"/>
          <w:rFonts w:hint="eastAsia" w:ascii="仿宋" w:hAnsi="仿宋" w:eastAsia="仿宋" w:cs="仿宋"/>
          <w:color w:val="auto"/>
          <w:sz w:val="21"/>
          <w:szCs w:val="21"/>
          <w:highlight w:val="none"/>
          <w:lang w:bidi="ar"/>
        </w:rPr>
      </w:pPr>
    </w:p>
    <w:p>
      <w:pPr>
        <w:widowControl/>
        <w:jc w:val="left"/>
        <w:rPr>
          <w:rStyle w:val="33"/>
          <w:rFonts w:hint="eastAsia" w:ascii="仿宋" w:hAnsi="仿宋" w:eastAsia="仿宋" w:cs="仿宋"/>
          <w:color w:val="auto"/>
          <w:sz w:val="21"/>
          <w:szCs w:val="21"/>
          <w:highlight w:val="none"/>
          <w:lang w:bidi="ar"/>
        </w:rPr>
      </w:pPr>
    </w:p>
    <w:p>
      <w:pPr>
        <w:widowControl/>
        <w:jc w:val="left"/>
        <w:rPr>
          <w:rStyle w:val="33"/>
          <w:rFonts w:hint="eastAsia" w:ascii="仿宋" w:hAnsi="仿宋" w:eastAsia="仿宋" w:cs="仿宋"/>
          <w:color w:val="auto"/>
          <w:sz w:val="21"/>
          <w:szCs w:val="21"/>
          <w:highlight w:val="none"/>
          <w:lang w:bidi="ar"/>
        </w:rPr>
      </w:pPr>
    </w:p>
    <w:p>
      <w:pPr>
        <w:widowControl/>
        <w:jc w:val="left"/>
        <w:rPr>
          <w:rStyle w:val="33"/>
          <w:rFonts w:hint="eastAsia" w:ascii="仿宋" w:hAnsi="仿宋" w:eastAsia="仿宋" w:cs="仿宋"/>
          <w:color w:val="auto"/>
          <w:sz w:val="21"/>
          <w:szCs w:val="21"/>
          <w:highlight w:val="none"/>
          <w:lang w:bidi="ar"/>
        </w:rPr>
      </w:pPr>
    </w:p>
    <w:p>
      <w:pPr>
        <w:pStyle w:val="20"/>
        <w:rPr>
          <w:rStyle w:val="33"/>
          <w:rFonts w:hint="eastAsia" w:ascii="仿宋" w:hAnsi="仿宋" w:eastAsia="仿宋" w:cs="仿宋"/>
          <w:color w:val="auto"/>
          <w:sz w:val="21"/>
          <w:szCs w:val="21"/>
          <w:highlight w:val="none"/>
          <w:lang w:bidi="ar"/>
        </w:rPr>
      </w:pPr>
    </w:p>
    <w:p>
      <w:pPr>
        <w:rPr>
          <w:rFonts w:hint="eastAsia"/>
          <w:color w:val="auto"/>
          <w:highlight w:val="none"/>
        </w:rPr>
      </w:pPr>
    </w:p>
    <w:p>
      <w:pPr>
        <w:widowControl/>
        <w:jc w:val="left"/>
        <w:rPr>
          <w:rStyle w:val="33"/>
          <w:rFonts w:hint="eastAsia" w:ascii="仿宋" w:hAnsi="仿宋" w:eastAsia="仿宋" w:cs="仿宋"/>
          <w:color w:val="auto"/>
          <w:sz w:val="21"/>
          <w:szCs w:val="21"/>
          <w:highlight w:val="none"/>
          <w:lang w:bidi="ar"/>
        </w:rPr>
      </w:pPr>
    </w:p>
    <w:p>
      <w:pPr>
        <w:widowControl/>
        <w:jc w:val="left"/>
        <w:rPr>
          <w:rStyle w:val="33"/>
          <w:rFonts w:hint="eastAsia" w:ascii="仿宋" w:hAnsi="仿宋" w:eastAsia="仿宋" w:cs="仿宋"/>
          <w:color w:val="auto"/>
          <w:sz w:val="21"/>
          <w:szCs w:val="21"/>
          <w:highlight w:val="none"/>
          <w:lang w:bidi="ar"/>
        </w:rPr>
      </w:pPr>
      <w:bookmarkStart w:id="421" w:name="_Toc2035857969"/>
      <w:bookmarkStart w:id="422" w:name="_Toc1103"/>
      <w:bookmarkStart w:id="423" w:name="_Toc1233753054"/>
      <w:bookmarkStart w:id="424" w:name="_Toc893567800"/>
      <w:bookmarkStart w:id="425" w:name="_Toc2708"/>
      <w:bookmarkStart w:id="426" w:name="_Toc5828"/>
      <w:r>
        <w:rPr>
          <w:rStyle w:val="33"/>
          <w:rFonts w:hint="eastAsia" w:ascii="仿宋" w:hAnsi="仿宋" w:eastAsia="仿宋" w:cs="仿宋"/>
          <w:color w:val="auto"/>
          <w:sz w:val="21"/>
          <w:szCs w:val="21"/>
          <w:highlight w:val="none"/>
          <w:lang w:bidi="ar"/>
        </w:rPr>
        <w:t>附件</w:t>
      </w:r>
      <w:r>
        <w:rPr>
          <w:rStyle w:val="33"/>
          <w:rFonts w:hint="eastAsia" w:ascii="仿宋" w:hAnsi="仿宋" w:eastAsia="仿宋" w:cs="仿宋"/>
          <w:color w:val="auto"/>
          <w:sz w:val="21"/>
          <w:szCs w:val="21"/>
          <w:highlight w:val="none"/>
          <w:lang w:val="en-US" w:bidi="ar"/>
        </w:rPr>
        <w:t>6</w:t>
      </w:r>
      <w:r>
        <w:rPr>
          <w:rStyle w:val="33"/>
          <w:rFonts w:hint="eastAsia" w:ascii="仿宋" w:hAnsi="仿宋" w:eastAsia="仿宋" w:cs="仿宋"/>
          <w:color w:val="auto"/>
          <w:sz w:val="21"/>
          <w:szCs w:val="21"/>
          <w:highlight w:val="none"/>
          <w:lang w:bidi="ar"/>
        </w:rPr>
        <w:t>：</w:t>
      </w:r>
    </w:p>
    <w:bookmarkEnd w:id="421"/>
    <w:bookmarkEnd w:id="422"/>
    <w:bookmarkEnd w:id="423"/>
    <w:bookmarkEnd w:id="424"/>
    <w:bookmarkEnd w:id="425"/>
    <w:bookmarkEnd w:id="426"/>
    <w:p>
      <w:pPr>
        <w:pStyle w:val="20"/>
        <w:rPr>
          <w:rFonts w:hint="eastAsia"/>
          <w:color w:val="auto"/>
          <w:highlight w:val="none"/>
        </w:rPr>
      </w:pP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民营企业和中小企业账款清欠工作线索受理联系方式</w:t>
      </w:r>
    </w:p>
    <w:p>
      <w:pPr>
        <w:jc w:val="center"/>
        <w:rPr>
          <w:rFonts w:hint="eastAsia" w:ascii="方正小标宋简体" w:hAnsi="方正小标宋简体" w:eastAsia="方正小标宋简体" w:cs="方正小标宋简体"/>
          <w:color w:val="auto"/>
          <w:sz w:val="32"/>
          <w:szCs w:val="40"/>
          <w:highlight w:val="none"/>
        </w:rPr>
      </w:pP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响应国家政策号召，依法维护民营企业和中小企业的合法权益，根据《保障中小企业款项支付条例》有关规定，如在履行本合同过程中存在合同当事方无正当理由拖欠应付民营企业和中小企业款项的情况，可通过如下渠道反映：</w:t>
      </w:r>
    </w:p>
    <w:p>
      <w:pPr>
        <w:spacing w:line="360" w:lineRule="auto"/>
        <w:ind w:firstLine="421"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一、中国南方航空股份有限公司综合保障部</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val="en-US" w:eastAsia="zh-CN"/>
        </w:rPr>
        <w:t>综保部办公室 薛莘文</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lang w:val="en-US" w:eastAsia="zh-CN"/>
        </w:rPr>
        <w:t>020-86134030</w:t>
      </w:r>
    </w:p>
    <w:p>
      <w:pPr>
        <w:spacing w:line="36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电子邮箱：</w:t>
      </w:r>
      <w:r>
        <w:rPr>
          <w:rFonts w:hint="eastAsia" w:ascii="仿宋" w:hAnsi="仿宋" w:eastAsia="仿宋" w:cs="仿宋"/>
          <w:color w:val="auto"/>
          <w:sz w:val="21"/>
          <w:szCs w:val="21"/>
          <w:highlight w:val="none"/>
          <w:lang w:val="en-US" w:eastAsia="zh-CN"/>
        </w:rPr>
        <w:t>xuesw@csair.com</w:t>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b/>
          <w:bCs/>
          <w:color w:val="auto"/>
          <w:sz w:val="21"/>
          <w:szCs w:val="21"/>
          <w:highlight w:val="none"/>
        </w:rPr>
        <w:t>二、中国南方航空集团有限公司/中国南方航空股份有限公司</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联系人：行政管理部 </w:t>
      </w:r>
      <w:r>
        <w:rPr>
          <w:rFonts w:hint="eastAsia" w:ascii="仿宋" w:hAnsi="仿宋" w:eastAsia="仿宋" w:cs="仿宋"/>
          <w:color w:val="auto"/>
          <w:sz w:val="21"/>
          <w:szCs w:val="21"/>
          <w:highlight w:val="none"/>
          <w:lang w:val="en-US" w:eastAsia="zh-CN"/>
        </w:rPr>
        <w:t>刘云波</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联系电话：020-86132223</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电子邮箱：</w:t>
      </w:r>
      <w:r>
        <w:rPr>
          <w:rFonts w:hint="eastAsia" w:ascii="仿宋" w:hAnsi="仿宋" w:eastAsia="仿宋" w:cs="仿宋"/>
          <w:color w:val="auto"/>
          <w:sz w:val="21"/>
          <w:szCs w:val="21"/>
          <w:highlight w:val="none"/>
          <w:lang w:val="en-US" w:eastAsia="zh-CN"/>
        </w:rPr>
        <w:fldChar w:fldCharType="begin"/>
      </w:r>
      <w:r>
        <w:rPr>
          <w:rFonts w:hint="eastAsia" w:ascii="仿宋" w:hAnsi="仿宋" w:eastAsia="仿宋" w:cs="仿宋"/>
          <w:color w:val="auto"/>
          <w:sz w:val="21"/>
          <w:szCs w:val="21"/>
          <w:highlight w:val="none"/>
          <w:lang w:val="en-US" w:eastAsia="zh-CN"/>
        </w:rPr>
        <w:instrText xml:space="preserve"> HYPERLINK "mailto:NHXF@csair.com" </w:instrText>
      </w:r>
      <w:r>
        <w:rPr>
          <w:rFonts w:hint="eastAsia" w:ascii="仿宋" w:hAnsi="仿宋" w:eastAsia="仿宋" w:cs="仿宋"/>
          <w:color w:val="auto"/>
          <w:sz w:val="21"/>
          <w:szCs w:val="21"/>
          <w:highlight w:val="none"/>
          <w:lang w:val="en-US" w:eastAsia="zh-CN"/>
        </w:rPr>
        <w:fldChar w:fldCharType="separate"/>
      </w:r>
      <w:r>
        <w:rPr>
          <w:rFonts w:hint="eastAsia" w:ascii="仿宋" w:hAnsi="仿宋" w:eastAsia="仿宋" w:cs="仿宋"/>
          <w:color w:val="auto"/>
          <w:sz w:val="21"/>
          <w:szCs w:val="21"/>
          <w:highlight w:val="none"/>
          <w:lang w:val="en-US" w:eastAsia="zh-CN"/>
        </w:rPr>
        <w:t>NHXF</w:t>
      </w:r>
      <w:r>
        <w:rPr>
          <w:rFonts w:hint="eastAsia" w:ascii="仿宋" w:hAnsi="仿宋" w:eastAsia="仿宋" w:cs="仿宋"/>
          <w:color w:val="auto"/>
          <w:sz w:val="21"/>
          <w:szCs w:val="21"/>
          <w:highlight w:val="none"/>
        </w:rPr>
        <w:t>@csair.com</w:t>
      </w:r>
      <w:bookmarkEnd w:id="410"/>
      <w:bookmarkEnd w:id="411"/>
      <w:bookmarkEnd w:id="412"/>
      <w:bookmarkEnd w:id="413"/>
      <w:bookmarkEnd w:id="414"/>
      <w:bookmarkEnd w:id="415"/>
      <w:bookmarkEnd w:id="416"/>
      <w:bookmarkEnd w:id="417"/>
    </w:p>
    <w:p>
      <w:pPr>
        <w:spacing w:line="240" w:lineRule="auto"/>
        <w:ind w:firstLine="0" w:firstLine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黑体_GBK" w:hAnsi="方正黑体_GBK" w:eastAsia="方正黑体_GBK" w:cs="方正黑体_GBK"/>
          <w:sz w:val="32"/>
          <w:szCs w:val="32"/>
          <w:highlight w:val="none"/>
          <w:lang w:val="en-US" w:eastAsia="zh-CN"/>
        </w:rPr>
      </w:pPr>
      <w:r>
        <w:rPr>
          <w:rStyle w:val="33"/>
          <w:rFonts w:hint="eastAsia" w:ascii="仿宋" w:hAnsi="仿宋" w:eastAsia="仿宋" w:cs="仿宋"/>
          <w:sz w:val="21"/>
          <w:szCs w:val="21"/>
          <w:lang w:bidi="ar"/>
        </w:rPr>
        <w:t>附件</w:t>
      </w:r>
      <w:r>
        <w:rPr>
          <w:rStyle w:val="33"/>
          <w:rFonts w:hint="eastAsia" w:ascii="仿宋" w:hAnsi="仿宋" w:eastAsia="仿宋" w:cs="仿宋"/>
          <w:sz w:val="21"/>
          <w:szCs w:val="21"/>
          <w:lang w:val="en-US" w:bidi="ar"/>
        </w:rPr>
        <w:t>7</w:t>
      </w:r>
      <w:r>
        <w:rPr>
          <w:rStyle w:val="33"/>
          <w:rFonts w:hint="eastAsia" w:ascii="仿宋" w:hAnsi="仿宋" w:eastAsia="仿宋" w:cs="仿宋"/>
          <w:sz w:val="21"/>
          <w:szCs w:val="21"/>
          <w:lang w:bidi="ar"/>
        </w:rPr>
        <w:t>：</w:t>
      </w:r>
      <w:r>
        <w:rPr>
          <w:rFonts w:hint="eastAsia" w:ascii="仿宋" w:hAnsi="仿宋" w:eastAsia="仿宋" w:cs="仿宋"/>
          <w:b/>
          <w:bCs/>
          <w:color w:val="0000FF"/>
          <w:kern w:val="44"/>
          <w:sz w:val="21"/>
          <w:szCs w:val="21"/>
          <w:highlight w:val="none"/>
          <w:lang w:val="en-US" w:eastAsia="zh-CN" w:bidi="ar"/>
        </w:rPr>
        <w:t>【</w:t>
      </w:r>
      <w:r>
        <w:rPr>
          <w:rFonts w:hint="eastAsia" w:ascii="仿宋" w:hAnsi="仿宋" w:eastAsia="仿宋" w:cs="仿宋"/>
          <w:b/>
          <w:bCs/>
          <w:color w:val="0000FF"/>
          <w:kern w:val="44"/>
          <w:sz w:val="21"/>
          <w:szCs w:val="21"/>
          <w:lang w:val="en-US" w:bidi="ar"/>
        </w:rPr>
        <w:t>注：</w:t>
      </w:r>
      <w:r>
        <w:rPr>
          <w:rFonts w:hint="eastAsia" w:ascii="仿宋" w:hAnsi="仿宋" w:eastAsia="仿宋" w:cs="仿宋"/>
          <w:b/>
          <w:bCs/>
          <w:color w:val="0000FF"/>
          <w:kern w:val="44"/>
          <w:sz w:val="21"/>
          <w:szCs w:val="21"/>
          <w:lang w:val="en-US" w:eastAsia="zh-CN" w:bidi="ar"/>
        </w:rPr>
        <w:t>1.</w:t>
      </w:r>
      <w:r>
        <w:rPr>
          <w:rFonts w:hint="eastAsia" w:ascii="仿宋" w:hAnsi="仿宋" w:eastAsia="仿宋" w:cs="仿宋"/>
          <w:b/>
          <w:bCs/>
          <w:color w:val="0000FF"/>
          <w:kern w:val="44"/>
          <w:sz w:val="21"/>
          <w:szCs w:val="21"/>
          <w:highlight w:val="none"/>
          <w:lang w:val="en-US" w:eastAsia="zh-CN" w:bidi="ar"/>
        </w:rPr>
        <w:t>我方为甲方；2.</w:t>
      </w:r>
      <w:r>
        <w:rPr>
          <w:rFonts w:hint="eastAsia" w:ascii="仿宋" w:hAnsi="仿宋" w:eastAsia="仿宋" w:cs="仿宋"/>
          <w:b/>
          <w:bCs/>
          <w:color w:val="0000FF"/>
          <w:kern w:val="44"/>
          <w:sz w:val="21"/>
          <w:szCs w:val="21"/>
          <w:highlight w:val="none"/>
          <w:lang w:bidi="ar"/>
        </w:rPr>
        <w:t>根据集团保密办通知要求统一设置，如有疑问，请咨询集团保密办</w:t>
      </w:r>
      <w:r>
        <w:rPr>
          <w:rFonts w:hint="eastAsia" w:ascii="仿宋" w:hAnsi="仿宋" w:eastAsia="仿宋" w:cs="仿宋"/>
          <w:b/>
          <w:bCs/>
          <w:color w:val="0000FF"/>
          <w:kern w:val="44"/>
          <w:sz w:val="21"/>
          <w:szCs w:val="21"/>
          <w:highlight w:val="none"/>
          <w:lang w:eastAsia="zh-CN" w:bidi="ar"/>
        </w:rPr>
        <w:t>。</w:t>
      </w:r>
      <w:r>
        <w:rPr>
          <w:rFonts w:hint="eastAsia" w:ascii="仿宋" w:hAnsi="仿宋" w:eastAsia="仿宋" w:cs="仿宋"/>
          <w:b/>
          <w:bCs/>
          <w:color w:val="0000FF"/>
          <w:kern w:val="44"/>
          <w:sz w:val="21"/>
          <w:szCs w:val="21"/>
          <w:highlight w:val="none"/>
          <w:lang w:val="en-US" w:eastAsia="zh-CN" w:bidi="ar"/>
        </w:rPr>
        <w:t>3.文件发出前</w:t>
      </w:r>
      <w:r>
        <w:rPr>
          <w:rFonts w:hint="eastAsia" w:ascii="仿宋" w:hAnsi="仿宋" w:eastAsia="仿宋" w:cs="仿宋"/>
          <w:b/>
          <w:bCs/>
          <w:color w:val="0000FF"/>
          <w:kern w:val="44"/>
          <w:sz w:val="21"/>
          <w:szCs w:val="21"/>
          <w:lang w:val="en-US" w:bidi="ar"/>
        </w:rPr>
        <w:t>请注意删除此处蓝字说明</w:t>
      </w:r>
      <w:r>
        <w:rPr>
          <w:rFonts w:hint="eastAsia" w:ascii="仿宋" w:hAnsi="仿宋" w:eastAsia="仿宋" w:cs="仿宋"/>
          <w:b/>
          <w:bCs/>
          <w:color w:val="0000FF"/>
          <w:kern w:val="44"/>
          <w:sz w:val="21"/>
          <w:szCs w:val="21"/>
          <w:highlight w:val="none"/>
          <w:lang w:val="en-US" w:eastAsia="zh-CN" w:bidi="ar"/>
        </w:rPr>
        <w:t xml:space="preserve">】 </w:t>
      </w:r>
    </w:p>
    <w:p>
      <w:pPr>
        <w:jc w:val="center"/>
        <w:rPr>
          <w:rFonts w:ascii="仿宋" w:hAnsi="仿宋" w:eastAsia="仿宋"/>
          <w:sz w:val="32"/>
          <w:szCs w:val="32"/>
          <w:highlight w:val="none"/>
        </w:rPr>
      </w:pPr>
    </w:p>
    <w:p>
      <w:pPr>
        <w:keepNext w:val="0"/>
        <w:keepLines w:val="0"/>
        <w:pageBreakBefore w:val="0"/>
        <w:widowControl w:val="0"/>
        <w:kinsoku/>
        <w:wordWrap/>
        <w:overflowPunct/>
        <w:topLinePunct w:val="0"/>
        <w:autoSpaceDE/>
        <w:autoSpaceDN/>
        <w:bidi w:val="0"/>
        <w:adjustRightInd/>
        <w:snapToGrid/>
        <w:spacing w:line="1000" w:lineRule="exact"/>
        <w:jc w:val="center"/>
        <w:textAlignment w:val="auto"/>
        <w:rPr>
          <w:rFonts w:hint="eastAsia" w:ascii="方正小标宋简体" w:hAnsi="方正小标宋简体" w:eastAsia="方正小标宋简体" w:cs="方正小标宋简体"/>
          <w:spacing w:val="113"/>
          <w:sz w:val="84"/>
          <w:szCs w:val="84"/>
          <w:highlight w:val="none"/>
        </w:rPr>
      </w:pPr>
    </w:p>
    <w:p>
      <w:pPr>
        <w:keepNext w:val="0"/>
        <w:keepLines w:val="0"/>
        <w:pageBreakBefore w:val="0"/>
        <w:widowControl w:val="0"/>
        <w:kinsoku/>
        <w:wordWrap/>
        <w:overflowPunct/>
        <w:topLinePunct w:val="0"/>
        <w:autoSpaceDE/>
        <w:autoSpaceDN/>
        <w:bidi w:val="0"/>
        <w:adjustRightInd/>
        <w:snapToGrid/>
        <w:spacing w:line="1000" w:lineRule="exact"/>
        <w:jc w:val="center"/>
        <w:textAlignment w:val="auto"/>
        <w:rPr>
          <w:rFonts w:hint="eastAsia" w:ascii="方正小标宋简体" w:hAnsi="方正小标宋简体" w:eastAsia="方正小标宋简体" w:cs="方正小标宋简体"/>
          <w:spacing w:val="113"/>
          <w:sz w:val="84"/>
          <w:szCs w:val="84"/>
          <w:highlight w:val="none"/>
        </w:rPr>
      </w:pPr>
    </w:p>
    <w:p>
      <w:pPr>
        <w:keepNext w:val="0"/>
        <w:keepLines w:val="0"/>
        <w:pageBreakBefore w:val="0"/>
        <w:widowControl w:val="0"/>
        <w:kinsoku/>
        <w:wordWrap/>
        <w:overflowPunct/>
        <w:topLinePunct w:val="0"/>
        <w:autoSpaceDE/>
        <w:autoSpaceDN/>
        <w:bidi w:val="0"/>
        <w:adjustRightInd/>
        <w:snapToGrid/>
        <w:spacing w:line="1000" w:lineRule="exact"/>
        <w:ind w:left="0" w:leftChars="0" w:firstLine="0" w:firstLineChars="0"/>
        <w:jc w:val="center"/>
        <w:textAlignment w:val="auto"/>
        <w:rPr>
          <w:rFonts w:hint="eastAsia" w:ascii="仿宋" w:hAnsi="仿宋" w:eastAsia="仿宋" w:cs="仿宋"/>
          <w:spacing w:val="113"/>
          <w:sz w:val="84"/>
          <w:szCs w:val="84"/>
          <w:highlight w:val="none"/>
        </w:rPr>
      </w:pPr>
      <w:r>
        <w:rPr>
          <w:rFonts w:hint="eastAsia" w:ascii="仿宋" w:hAnsi="仿宋" w:eastAsia="仿宋" w:cs="仿宋"/>
          <w:spacing w:val="113"/>
          <w:sz w:val="84"/>
          <w:szCs w:val="84"/>
          <w:highlight w:val="none"/>
        </w:rPr>
        <w:t>保密</w:t>
      </w:r>
      <w:r>
        <w:rPr>
          <w:rFonts w:hint="eastAsia" w:ascii="仿宋" w:hAnsi="仿宋" w:eastAsia="仿宋" w:cs="仿宋"/>
          <w:spacing w:val="113"/>
          <w:sz w:val="84"/>
          <w:szCs w:val="84"/>
          <w:highlight w:val="none"/>
          <w:lang w:val="en-US" w:eastAsia="zh-CN"/>
        </w:rPr>
        <w:t>协议</w:t>
      </w:r>
    </w:p>
    <w:p>
      <w:pPr>
        <w:jc w:val="center"/>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jc w:val="both"/>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jc w:val="center"/>
        <w:rPr>
          <w:rFonts w:hint="eastAsia" w:ascii="仿宋" w:hAnsi="仿宋" w:eastAsia="仿宋" w:cs="仿宋"/>
          <w:sz w:val="32"/>
          <w:szCs w:val="32"/>
          <w:highlight w:val="none"/>
        </w:rPr>
      </w:pP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jc w:val="center"/>
        <w:textAlignment w:val="baseline"/>
        <w:rPr>
          <w:rFonts w:hint="eastAsia" w:ascii="仿宋" w:hAnsi="仿宋" w:eastAsia="仿宋" w:cs="仿宋"/>
          <w:b/>
          <w:sz w:val="24"/>
          <w:highlight w:val="none"/>
          <w:u w:val="single"/>
          <w:lang w:val="en-US" w:eastAsia="zh-CN"/>
        </w:rPr>
      </w:pPr>
      <w:r>
        <w:rPr>
          <w:rFonts w:hint="eastAsia" w:ascii="仿宋" w:hAnsi="仿宋" w:eastAsia="仿宋" w:cs="仿宋"/>
          <w:b/>
          <w:sz w:val="24"/>
          <w:highlight w:val="none"/>
          <w:lang w:val="en-US" w:eastAsia="zh-CN"/>
        </w:rPr>
        <w:t>项目名称：</w:t>
      </w:r>
      <w:r>
        <w:rPr>
          <w:rFonts w:hint="eastAsia" w:ascii="仿宋" w:hAnsi="仿宋" w:eastAsia="仿宋" w:cs="仿宋"/>
          <w:b/>
          <w:sz w:val="24"/>
          <w:highlight w:val="none"/>
          <w:u w:val="single"/>
          <w:lang w:eastAsia="zh-CN"/>
        </w:rPr>
        <w:t>【】</w:t>
      </w:r>
    </w:p>
    <w:p>
      <w:pPr>
        <w:jc w:val="center"/>
        <w:rPr>
          <w:rFonts w:hint="eastAsia" w:ascii="仿宋" w:hAnsi="仿宋" w:eastAsia="仿宋" w:cs="仿宋"/>
          <w:sz w:val="32"/>
          <w:szCs w:val="32"/>
          <w:highlight w:val="none"/>
          <w:lang w:val="en-US" w:eastAsia="zh-CN"/>
        </w:rPr>
      </w:pPr>
    </w:p>
    <w:p>
      <w:pPr>
        <w:jc w:val="center"/>
        <w:rPr>
          <w:rFonts w:hint="eastAsia" w:ascii="仿宋" w:hAnsi="仿宋" w:eastAsia="仿宋" w:cs="仿宋"/>
          <w:sz w:val="32"/>
          <w:szCs w:val="32"/>
          <w:highlight w:val="none"/>
          <w:lang w:val="en-US" w:eastAsia="zh-CN"/>
        </w:rPr>
      </w:pP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仿宋" w:hAnsi="仿宋" w:eastAsia="仿宋" w:cs="仿宋"/>
          <w:b/>
          <w:sz w:val="24"/>
          <w:highlight w:val="none"/>
          <w:lang w:val="en-US" w:eastAsia="zh-CN"/>
        </w:rPr>
      </w:pPr>
      <w:r>
        <w:rPr>
          <w:rFonts w:hint="eastAsia" w:ascii="仿宋" w:hAnsi="仿宋" w:eastAsia="仿宋" w:cs="仿宋"/>
          <w:b/>
          <w:sz w:val="24"/>
          <w:highlight w:val="none"/>
        </w:rPr>
        <w:br w:type="page"/>
      </w:r>
      <w:r>
        <w:rPr>
          <w:rFonts w:hint="eastAsia" w:ascii="仿宋" w:hAnsi="仿宋" w:eastAsia="仿宋" w:cs="仿宋"/>
          <w:b/>
          <w:sz w:val="24"/>
          <w:highlight w:val="none"/>
        </w:rPr>
        <w:t>甲方：中国南方航空股份有限公司</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仿宋" w:hAnsi="仿宋" w:eastAsia="仿宋" w:cs="仿宋"/>
          <w:sz w:val="24"/>
          <w:highlight w:val="none"/>
          <w:lang w:val="zh-TW" w:eastAsia="zh-TW"/>
        </w:rPr>
      </w:pPr>
      <w:r>
        <w:rPr>
          <w:rFonts w:hint="eastAsia" w:ascii="仿宋" w:hAnsi="仿宋" w:eastAsia="仿宋" w:cs="仿宋"/>
          <w:sz w:val="24"/>
          <w:highlight w:val="none"/>
          <w:lang w:val="zh-TW" w:eastAsia="zh-TW"/>
        </w:rPr>
        <w:t>公司地址：</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仿宋" w:hAnsi="仿宋" w:eastAsia="仿宋" w:cs="仿宋"/>
          <w:b w:val="0"/>
          <w:sz w:val="24"/>
          <w:highlight w:val="none"/>
          <w:u w:val="none"/>
          <w:lang w:val="zh-TW" w:eastAsia="zh-TW"/>
        </w:rPr>
      </w:pPr>
      <w:r>
        <w:rPr>
          <w:rFonts w:hint="eastAsia" w:ascii="仿宋" w:hAnsi="仿宋" w:eastAsia="仿宋" w:cs="仿宋"/>
          <w:sz w:val="24"/>
          <w:highlight w:val="none"/>
          <w:lang w:val="zh-TW" w:eastAsia="zh-TW"/>
        </w:rPr>
        <w:t>法定代表人：</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仿宋" w:hAnsi="仿宋" w:eastAsia="仿宋" w:cs="仿宋"/>
          <w:b/>
          <w:sz w:val="24"/>
          <w:highlight w:val="none"/>
          <w:lang w:eastAsia="zh-TW"/>
        </w:rPr>
      </w:pP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仿宋" w:hAnsi="仿宋" w:eastAsia="仿宋" w:cs="仿宋"/>
          <w:b/>
          <w:sz w:val="24"/>
          <w:highlight w:val="none"/>
          <w:u w:val="single"/>
          <w:lang w:eastAsia="zh-TW"/>
        </w:rPr>
      </w:pPr>
      <w:r>
        <w:rPr>
          <w:rFonts w:hint="eastAsia" w:ascii="仿宋" w:hAnsi="仿宋" w:eastAsia="仿宋" w:cs="仿宋"/>
          <w:b/>
          <w:sz w:val="24"/>
          <w:highlight w:val="none"/>
          <w:lang w:eastAsia="zh-TW"/>
        </w:rPr>
        <w:t xml:space="preserve">乙方：                  </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公司</w:t>
      </w:r>
      <w:r>
        <w:rPr>
          <w:rFonts w:hint="eastAsia" w:ascii="仿宋" w:hAnsi="仿宋" w:eastAsia="仿宋" w:cs="仿宋"/>
          <w:sz w:val="24"/>
          <w:highlight w:val="none"/>
          <w:lang w:val="zh-TW" w:eastAsia="zh-TW"/>
        </w:rPr>
        <w:t>地址：</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仿宋" w:hAnsi="仿宋" w:eastAsia="仿宋" w:cs="仿宋"/>
          <w:sz w:val="24"/>
          <w:highlight w:val="none"/>
          <w:lang w:val="zh-TW" w:eastAsia="zh-TW"/>
        </w:rPr>
      </w:pPr>
      <w:r>
        <w:rPr>
          <w:rFonts w:hint="eastAsia" w:ascii="仿宋" w:hAnsi="仿宋" w:eastAsia="仿宋" w:cs="仿宋"/>
          <w:sz w:val="24"/>
          <w:highlight w:val="none"/>
          <w:lang w:val="zh-TW" w:eastAsia="zh-TW"/>
        </w:rPr>
        <w:t>法定代表人：</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仿宋" w:hAnsi="仿宋" w:eastAsia="仿宋" w:cs="仿宋"/>
          <w:sz w:val="24"/>
          <w:highlight w:val="none"/>
        </w:rPr>
      </w:pP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一、制定依据</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乙双方在合作交流过程中，可能接触或知悉对方未予公开的涉密信息及其载体。现为保护双方的权益，根据《中华人民共和国反垄断法》《中华人民共和国反不正当竞争法》等法律法规及合作双方关于商业秘密、工作秘密保护方面的相关规定，经充分协商一致，签订本协议。</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val="en-US" w:eastAsia="zh-TW"/>
        </w:rPr>
      </w:pPr>
      <w:r>
        <w:rPr>
          <w:rFonts w:hint="eastAsia" w:ascii="仿宋" w:hAnsi="仿宋" w:eastAsia="仿宋" w:cs="仿宋"/>
          <w:b/>
          <w:sz w:val="24"/>
          <w:highlight w:val="none"/>
          <w:lang w:val="en-US" w:eastAsia="zh-CN"/>
        </w:rPr>
        <w:t>二、涉</w:t>
      </w:r>
      <w:r>
        <w:rPr>
          <w:rFonts w:hint="eastAsia" w:ascii="仿宋" w:hAnsi="仿宋" w:eastAsia="仿宋" w:cs="仿宋"/>
          <w:b/>
          <w:sz w:val="24"/>
          <w:highlight w:val="none"/>
          <w:lang w:val="en-US" w:eastAsia="zh-TW"/>
        </w:rPr>
        <w:t>密信息的定义</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本协议所指的涉密信息是指不为公众所知悉、具有商业价值、实用价值的技术信息、经营信息等商业信息，属合作方的商业秘密，包括但不限于</w:t>
      </w:r>
      <w:r>
        <w:rPr>
          <w:rFonts w:hint="eastAsia" w:ascii="仿宋" w:hAnsi="仿宋" w:eastAsia="仿宋" w:cs="仿宋"/>
          <w:sz w:val="24"/>
          <w:szCs w:val="24"/>
          <w:highlight w:val="none"/>
        </w:rPr>
        <w:t>以下各项</w:t>
      </w:r>
      <w:r>
        <w:rPr>
          <w:rFonts w:hint="eastAsia" w:ascii="仿宋" w:hAnsi="仿宋" w:eastAsia="仿宋" w:cs="仿宋"/>
          <w:sz w:val="24"/>
          <w:szCs w:val="24"/>
          <w:highlight w:val="none"/>
          <w:lang w:val="en-US" w:eastAsia="zh-CN"/>
        </w:rPr>
        <w:t>：（1）战略规划、管理方法、商业模式、改制上市、并购重组、产权交易、财务信息、投融资决策、产购销策略、资源储备、客户信息、招投标事项等经营信息。（2）设计、程序、产品配方、制作工艺、制作方法、技术诀窍等技术信息。（3）涉及公司生产经营中的关键及核心数据信息。</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任何含有或源于其他</w:t>
      </w:r>
      <w:r>
        <w:rPr>
          <w:rFonts w:hint="eastAsia" w:ascii="仿宋" w:hAnsi="仿宋" w:eastAsia="仿宋" w:cs="仿宋"/>
          <w:sz w:val="24"/>
          <w:szCs w:val="24"/>
          <w:highlight w:val="none"/>
          <w:lang w:val="en-US" w:eastAsia="zh-CN"/>
        </w:rPr>
        <w:t>涉</w:t>
      </w:r>
      <w:r>
        <w:rPr>
          <w:rFonts w:hint="eastAsia" w:ascii="仿宋" w:hAnsi="仿宋" w:eastAsia="仿宋" w:cs="仿宋"/>
          <w:sz w:val="24"/>
          <w:szCs w:val="24"/>
          <w:highlight w:val="none"/>
        </w:rPr>
        <w:t>密信息的材料和信息，</w:t>
      </w:r>
      <w:r>
        <w:rPr>
          <w:rFonts w:hint="eastAsia" w:ascii="仿宋" w:hAnsi="仿宋" w:eastAsia="仿宋" w:cs="仿宋"/>
          <w:sz w:val="24"/>
          <w:szCs w:val="24"/>
          <w:highlight w:val="none"/>
          <w:lang w:val="en-US" w:eastAsia="zh-CN"/>
        </w:rPr>
        <w:t>或</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涉</w:t>
      </w:r>
      <w:r>
        <w:rPr>
          <w:rFonts w:hint="eastAsia" w:ascii="仿宋" w:hAnsi="仿宋" w:eastAsia="仿宋" w:cs="仿宋"/>
          <w:sz w:val="24"/>
          <w:szCs w:val="24"/>
          <w:highlight w:val="none"/>
        </w:rPr>
        <w:t>密信息基础上加工处理后形成的</w:t>
      </w:r>
      <w:r>
        <w:rPr>
          <w:rFonts w:hint="eastAsia" w:ascii="仿宋" w:hAnsi="仿宋" w:eastAsia="仿宋" w:cs="仿宋"/>
          <w:sz w:val="24"/>
          <w:szCs w:val="24"/>
          <w:highlight w:val="none"/>
          <w:lang w:val="en-US" w:eastAsia="zh-CN"/>
        </w:rPr>
        <w:t>材料和</w:t>
      </w:r>
      <w:r>
        <w:rPr>
          <w:rFonts w:hint="eastAsia" w:ascii="仿宋" w:hAnsi="仿宋" w:eastAsia="仿宋" w:cs="仿宋"/>
          <w:sz w:val="24"/>
          <w:szCs w:val="24"/>
          <w:highlight w:val="none"/>
        </w:rPr>
        <w:t>信息。（</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）其他根据法律规定属于商业秘密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工作秘密</w:t>
      </w:r>
      <w:r>
        <w:rPr>
          <w:rFonts w:hint="eastAsia" w:ascii="仿宋" w:hAnsi="仿宋" w:eastAsia="仿宋" w:cs="仿宋"/>
          <w:sz w:val="24"/>
          <w:szCs w:val="24"/>
          <w:highlight w:val="none"/>
        </w:rPr>
        <w:t>的信息。</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如涉及国家秘密信息则严格按照国家法律法规要求办理。</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eastAsia="zh-TW"/>
        </w:rPr>
      </w:pPr>
      <w:r>
        <w:rPr>
          <w:rFonts w:hint="eastAsia" w:ascii="仿宋" w:hAnsi="仿宋" w:eastAsia="仿宋" w:cs="仿宋"/>
          <w:b/>
          <w:sz w:val="24"/>
          <w:highlight w:val="none"/>
          <w:lang w:val="en-US" w:eastAsia="zh-CN"/>
        </w:rPr>
        <w:t>三、涉</w:t>
      </w:r>
      <w:r>
        <w:rPr>
          <w:rFonts w:hint="eastAsia" w:ascii="仿宋" w:hAnsi="仿宋" w:eastAsia="仿宋" w:cs="仿宋"/>
          <w:b/>
          <w:sz w:val="24"/>
          <w:highlight w:val="none"/>
          <w:lang w:eastAsia="zh-TW"/>
        </w:rPr>
        <w:t>密信息的</w:t>
      </w:r>
      <w:r>
        <w:rPr>
          <w:rFonts w:hint="eastAsia" w:ascii="仿宋" w:hAnsi="仿宋" w:eastAsia="仿宋" w:cs="仿宋"/>
          <w:b/>
          <w:sz w:val="24"/>
          <w:highlight w:val="none"/>
          <w:lang w:val="en-US" w:eastAsia="zh-CN"/>
        </w:rPr>
        <w:t>提供</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作双方在提供涉密信息前，须签订本保密协议，明确双方的保密权利义务及违约责任。由合作双方指定专人负责涉密信息的提供及保管，并做好交接记录。记录时要对涉密信息的明显特征做好登记，如涉密信息的标题、编号、数量、页数、提供日期等。</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eastAsia="zh-TW"/>
        </w:rPr>
      </w:pPr>
      <w:r>
        <w:rPr>
          <w:rFonts w:hint="eastAsia" w:ascii="仿宋" w:hAnsi="仿宋" w:eastAsia="仿宋" w:cs="仿宋"/>
          <w:b/>
          <w:sz w:val="24"/>
          <w:highlight w:val="none"/>
          <w:lang w:val="en-US" w:eastAsia="zh-CN"/>
        </w:rPr>
        <w:t>四、</w:t>
      </w:r>
      <w:r>
        <w:rPr>
          <w:rFonts w:hint="eastAsia" w:ascii="仿宋" w:hAnsi="仿宋" w:eastAsia="仿宋" w:cs="仿宋"/>
          <w:b/>
          <w:sz w:val="24"/>
          <w:highlight w:val="none"/>
          <w:lang w:eastAsia="zh-CN"/>
        </w:rPr>
        <w:t>涉密信息</w:t>
      </w:r>
      <w:r>
        <w:rPr>
          <w:rFonts w:hint="eastAsia" w:ascii="仿宋" w:hAnsi="仿宋" w:eastAsia="仿宋" w:cs="仿宋"/>
          <w:b/>
          <w:sz w:val="24"/>
          <w:highlight w:val="none"/>
          <w:lang w:eastAsia="zh-TW"/>
        </w:rPr>
        <w:t>的使用</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未经书面同意，</w:t>
      </w:r>
      <w:r>
        <w:rPr>
          <w:rFonts w:hint="eastAsia" w:ascii="仿宋" w:hAnsi="仿宋" w:eastAsia="仿宋" w:cs="仿宋"/>
          <w:sz w:val="24"/>
          <w:szCs w:val="24"/>
          <w:highlight w:val="none"/>
          <w:lang w:val="en-US" w:eastAsia="zh-CN"/>
        </w:rPr>
        <w:t>乙方严禁擅自复制、留存甲方提供的涉密信息。</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2.乙方应向甲方提供涉密信息的知悉人员名单，知悉人员范围增加或变更须经甲方同意，无特殊情况不得擅自突破名单范围。</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3.获取合作方的涉密信息仅限于本次合作项目使用，不得用于其他用途或被无关人员知悉。</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4.获取的涉密信息应存放在安全的场所，妥善保管。</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eastAsia="zh-TW"/>
        </w:rPr>
      </w:pPr>
      <w:r>
        <w:rPr>
          <w:rFonts w:hint="eastAsia" w:ascii="仿宋" w:hAnsi="仿宋" w:eastAsia="仿宋" w:cs="仿宋"/>
          <w:b/>
          <w:sz w:val="24"/>
          <w:highlight w:val="none"/>
          <w:lang w:val="en-US" w:eastAsia="zh-CN"/>
        </w:rPr>
        <w:t>五、</w:t>
      </w:r>
      <w:r>
        <w:rPr>
          <w:rFonts w:hint="eastAsia" w:ascii="仿宋" w:hAnsi="仿宋" w:eastAsia="仿宋" w:cs="仿宋"/>
          <w:b/>
          <w:sz w:val="24"/>
          <w:highlight w:val="none"/>
          <w:lang w:eastAsia="zh-CN"/>
        </w:rPr>
        <w:t>涉密信息</w:t>
      </w:r>
      <w:r>
        <w:rPr>
          <w:rFonts w:hint="eastAsia" w:ascii="仿宋" w:hAnsi="仿宋" w:eastAsia="仿宋" w:cs="仿宋"/>
          <w:b/>
          <w:sz w:val="24"/>
          <w:highlight w:val="none"/>
          <w:lang w:eastAsia="zh-TW"/>
        </w:rPr>
        <w:t>的归还</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双方合作结束或终止后，应于十个工作日内，指定专人交接回收涉密信息，并在登记本中逐条核销，登记本交予所在单位保密部门留存备查。</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六、涉密工作成果的保护</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b/>
          <w:sz w:val="24"/>
          <w:highlight w:val="none"/>
          <w:lang w:val="en-US" w:eastAsia="zh-CN"/>
        </w:rPr>
      </w:pPr>
      <w:r>
        <w:rPr>
          <w:rFonts w:hint="eastAsia" w:ascii="仿宋" w:hAnsi="仿宋" w:eastAsia="仿宋" w:cs="仿宋"/>
          <w:sz w:val="24"/>
          <w:szCs w:val="24"/>
          <w:highlight w:val="none"/>
          <w:lang w:val="en-US" w:eastAsia="zh-CN"/>
        </w:rPr>
        <w:t>合作结束后，因使用涉密信息而产生的工作成果或该工作成果涉及涉密信息，在所依据的涉密信息解密前，乙方要严守保密规定，不得以任何形式泄露或对外公开涉密工作成果。</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eastAsia="zh-TW"/>
        </w:rPr>
      </w:pPr>
      <w:r>
        <w:rPr>
          <w:rFonts w:hint="eastAsia" w:ascii="仿宋" w:hAnsi="仿宋" w:eastAsia="仿宋" w:cs="仿宋"/>
          <w:b/>
          <w:sz w:val="24"/>
          <w:highlight w:val="none"/>
          <w:lang w:val="en-US" w:eastAsia="zh-CN"/>
        </w:rPr>
        <w:t>七、义务</w:t>
      </w:r>
      <w:r>
        <w:rPr>
          <w:rFonts w:hint="eastAsia" w:ascii="仿宋" w:hAnsi="仿宋" w:eastAsia="仿宋" w:cs="仿宋"/>
          <w:b/>
          <w:sz w:val="24"/>
          <w:highlight w:val="none"/>
          <w:lang w:eastAsia="zh-TW"/>
        </w:rPr>
        <w:t xml:space="preserve"> </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应</w:t>
      </w:r>
      <w:r>
        <w:rPr>
          <w:rFonts w:hint="eastAsia" w:ascii="仿宋" w:hAnsi="仿宋" w:eastAsia="仿宋" w:cs="仿宋"/>
          <w:sz w:val="24"/>
          <w:szCs w:val="24"/>
          <w:highlight w:val="none"/>
          <w:lang w:val="en-US" w:eastAsia="zh-CN"/>
        </w:rPr>
        <w:t>督促涉密信息知悉人员严格</w:t>
      </w:r>
      <w:r>
        <w:rPr>
          <w:rFonts w:hint="eastAsia" w:ascii="仿宋" w:hAnsi="仿宋" w:eastAsia="仿宋" w:cs="仿宋"/>
          <w:sz w:val="24"/>
          <w:szCs w:val="24"/>
          <w:highlight w:val="none"/>
        </w:rPr>
        <w:t>遵守本协议的条款，</w:t>
      </w:r>
      <w:r>
        <w:rPr>
          <w:rFonts w:hint="eastAsia" w:ascii="仿宋" w:hAnsi="仿宋" w:eastAsia="仿宋" w:cs="仿宋"/>
          <w:sz w:val="24"/>
          <w:szCs w:val="24"/>
          <w:highlight w:val="none"/>
          <w:lang w:val="en-US" w:eastAsia="zh-CN"/>
        </w:rPr>
        <w:t>如有人员</w:t>
      </w:r>
      <w:r>
        <w:rPr>
          <w:rFonts w:hint="eastAsia" w:ascii="仿宋" w:hAnsi="仿宋" w:eastAsia="仿宋" w:cs="仿宋"/>
          <w:sz w:val="24"/>
          <w:szCs w:val="24"/>
          <w:highlight w:val="none"/>
        </w:rPr>
        <w:t>违反本协议，无论故意或过失，</w:t>
      </w:r>
      <w:r>
        <w:rPr>
          <w:rFonts w:hint="eastAsia" w:ascii="仿宋" w:hAnsi="仿宋" w:eastAsia="仿宋" w:cs="仿宋"/>
          <w:sz w:val="24"/>
          <w:szCs w:val="24"/>
          <w:highlight w:val="none"/>
          <w:lang w:val="en-US" w:eastAsia="zh-CN"/>
        </w:rPr>
        <w:t>应立即</w:t>
      </w:r>
      <w:r>
        <w:rPr>
          <w:rFonts w:hint="eastAsia" w:ascii="仿宋" w:hAnsi="仿宋" w:eastAsia="仿宋" w:cs="仿宋"/>
          <w:sz w:val="24"/>
          <w:szCs w:val="24"/>
          <w:highlight w:val="none"/>
        </w:rPr>
        <w:t>采取</w:t>
      </w:r>
      <w:r>
        <w:rPr>
          <w:rFonts w:hint="eastAsia" w:ascii="仿宋" w:hAnsi="仿宋" w:eastAsia="仿宋" w:cs="仿宋"/>
          <w:sz w:val="24"/>
          <w:szCs w:val="24"/>
          <w:highlight w:val="none"/>
          <w:lang w:val="en-US" w:eastAsia="zh-CN"/>
        </w:rPr>
        <w:t>有效</w:t>
      </w:r>
      <w:r>
        <w:rPr>
          <w:rFonts w:hint="eastAsia" w:ascii="仿宋" w:hAnsi="仿宋" w:eastAsia="仿宋" w:cs="仿宋"/>
          <w:sz w:val="24"/>
          <w:szCs w:val="24"/>
          <w:highlight w:val="none"/>
        </w:rPr>
        <w:t>措施制止正在发生的违约行为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并立即</w:t>
      </w:r>
      <w:r>
        <w:rPr>
          <w:rFonts w:hint="eastAsia" w:ascii="仿宋" w:hAnsi="仿宋" w:eastAsia="仿宋" w:cs="仿宋"/>
          <w:sz w:val="24"/>
          <w:szCs w:val="24"/>
          <w:highlight w:val="none"/>
        </w:rPr>
        <w:t>将</w:t>
      </w:r>
      <w:r>
        <w:rPr>
          <w:rFonts w:hint="eastAsia" w:ascii="仿宋" w:hAnsi="仿宋" w:eastAsia="仿宋" w:cs="仿宋"/>
          <w:sz w:val="24"/>
          <w:szCs w:val="24"/>
          <w:highlight w:val="none"/>
          <w:lang w:val="en-US" w:eastAsia="zh-CN"/>
        </w:rPr>
        <w:t>相关情况</w:t>
      </w:r>
      <w:r>
        <w:rPr>
          <w:rFonts w:hint="eastAsia" w:ascii="仿宋" w:hAnsi="仿宋" w:eastAsia="仿宋" w:cs="仿宋"/>
          <w:sz w:val="24"/>
          <w:szCs w:val="24"/>
          <w:highlight w:val="none"/>
        </w:rPr>
        <w:t>通知</w:t>
      </w:r>
      <w:r>
        <w:rPr>
          <w:rFonts w:hint="eastAsia" w:ascii="仿宋" w:hAnsi="仿宋" w:eastAsia="仿宋" w:cs="仿宋"/>
          <w:sz w:val="24"/>
          <w:szCs w:val="24"/>
          <w:highlight w:val="none"/>
          <w:lang w:val="en-US" w:eastAsia="zh-CN"/>
        </w:rPr>
        <w:t>甲方，防范扩散风险</w:t>
      </w:r>
      <w:r>
        <w:rPr>
          <w:rFonts w:hint="eastAsia" w:ascii="仿宋" w:hAnsi="仿宋" w:eastAsia="仿宋" w:cs="仿宋"/>
          <w:sz w:val="24"/>
          <w:szCs w:val="24"/>
          <w:highlight w:val="none"/>
        </w:rPr>
        <w:t>。</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val="en-US" w:eastAsia="zh-TW"/>
        </w:rPr>
      </w:pPr>
      <w:r>
        <w:rPr>
          <w:rFonts w:hint="eastAsia" w:ascii="仿宋" w:hAnsi="仿宋" w:eastAsia="仿宋" w:cs="仿宋"/>
          <w:b/>
          <w:sz w:val="24"/>
          <w:highlight w:val="none"/>
          <w:lang w:val="en-US" w:eastAsia="zh-CN"/>
        </w:rPr>
        <w:t>八、违约责任</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违反</w:t>
      </w:r>
      <w:r>
        <w:rPr>
          <w:rFonts w:hint="eastAsia" w:ascii="仿宋" w:hAnsi="仿宋" w:eastAsia="仿宋" w:cs="仿宋"/>
          <w:sz w:val="24"/>
          <w:szCs w:val="24"/>
          <w:highlight w:val="none"/>
          <w:lang w:val="en-US" w:eastAsia="zh-CN"/>
        </w:rPr>
        <w:t>本协议条款造成泄密或潜在泄密后果的</w:t>
      </w:r>
      <w:r>
        <w:rPr>
          <w:rFonts w:hint="eastAsia" w:ascii="仿宋" w:hAnsi="仿宋" w:eastAsia="仿宋" w:cs="仿宋"/>
          <w:sz w:val="24"/>
          <w:szCs w:val="24"/>
          <w:highlight w:val="none"/>
        </w:rPr>
        <w:t>，由违</w:t>
      </w:r>
      <w:r>
        <w:rPr>
          <w:rFonts w:hint="eastAsia" w:ascii="仿宋" w:hAnsi="仿宋" w:eastAsia="仿宋" w:cs="仿宋"/>
          <w:sz w:val="24"/>
          <w:szCs w:val="24"/>
          <w:highlight w:val="none"/>
          <w:lang w:val="en-US" w:eastAsia="zh-CN"/>
        </w:rPr>
        <w:t>约</w:t>
      </w:r>
      <w:r>
        <w:rPr>
          <w:rFonts w:hint="eastAsia" w:ascii="仿宋" w:hAnsi="仿宋" w:eastAsia="仿宋" w:cs="仿宋"/>
          <w:sz w:val="24"/>
          <w:szCs w:val="24"/>
          <w:highlight w:val="none"/>
        </w:rPr>
        <w:t>方承担赔偿责任</w:t>
      </w:r>
      <w:r>
        <w:rPr>
          <w:rFonts w:hint="eastAsia" w:ascii="仿宋" w:hAnsi="仿宋" w:eastAsia="仿宋" w:cs="仿宋"/>
          <w:sz w:val="24"/>
          <w:szCs w:val="24"/>
          <w:highlight w:val="none"/>
          <w:lang w:val="en-US" w:eastAsia="zh-CN"/>
        </w:rPr>
        <w:t>，造成重大经济损失的，应赔偿全部损失，并保留对后续潜在后果追究法律责任的权利。</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eastAsia="zh-TW"/>
        </w:rPr>
      </w:pPr>
      <w:r>
        <w:rPr>
          <w:rFonts w:hint="eastAsia" w:ascii="仿宋" w:hAnsi="仿宋" w:eastAsia="仿宋" w:cs="仿宋"/>
          <w:b/>
          <w:sz w:val="24"/>
          <w:highlight w:val="none"/>
          <w:lang w:val="en-US" w:eastAsia="zh-CN"/>
        </w:rPr>
        <w:t>九、后续保密责任</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双方</w:t>
      </w:r>
      <w:r>
        <w:rPr>
          <w:rFonts w:hint="eastAsia" w:ascii="仿宋" w:hAnsi="仿宋" w:eastAsia="仿宋" w:cs="仿宋"/>
          <w:sz w:val="24"/>
          <w:szCs w:val="24"/>
          <w:highlight w:val="none"/>
          <w:lang w:val="en-US" w:eastAsia="zh-CN"/>
        </w:rPr>
        <w:t>合作结束或</w:t>
      </w:r>
      <w:r>
        <w:rPr>
          <w:rFonts w:hint="eastAsia" w:ascii="仿宋" w:hAnsi="仿宋" w:eastAsia="仿宋" w:cs="仿宋"/>
          <w:sz w:val="24"/>
          <w:szCs w:val="24"/>
          <w:highlight w:val="none"/>
          <w:lang w:val="zh-CN"/>
        </w:rPr>
        <w:t>终止，</w:t>
      </w:r>
      <w:r>
        <w:rPr>
          <w:rFonts w:hint="eastAsia" w:ascii="仿宋" w:hAnsi="仿宋" w:eastAsia="仿宋" w:cs="仿宋"/>
          <w:sz w:val="24"/>
          <w:szCs w:val="24"/>
          <w:highlight w:val="none"/>
          <w:lang w:val="en-US" w:eastAsia="zh-CN"/>
        </w:rPr>
        <w:t>在上述涉密信息解密前，乙方</w:t>
      </w:r>
      <w:r>
        <w:rPr>
          <w:rFonts w:hint="eastAsia" w:ascii="仿宋" w:hAnsi="仿宋" w:eastAsia="仿宋" w:cs="仿宋"/>
          <w:sz w:val="24"/>
          <w:szCs w:val="24"/>
          <w:highlight w:val="none"/>
          <w:lang w:val="zh-CN"/>
        </w:rPr>
        <w:t>仍</w:t>
      </w:r>
      <w:r>
        <w:rPr>
          <w:rFonts w:hint="eastAsia" w:ascii="仿宋" w:hAnsi="仿宋" w:eastAsia="仿宋" w:cs="仿宋"/>
          <w:sz w:val="24"/>
          <w:szCs w:val="24"/>
          <w:highlight w:val="none"/>
          <w:lang w:val="en-US" w:eastAsia="zh-CN"/>
        </w:rPr>
        <w:t>需遵守本保密协议条款，履行保密责任和义务。</w:t>
      </w:r>
    </w:p>
    <w:p>
      <w:pPr>
        <w:keepNext w:val="0"/>
        <w:keepLines w:val="0"/>
        <w:pageBreakBefore w:val="0"/>
        <w:kinsoku/>
        <w:wordWrap/>
        <w:overflowPunct/>
        <w:topLinePunct w:val="0"/>
        <w:autoSpaceDE/>
        <w:autoSpaceDN/>
        <w:bidi w:val="0"/>
        <w:adjustRightInd w:val="0"/>
        <w:snapToGrid/>
        <w:spacing w:line="560" w:lineRule="exact"/>
        <w:ind w:left="0" w:leftChars="0" w:firstLine="481" w:firstLineChars="200"/>
        <w:textAlignment w:val="baseline"/>
        <w:rPr>
          <w:rFonts w:hint="eastAsia" w:ascii="仿宋" w:hAnsi="仿宋" w:eastAsia="仿宋" w:cs="仿宋"/>
          <w:b/>
          <w:sz w:val="24"/>
          <w:highlight w:val="none"/>
          <w:lang w:eastAsia="zh-TW"/>
        </w:rPr>
      </w:pPr>
      <w:r>
        <w:rPr>
          <w:rFonts w:hint="eastAsia" w:ascii="仿宋" w:hAnsi="仿宋" w:eastAsia="仿宋" w:cs="仿宋"/>
          <w:b/>
          <w:sz w:val="24"/>
          <w:highlight w:val="none"/>
          <w:lang w:val="en-US" w:eastAsia="zh-CN"/>
        </w:rPr>
        <w:t>十、</w:t>
      </w:r>
      <w:r>
        <w:rPr>
          <w:rFonts w:hint="eastAsia" w:ascii="仿宋" w:hAnsi="仿宋" w:eastAsia="仿宋" w:cs="仿宋"/>
          <w:b/>
          <w:sz w:val="24"/>
          <w:highlight w:val="none"/>
          <w:lang w:eastAsia="zh-TW"/>
        </w:rPr>
        <w:t xml:space="preserve">争议解决 </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任何由本协议引起的或与本协议相关的争议应通过双方友好协商解决。如</w:t>
      </w:r>
      <w:r>
        <w:rPr>
          <w:rFonts w:hint="eastAsia" w:ascii="仿宋" w:hAnsi="仿宋" w:eastAsia="仿宋" w:cs="仿宋"/>
          <w:sz w:val="24"/>
          <w:szCs w:val="24"/>
          <w:highlight w:val="none"/>
          <w:lang w:val="en-US" w:eastAsia="zh-CN"/>
        </w:rPr>
        <w:t>无法</w:t>
      </w:r>
      <w:r>
        <w:rPr>
          <w:rFonts w:hint="eastAsia" w:ascii="仿宋" w:hAnsi="仿宋" w:eastAsia="仿宋" w:cs="仿宋"/>
          <w:sz w:val="24"/>
          <w:szCs w:val="24"/>
          <w:highlight w:val="none"/>
        </w:rPr>
        <w:t>协商</w:t>
      </w:r>
      <w:r>
        <w:rPr>
          <w:rFonts w:hint="eastAsia" w:ascii="仿宋" w:hAnsi="仿宋" w:eastAsia="仿宋" w:cs="仿宋"/>
          <w:sz w:val="24"/>
          <w:szCs w:val="24"/>
          <w:highlight w:val="none"/>
          <w:lang w:val="en-US" w:eastAsia="zh-CN"/>
        </w:rPr>
        <w:t>一致</w:t>
      </w:r>
      <w:r>
        <w:rPr>
          <w:rFonts w:hint="eastAsia" w:ascii="仿宋" w:hAnsi="仿宋" w:eastAsia="仿宋" w:cs="仿宋"/>
          <w:sz w:val="24"/>
          <w:szCs w:val="24"/>
          <w:highlight w:val="none"/>
        </w:rPr>
        <w:t>，任何一方可以</w:t>
      </w:r>
      <w:r>
        <w:rPr>
          <w:rFonts w:hint="eastAsia" w:ascii="仿宋" w:hAnsi="仿宋" w:eastAsia="仿宋" w:cs="仿宋"/>
          <w:sz w:val="24"/>
          <w:szCs w:val="24"/>
          <w:highlight w:val="none"/>
          <w:lang w:val="en-US" w:eastAsia="zh-CN"/>
        </w:rPr>
        <w:t>向</w:t>
      </w:r>
      <w:r>
        <w:rPr>
          <w:rFonts w:hint="eastAsia" w:ascii="仿宋" w:hAnsi="仿宋" w:eastAsia="仿宋" w:cs="仿宋"/>
          <w:sz w:val="24"/>
          <w:szCs w:val="24"/>
          <w:highlight w:val="none"/>
          <w:u w:val="single"/>
          <w:lang w:val="en-US" w:eastAsia="zh-CN"/>
        </w:rPr>
        <w:t>甲方所在地有管辖权的人民法院</w:t>
      </w:r>
      <w:r>
        <w:rPr>
          <w:rFonts w:hint="eastAsia" w:ascii="仿宋" w:hAnsi="仿宋" w:eastAsia="仿宋" w:cs="仿宋"/>
          <w:sz w:val="24"/>
          <w:szCs w:val="24"/>
          <w:highlight w:val="none"/>
          <w:lang w:val="en-US" w:eastAsia="zh-CN"/>
        </w:rPr>
        <w:t>提起诉讼</w:t>
      </w:r>
      <w:r>
        <w:rPr>
          <w:rFonts w:hint="eastAsia" w:ascii="仿宋" w:hAnsi="仿宋" w:eastAsia="仿宋" w:cs="仿宋"/>
          <w:sz w:val="24"/>
          <w:szCs w:val="24"/>
          <w:highlight w:val="none"/>
        </w:rPr>
        <w:t>。</w:t>
      </w:r>
    </w:p>
    <w:p>
      <w:pPr>
        <w:keepNext w:val="0"/>
        <w:keepLines w:val="0"/>
        <w:pageBreakBefore w:val="0"/>
        <w:numPr>
          <w:ilvl w:val="0"/>
          <w:numId w:val="0"/>
        </w:numPr>
        <w:kinsoku/>
        <w:wordWrap/>
        <w:overflowPunct/>
        <w:topLinePunct w:val="0"/>
        <w:autoSpaceDE/>
        <w:autoSpaceDN/>
        <w:bidi w:val="0"/>
        <w:adjustRightInd w:val="0"/>
        <w:snapToGrid/>
        <w:spacing w:line="560" w:lineRule="exact"/>
        <w:ind w:left="420" w:leftChars="200" w:firstLine="0" w:firstLineChars="0"/>
        <w:textAlignment w:val="baseline"/>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十一、补充协议</w:t>
      </w:r>
    </w:p>
    <w:p>
      <w:pPr>
        <w:keepNext w:val="0"/>
        <w:keepLines w:val="0"/>
        <w:pageBreakBefore w:val="0"/>
        <w:numPr>
          <w:ilvl w:val="0"/>
          <w:numId w:val="0"/>
        </w:numPr>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本协议未尽事宜，经双方协商后以补充协议形式确定，补充协议和附件与本协议具有同等效力。</w:t>
      </w:r>
    </w:p>
    <w:p>
      <w:pPr>
        <w:keepNext w:val="0"/>
        <w:keepLines w:val="0"/>
        <w:pageBreakBefore w:val="0"/>
        <w:numPr>
          <w:ilvl w:val="0"/>
          <w:numId w:val="0"/>
        </w:numPr>
        <w:kinsoku/>
        <w:wordWrap/>
        <w:overflowPunct/>
        <w:topLinePunct w:val="0"/>
        <w:autoSpaceDE/>
        <w:autoSpaceDN/>
        <w:bidi w:val="0"/>
        <w:adjustRightInd w:val="0"/>
        <w:snapToGrid/>
        <w:spacing w:line="560" w:lineRule="exact"/>
        <w:ind w:left="0" w:leftChars="0" w:firstLine="481" w:firstLineChars="0"/>
        <w:textAlignment w:val="baseline"/>
        <w:rPr>
          <w:rFonts w:hint="eastAsia" w:ascii="仿宋" w:hAnsi="仿宋" w:eastAsia="仿宋" w:cs="仿宋"/>
          <w:b/>
          <w:sz w:val="24"/>
          <w:highlight w:val="none"/>
          <w:lang w:eastAsia="zh-TW"/>
        </w:rPr>
      </w:pPr>
      <w:r>
        <w:rPr>
          <w:rFonts w:hint="eastAsia" w:ascii="仿宋" w:hAnsi="仿宋" w:eastAsia="仿宋" w:cs="仿宋"/>
          <w:b/>
          <w:sz w:val="24"/>
          <w:highlight w:val="none"/>
          <w:lang w:val="en-US" w:eastAsia="zh-CN"/>
        </w:rPr>
        <w:t>十二、附则</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仿宋" w:hAnsi="仿宋" w:eastAsia="仿宋" w:cs="仿宋"/>
          <w:sz w:val="28"/>
          <w:szCs w:val="28"/>
          <w:highlight w:val="none"/>
        </w:rPr>
      </w:pPr>
      <w:r>
        <w:rPr>
          <w:rFonts w:hint="eastAsia" w:ascii="仿宋" w:hAnsi="仿宋" w:eastAsia="仿宋" w:cs="仿宋"/>
          <w:sz w:val="24"/>
          <w:szCs w:val="24"/>
          <w:highlight w:val="none"/>
        </w:rPr>
        <w:t>本协议一式</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份，</w:t>
      </w:r>
      <w:r>
        <w:rPr>
          <w:rFonts w:hint="eastAsia" w:ascii="仿宋" w:hAnsi="仿宋" w:eastAsia="仿宋" w:cs="仿宋"/>
          <w:sz w:val="24"/>
          <w:szCs w:val="24"/>
          <w:highlight w:val="none"/>
          <w:lang w:val="en-US" w:eastAsia="zh-CN"/>
        </w:rPr>
        <w:t>双方各执【】份，具有同等法律效力，</w:t>
      </w:r>
      <w:r>
        <w:rPr>
          <w:rFonts w:hint="eastAsia" w:ascii="仿宋" w:hAnsi="仿宋" w:eastAsia="仿宋" w:cs="仿宋"/>
          <w:sz w:val="24"/>
          <w:szCs w:val="24"/>
          <w:highlight w:val="none"/>
        </w:rPr>
        <w:t>由双方盖章及授权代表签字后正式生效。</w:t>
      </w:r>
    </w:p>
    <w:p>
      <w:pPr>
        <w:ind w:left="0" w:leftChars="0" w:firstLine="480" w:firstLineChars="200"/>
        <w:rPr>
          <w:rFonts w:hint="eastAsia" w:ascii="仿宋" w:hAnsi="仿宋" w:eastAsia="仿宋" w:cs="仿宋"/>
          <w:sz w:val="24"/>
          <w:szCs w:val="24"/>
          <w:highlight w:val="none"/>
        </w:rPr>
      </w:pPr>
    </w:p>
    <w:p>
      <w:pPr>
        <w:ind w:left="720" w:hanging="720"/>
        <w:rPr>
          <w:rFonts w:hint="eastAsia" w:ascii="仿宋" w:hAnsi="仿宋" w:eastAsia="仿宋" w:cs="仿宋"/>
          <w:sz w:val="24"/>
          <w:highlight w:val="none"/>
        </w:rPr>
      </w:pPr>
    </w:p>
    <w:p>
      <w:pPr>
        <w:ind w:left="720" w:hanging="720"/>
        <w:rPr>
          <w:rFonts w:hint="eastAsia" w:ascii="仿宋" w:hAnsi="仿宋" w:eastAsia="仿宋" w:cs="仿宋"/>
          <w:sz w:val="24"/>
          <w:highlight w:val="none"/>
        </w:rPr>
      </w:pPr>
    </w:p>
    <w:p>
      <w:pPr>
        <w:spacing w:line="360" w:lineRule="exact"/>
        <w:ind w:left="359" w:leftChars="171" w:right="414" w:rightChars="197" w:firstLine="481" w:firstLineChars="200"/>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 </w:t>
      </w:r>
    </w:p>
    <w:p>
      <w:pPr>
        <w:ind w:left="0" w:leftChars="0" w:firstLine="0" w:firstLineChars="0"/>
        <w:rPr>
          <w:rFonts w:hint="eastAsia" w:ascii="仿宋" w:hAnsi="仿宋" w:eastAsia="仿宋" w:cs="仿宋"/>
          <w:b/>
          <w:sz w:val="24"/>
          <w:highlight w:val="none"/>
          <w:u w:val="single"/>
        </w:rPr>
      </w:pPr>
      <w:r>
        <w:rPr>
          <w:rFonts w:hint="eastAsia" w:ascii="仿宋" w:hAnsi="仿宋" w:eastAsia="仿宋" w:cs="仿宋"/>
          <w:b/>
          <w:sz w:val="24"/>
          <w:highlight w:val="none"/>
        </w:rPr>
        <w:t>甲  方：</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乙 方：</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p>
    <w:p>
      <w:pPr>
        <w:spacing w:line="360" w:lineRule="exact"/>
        <w:ind w:left="6392" w:hanging="6392" w:hangingChars="2653"/>
        <w:rPr>
          <w:rFonts w:hint="eastAsia" w:ascii="仿宋" w:hAnsi="仿宋" w:eastAsia="仿宋" w:cs="仿宋"/>
          <w:b/>
          <w:sz w:val="24"/>
          <w:highlight w:val="none"/>
          <w:u w:val="single"/>
        </w:rPr>
      </w:pPr>
    </w:p>
    <w:p>
      <w:pPr>
        <w:spacing w:line="360" w:lineRule="exact"/>
        <w:ind w:left="6392" w:hanging="6392" w:hangingChars="2653"/>
        <w:rPr>
          <w:rFonts w:hint="eastAsia" w:ascii="仿宋" w:hAnsi="仿宋" w:eastAsia="仿宋" w:cs="仿宋"/>
          <w:b/>
          <w:sz w:val="24"/>
          <w:highlight w:val="none"/>
        </w:rPr>
      </w:pPr>
    </w:p>
    <w:p>
      <w:pPr>
        <w:spacing w:line="360" w:lineRule="exact"/>
        <w:ind w:left="0" w:leftChars="0" w:firstLine="0" w:firstLineChars="0"/>
        <w:rPr>
          <w:rFonts w:hint="eastAsia" w:ascii="仿宋" w:hAnsi="仿宋" w:eastAsia="仿宋" w:cs="仿宋"/>
          <w:b/>
          <w:sz w:val="24"/>
          <w:highlight w:val="none"/>
        </w:rPr>
      </w:pPr>
      <w:r>
        <w:rPr>
          <w:rFonts w:hint="eastAsia" w:ascii="仿宋" w:hAnsi="仿宋" w:eastAsia="仿宋" w:cs="仿宋"/>
          <w:b/>
          <w:sz w:val="24"/>
          <w:highlight w:val="none"/>
        </w:rPr>
        <w:t>法定代表人                             法定代表人</w:t>
      </w:r>
    </w:p>
    <w:p>
      <w:pPr>
        <w:spacing w:line="360" w:lineRule="exact"/>
        <w:rPr>
          <w:rFonts w:hint="eastAsia" w:ascii="仿宋" w:hAnsi="仿宋" w:eastAsia="仿宋" w:cs="仿宋"/>
          <w:b/>
          <w:sz w:val="24"/>
          <w:highlight w:val="none"/>
        </w:rPr>
      </w:pPr>
    </w:p>
    <w:p>
      <w:pPr>
        <w:spacing w:line="360" w:lineRule="exact"/>
        <w:ind w:left="0" w:leftChars="0" w:firstLine="0" w:firstLineChars="0"/>
        <w:rPr>
          <w:rFonts w:hint="eastAsia" w:ascii="仿宋" w:hAnsi="仿宋" w:eastAsia="仿宋" w:cs="仿宋"/>
          <w:b/>
          <w:sz w:val="24"/>
          <w:highlight w:val="none"/>
          <w:u w:val="single"/>
        </w:rPr>
      </w:pPr>
      <w:r>
        <w:rPr>
          <w:rFonts w:hint="eastAsia" w:ascii="仿宋" w:hAnsi="仿宋" w:eastAsia="仿宋" w:cs="仿宋"/>
          <w:b/>
          <w:sz w:val="24"/>
          <w:highlight w:val="none"/>
        </w:rPr>
        <w:t>或授权代表：</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或授权代表：</w:t>
      </w:r>
      <w:r>
        <w:rPr>
          <w:rFonts w:hint="eastAsia" w:ascii="仿宋" w:hAnsi="仿宋" w:eastAsia="仿宋" w:cs="仿宋"/>
          <w:b/>
          <w:sz w:val="24"/>
          <w:highlight w:val="none"/>
          <w:u w:val="single"/>
        </w:rPr>
        <w:t xml:space="preserve">              </w:t>
      </w:r>
    </w:p>
    <w:p>
      <w:pPr>
        <w:spacing w:line="360" w:lineRule="exact"/>
        <w:rPr>
          <w:rFonts w:hint="eastAsia" w:ascii="仿宋" w:hAnsi="仿宋" w:eastAsia="仿宋" w:cs="仿宋"/>
          <w:b/>
          <w:sz w:val="24"/>
          <w:highlight w:val="none"/>
        </w:rPr>
      </w:pPr>
    </w:p>
    <w:p>
      <w:pPr>
        <w:spacing w:line="360" w:lineRule="exact"/>
        <w:ind w:left="0" w:leftChars="0" w:firstLine="0" w:firstLineChars="0"/>
        <w:rPr>
          <w:rFonts w:hint="eastAsia" w:ascii="仿宋" w:hAnsi="仿宋" w:eastAsia="仿宋" w:cs="仿宋"/>
          <w:b/>
          <w:sz w:val="24"/>
          <w:highlight w:val="none"/>
        </w:rPr>
      </w:pPr>
    </w:p>
    <w:p>
      <w:pPr>
        <w:spacing w:line="360" w:lineRule="exact"/>
        <w:ind w:left="0" w:leftChars="0" w:firstLine="0" w:firstLineChars="0"/>
        <w:rPr>
          <w:rFonts w:hint="eastAsia" w:ascii="仿宋" w:hAnsi="仿宋" w:eastAsia="仿宋" w:cs="仿宋"/>
          <w:sz w:val="24"/>
          <w:highlight w:val="none"/>
        </w:rPr>
      </w:pPr>
      <w:r>
        <w:rPr>
          <w:rFonts w:hint="eastAsia" w:ascii="仿宋" w:hAnsi="仿宋" w:eastAsia="仿宋" w:cs="仿宋"/>
          <w:b/>
          <w:sz w:val="24"/>
          <w:highlight w:val="none"/>
        </w:rPr>
        <w:t>签约日期：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日           签约日期：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日</w:t>
      </w:r>
    </w:p>
    <w:p>
      <w:pPr>
        <w:spacing w:line="360" w:lineRule="auto"/>
        <w:ind w:firstLine="420" w:firstLineChars="200"/>
        <w:rPr>
          <w:rFonts w:hint="eastAsia" w:ascii="宋体" w:hAnsi="宋体" w:cs="宋体"/>
          <w:b/>
          <w:color w:val="auto"/>
          <w:highlight w:val="none"/>
        </w:rPr>
      </w:pPr>
      <w:r>
        <w:rPr>
          <w:rFonts w:hint="eastAsia" w:ascii="仿宋" w:hAnsi="仿宋" w:eastAsia="仿宋" w:cs="仿宋"/>
          <w:color w:val="auto"/>
          <w:sz w:val="21"/>
          <w:szCs w:val="21"/>
          <w:highlight w:val="none"/>
        </w:rPr>
        <w:br w:type="page"/>
      </w:r>
      <w:bookmarkStart w:id="427" w:name="_Toc14198"/>
      <w:bookmarkStart w:id="428" w:name="_Toc25358"/>
      <w:bookmarkStart w:id="429" w:name="_Toc687"/>
      <w:bookmarkStart w:id="430" w:name="_Toc30823"/>
      <w:bookmarkStart w:id="431" w:name="_Toc22427"/>
      <w:bookmarkStart w:id="432" w:name="_Toc7091"/>
      <w:bookmarkStart w:id="433" w:name="_Toc12104"/>
      <w:bookmarkStart w:id="434" w:name="_Toc28114"/>
      <w:bookmarkStart w:id="435" w:name="_Toc504657634"/>
      <w:bookmarkStart w:id="436" w:name="_Toc34646007"/>
      <w:bookmarkStart w:id="437" w:name="_Toc7136"/>
      <w:bookmarkStart w:id="438" w:name="_Toc3289"/>
      <w:bookmarkStart w:id="439" w:name="_Toc2499"/>
      <w:r>
        <w:rPr>
          <w:rFonts w:hint="eastAsia" w:ascii="仿宋" w:hAnsi="仿宋" w:eastAsia="仿宋" w:cs="仿宋"/>
          <w:color w:val="auto"/>
          <w:sz w:val="21"/>
          <w:szCs w:val="21"/>
          <w:highlight w:val="none"/>
          <w:lang w:val="en-US" w:eastAsia="zh-CN"/>
        </w:rPr>
        <w:fldChar w:fldCharType="end"/>
      </w:r>
      <w:r>
        <w:rPr>
          <w:rStyle w:val="43"/>
          <w:rFonts w:hint="eastAsia" w:ascii="宋体" w:hAnsi="宋体" w:cs="宋体"/>
          <w:b/>
          <w:bCs w:val="0"/>
          <w:color w:val="auto"/>
          <w:highlight w:val="none"/>
        </w:rPr>
        <w:t>第六章  投标文件格式</w:t>
      </w:r>
      <w:bookmarkEnd w:id="427"/>
      <w:bookmarkEnd w:id="428"/>
      <w:bookmarkEnd w:id="429"/>
      <w:bookmarkEnd w:id="430"/>
      <w:bookmarkEnd w:id="431"/>
      <w:bookmarkEnd w:id="432"/>
      <w:bookmarkEnd w:id="433"/>
      <w:bookmarkEnd w:id="434"/>
      <w:bookmarkEnd w:id="435"/>
      <w:bookmarkEnd w:id="436"/>
      <w:bookmarkEnd w:id="437"/>
      <w:bookmarkEnd w:id="438"/>
      <w:bookmarkEnd w:id="439"/>
    </w:p>
    <w:p>
      <w:pPr>
        <w:spacing w:line="360" w:lineRule="auto"/>
        <w:rPr>
          <w:rFonts w:hint="eastAsia" w:ascii="宋体" w:hAnsi="宋体" w:cs="宋体"/>
          <w:color w:val="auto"/>
          <w:highlight w:val="none"/>
        </w:rPr>
      </w:pPr>
    </w:p>
    <w:p>
      <w:pPr>
        <w:spacing w:line="360" w:lineRule="auto"/>
        <w:rPr>
          <w:rFonts w:hint="eastAsia" w:ascii="宋体" w:hAnsi="宋体" w:cs="宋体"/>
          <w:color w:val="auto"/>
          <w:highlight w:val="none"/>
        </w:rPr>
      </w:pPr>
      <w:r>
        <w:rPr>
          <w:rFonts w:hint="eastAsia" w:ascii="宋体" w:hAnsi="宋体" w:cs="宋体"/>
          <w:color w:val="auto"/>
          <w:highlight w:val="none"/>
        </w:rPr>
        <w:t>供应商应遵照以下原则制作投标文件：</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1、内容应严格按招标文件及招标人对投标文件的要求（具体如以下模板所示）编制；</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2、应遵照模板所示顺序编制，并编写目录及页码；</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3、证书类文件应提供扫描件且须在有效期内，本章有格式要求的还应按规定格式提交；</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4、投标文件应上传至南航采购平台。</w:t>
      </w:r>
    </w:p>
    <w:p>
      <w:pPr>
        <w:pStyle w:val="49"/>
        <w:ind w:firstLine="0" w:firstLineChars="0"/>
        <w:rPr>
          <w:rFonts w:ascii="宋体" w:hAnsi="宋体"/>
          <w:color w:val="auto"/>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7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663" w:type="dxa"/>
            <w:shd w:val="clear" w:color="auto" w:fill="D9D9D9"/>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序号</w:t>
            </w:r>
          </w:p>
        </w:tc>
        <w:tc>
          <w:tcPr>
            <w:tcW w:w="7851" w:type="dxa"/>
            <w:shd w:val="clear" w:color="auto" w:fill="D9D9D9"/>
            <w:noWrap w:val="0"/>
            <w:vAlign w:val="center"/>
          </w:tcPr>
          <w:p>
            <w:pPr>
              <w:pStyle w:val="5"/>
              <w:spacing w:line="360" w:lineRule="auto"/>
              <w:ind w:firstLine="422"/>
              <w:jc w:val="center"/>
              <w:rPr>
                <w:rFonts w:ascii="宋体" w:hAnsi="宋体"/>
                <w:b/>
                <w:color w:val="auto"/>
                <w:szCs w:val="21"/>
                <w:highlight w:val="none"/>
              </w:rPr>
            </w:pPr>
            <w:r>
              <w:rPr>
                <w:rFonts w:hint="eastAsia" w:ascii="宋体" w:hAnsi="宋体"/>
                <w:b/>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一</w:t>
            </w:r>
          </w:p>
        </w:tc>
        <w:tc>
          <w:tcPr>
            <w:tcW w:w="7851" w:type="dxa"/>
            <w:noWrap w:val="0"/>
            <w:vAlign w:val="top"/>
          </w:tcPr>
          <w:p>
            <w:pPr>
              <w:pStyle w:val="5"/>
              <w:tabs>
                <w:tab w:val="left" w:pos="4687"/>
              </w:tabs>
              <w:spacing w:line="360" w:lineRule="auto"/>
              <w:ind w:firstLine="172" w:firstLineChars="82"/>
              <w:jc w:val="left"/>
              <w:rPr>
                <w:rFonts w:ascii="宋体" w:hAnsi="宋体"/>
                <w:b/>
                <w:color w:val="auto"/>
                <w:szCs w:val="21"/>
                <w:highlight w:val="none"/>
              </w:rPr>
            </w:pPr>
            <w:r>
              <w:rPr>
                <w:rFonts w:hint="eastAsia" w:ascii="宋体" w:hAnsi="宋体"/>
                <w:b/>
                <w:color w:val="auto"/>
                <w:szCs w:val="21"/>
                <w:highlight w:val="none"/>
              </w:rPr>
              <w:t>商务部分</w:t>
            </w:r>
            <w:r>
              <w:rPr>
                <w:rFonts w:ascii="宋体" w:hAnsi="宋体"/>
                <w:b/>
                <w:color w:val="auto"/>
                <w:szCs w:val="21"/>
                <w:highlight w:val="none"/>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1</w:t>
            </w:r>
          </w:p>
        </w:tc>
        <w:tc>
          <w:tcPr>
            <w:tcW w:w="7851" w:type="dxa"/>
            <w:noWrap w:val="0"/>
            <w:vAlign w:val="top"/>
          </w:tcPr>
          <w:p>
            <w:pPr>
              <w:pStyle w:val="5"/>
              <w:tabs>
                <w:tab w:val="left" w:pos="4687"/>
              </w:tabs>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投标文件封面（见格式</w:t>
            </w:r>
            <w:r>
              <w:rPr>
                <w:rFonts w:hint="eastAsia" w:ascii="宋体" w:hAnsi="宋体"/>
                <w:b/>
                <w:bCs/>
                <w:color w:val="auto"/>
                <w:szCs w:val="21"/>
                <w:highlight w:val="none"/>
              </w:rPr>
              <w:t>一</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2</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投标文件目录和页码；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3</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投标函（见格式</w:t>
            </w:r>
            <w:r>
              <w:rPr>
                <w:rFonts w:hint="eastAsia" w:ascii="宋体" w:hAnsi="宋体"/>
                <w:bCs/>
                <w:color w:val="auto"/>
                <w:szCs w:val="21"/>
                <w:highlight w:val="none"/>
              </w:rPr>
              <w:t>四</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4</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法定代表人证明书（见格式</w:t>
            </w:r>
            <w:r>
              <w:rPr>
                <w:rFonts w:hint="eastAsia" w:ascii="宋体" w:hAnsi="宋体"/>
                <w:bCs/>
                <w:color w:val="auto"/>
                <w:szCs w:val="21"/>
                <w:highlight w:val="none"/>
              </w:rPr>
              <w:t>五</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5</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授权委托证明书（见格式</w:t>
            </w:r>
            <w:r>
              <w:rPr>
                <w:rFonts w:hint="eastAsia" w:ascii="宋体" w:hAnsi="宋体"/>
                <w:bCs/>
                <w:color w:val="auto"/>
                <w:szCs w:val="21"/>
                <w:highlight w:val="none"/>
              </w:rPr>
              <w:t>六</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6</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投标保证金（见格式</w:t>
            </w:r>
            <w:r>
              <w:rPr>
                <w:rFonts w:hint="eastAsia" w:ascii="宋体" w:hAnsi="宋体"/>
                <w:bCs/>
                <w:color w:val="auto"/>
                <w:szCs w:val="21"/>
                <w:highlight w:val="none"/>
              </w:rPr>
              <w:t>七</w:t>
            </w:r>
            <w:r>
              <w:rPr>
                <w:rFonts w:hint="eastAsia" w:ascii="宋体" w:hAnsi="宋体"/>
                <w:color w:val="auto"/>
                <w:szCs w:val="21"/>
                <w:highlight w:val="none"/>
              </w:rPr>
              <w:t>）（以招标</w:t>
            </w:r>
            <w:r>
              <w:rPr>
                <w:rFonts w:ascii="宋体" w:hAnsi="宋体"/>
                <w:color w:val="auto"/>
                <w:szCs w:val="21"/>
                <w:highlight w:val="none"/>
              </w:rPr>
              <w:t>投标系统到账为准</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7</w:t>
            </w:r>
          </w:p>
        </w:tc>
        <w:tc>
          <w:tcPr>
            <w:tcW w:w="7851" w:type="dxa"/>
            <w:noWrap w:val="0"/>
            <w:vAlign w:val="center"/>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8</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符合性审查自查表（见格式</w:t>
            </w:r>
            <w:r>
              <w:rPr>
                <w:rFonts w:hint="eastAsia" w:ascii="宋体" w:hAnsi="宋体"/>
                <w:bCs/>
                <w:color w:val="auto"/>
                <w:szCs w:val="21"/>
                <w:highlight w:val="none"/>
              </w:rPr>
              <w:t>八</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9</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商务评分索引表（见格式</w:t>
            </w:r>
            <w:r>
              <w:rPr>
                <w:rFonts w:hint="eastAsia" w:ascii="宋体" w:hAnsi="宋体"/>
                <w:bCs/>
                <w:color w:val="auto"/>
                <w:szCs w:val="21"/>
                <w:highlight w:val="none"/>
              </w:rPr>
              <w:t>九</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10</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投标人异议/投诉承诺及程序指引（见格式</w:t>
            </w:r>
            <w:r>
              <w:rPr>
                <w:rFonts w:hint="eastAsia" w:ascii="宋体" w:hAnsi="宋体"/>
                <w:bCs/>
                <w:color w:val="auto"/>
                <w:szCs w:val="21"/>
                <w:highlight w:val="none"/>
              </w:rPr>
              <w:t>十三</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11</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限制交易供应商名单制度告知书（见格式</w:t>
            </w:r>
            <w:r>
              <w:rPr>
                <w:rFonts w:hint="eastAsia" w:ascii="宋体" w:hAnsi="宋体"/>
                <w:bCs/>
                <w:color w:val="auto"/>
                <w:szCs w:val="21"/>
                <w:highlight w:val="none"/>
              </w:rPr>
              <w:t>十四</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12</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投标人廉洁承诺书（见格式</w:t>
            </w:r>
            <w:r>
              <w:rPr>
                <w:rFonts w:hint="eastAsia" w:ascii="宋体" w:hAnsi="宋体"/>
                <w:bCs/>
                <w:color w:val="auto"/>
                <w:szCs w:val="21"/>
                <w:highlight w:val="none"/>
              </w:rPr>
              <w:t>十五</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13</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投标人认为有必要说明的其他资料。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二</w:t>
            </w:r>
          </w:p>
        </w:tc>
        <w:tc>
          <w:tcPr>
            <w:tcW w:w="7851" w:type="dxa"/>
            <w:noWrap w:val="0"/>
            <w:vAlign w:val="top"/>
          </w:tcPr>
          <w:p>
            <w:pPr>
              <w:pStyle w:val="5"/>
              <w:spacing w:line="360" w:lineRule="auto"/>
              <w:ind w:firstLine="172" w:firstLineChars="82"/>
              <w:jc w:val="left"/>
              <w:rPr>
                <w:rFonts w:ascii="宋体" w:hAnsi="宋体"/>
                <w:b/>
                <w:color w:val="auto"/>
                <w:szCs w:val="21"/>
                <w:highlight w:val="none"/>
              </w:rPr>
            </w:pPr>
            <w:r>
              <w:rPr>
                <w:rFonts w:hint="eastAsia" w:ascii="宋体" w:hAnsi="宋体"/>
                <w:b/>
                <w:color w:val="auto"/>
                <w:szCs w:val="21"/>
                <w:highlight w:val="none"/>
              </w:rPr>
              <w:t>技术部分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1</w:t>
            </w:r>
          </w:p>
        </w:tc>
        <w:tc>
          <w:tcPr>
            <w:tcW w:w="7851" w:type="dxa"/>
            <w:noWrap w:val="0"/>
            <w:vAlign w:val="top"/>
          </w:tcPr>
          <w:p>
            <w:pPr>
              <w:pStyle w:val="5"/>
              <w:spacing w:line="360" w:lineRule="auto"/>
              <w:ind w:firstLine="172" w:firstLineChars="82"/>
              <w:jc w:val="left"/>
              <w:rPr>
                <w:rFonts w:ascii="宋体" w:hAnsi="宋体"/>
                <w:b/>
                <w:color w:val="auto"/>
                <w:szCs w:val="21"/>
                <w:highlight w:val="none"/>
              </w:rPr>
            </w:pPr>
            <w:r>
              <w:rPr>
                <w:rFonts w:hint="eastAsia" w:ascii="宋体" w:hAnsi="宋体"/>
                <w:color w:val="auto"/>
                <w:szCs w:val="21"/>
                <w:highlight w:val="none"/>
              </w:rPr>
              <w:t>投标文件封面（见格式</w:t>
            </w:r>
            <w:r>
              <w:rPr>
                <w:rFonts w:hint="eastAsia" w:ascii="宋体" w:hAnsi="宋体"/>
                <w:b/>
                <w:bCs/>
                <w:color w:val="auto"/>
                <w:szCs w:val="21"/>
                <w:highlight w:val="none"/>
              </w:rPr>
              <w:t>一</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ascii="宋体" w:hAnsi="宋体"/>
                <w:b/>
                <w:color w:val="auto"/>
                <w:szCs w:val="21"/>
                <w:highlight w:val="none"/>
              </w:rPr>
              <w:t>2</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投标文件目录和页码；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ascii="宋体" w:hAnsi="宋体"/>
                <w:b/>
                <w:color w:val="auto"/>
                <w:szCs w:val="21"/>
                <w:highlight w:val="none"/>
              </w:rPr>
              <w:t>3</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技术评分索引表（见格式</w:t>
            </w:r>
            <w:r>
              <w:rPr>
                <w:rFonts w:hint="eastAsia" w:ascii="宋体" w:hAnsi="宋体"/>
                <w:bCs/>
                <w:color w:val="auto"/>
                <w:szCs w:val="21"/>
                <w:highlight w:val="none"/>
              </w:rPr>
              <w:t>十</w:t>
            </w:r>
            <w:r>
              <w:rPr>
                <w:rFonts w:hint="eastAsia" w:ascii="宋体" w:hAnsi="宋体"/>
                <w:color w:val="auto"/>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4</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用户需求响应表（见格式</w:t>
            </w:r>
            <w:r>
              <w:rPr>
                <w:rFonts w:hint="eastAsia" w:ascii="宋体" w:hAnsi="宋体"/>
                <w:bCs/>
                <w:color w:val="auto"/>
                <w:szCs w:val="21"/>
                <w:highlight w:val="none"/>
              </w:rPr>
              <w:t>十一</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5</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合同响应表（见格式十二）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6</w:t>
            </w:r>
          </w:p>
        </w:tc>
        <w:tc>
          <w:tcPr>
            <w:tcW w:w="7851" w:type="dxa"/>
            <w:noWrap w:val="0"/>
            <w:vAlign w:val="top"/>
          </w:tcPr>
          <w:p>
            <w:pPr>
              <w:pStyle w:val="5"/>
              <w:spacing w:line="360" w:lineRule="auto"/>
              <w:ind w:firstLine="172" w:firstLineChars="82"/>
              <w:jc w:val="left"/>
              <w:rPr>
                <w:rFonts w:hint="eastAsia" w:ascii="宋体" w:hAnsi="宋体"/>
                <w:color w:val="auto"/>
                <w:szCs w:val="21"/>
                <w:highlight w:val="none"/>
              </w:rPr>
            </w:pPr>
            <w:r>
              <w:rPr>
                <w:rFonts w:hint="eastAsia" w:ascii="宋体" w:hAnsi="宋体"/>
                <w:color w:val="auto"/>
                <w:szCs w:val="21"/>
                <w:highlight w:val="none"/>
              </w:rPr>
              <w:t>采购项目样品寄存承诺函（如有样品，见格式十六）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hint="default" w:ascii="宋体" w:hAnsi="宋体" w:eastAsia="宋体"/>
                <w:b/>
                <w:color w:val="auto"/>
                <w:szCs w:val="21"/>
                <w:highlight w:val="none"/>
                <w:lang w:val="en-US" w:eastAsia="zh-CN"/>
              </w:rPr>
            </w:pPr>
            <w:r>
              <w:rPr>
                <w:rFonts w:hint="eastAsia" w:ascii="宋体" w:hAnsi="宋体" w:eastAsia="宋体"/>
                <w:b/>
                <w:color w:val="auto"/>
                <w:szCs w:val="21"/>
                <w:highlight w:val="none"/>
                <w:lang w:val="en-US" w:eastAsia="zh-CN"/>
              </w:rPr>
              <w:t>7</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投标人认为有必要说明的其他资料。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三</w:t>
            </w:r>
          </w:p>
        </w:tc>
        <w:tc>
          <w:tcPr>
            <w:tcW w:w="7851" w:type="dxa"/>
            <w:noWrap w:val="0"/>
            <w:vAlign w:val="top"/>
          </w:tcPr>
          <w:p>
            <w:pPr>
              <w:pStyle w:val="5"/>
              <w:spacing w:line="360" w:lineRule="auto"/>
              <w:ind w:firstLine="172" w:firstLineChars="82"/>
              <w:jc w:val="left"/>
              <w:rPr>
                <w:rFonts w:ascii="宋体" w:hAnsi="宋体"/>
                <w:b/>
                <w:color w:val="auto"/>
                <w:szCs w:val="21"/>
                <w:highlight w:val="none"/>
              </w:rPr>
            </w:pPr>
            <w:r>
              <w:rPr>
                <w:rFonts w:hint="eastAsia" w:ascii="宋体" w:hAnsi="宋体"/>
                <w:b/>
                <w:color w:val="auto"/>
                <w:szCs w:val="21"/>
                <w:highlight w:val="none"/>
              </w:rPr>
              <w:t>价格部分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ascii="宋体" w:hAnsi="宋体"/>
                <w:b/>
                <w:color w:val="auto"/>
                <w:szCs w:val="21"/>
                <w:highlight w:val="none"/>
              </w:rPr>
              <w:t>1</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投标文件封面（见格式</w:t>
            </w:r>
            <w:r>
              <w:rPr>
                <w:rFonts w:hint="eastAsia" w:ascii="宋体" w:hAnsi="宋体"/>
                <w:b/>
                <w:bCs/>
                <w:color w:val="auto"/>
                <w:szCs w:val="21"/>
                <w:highlight w:val="none"/>
              </w:rPr>
              <w:t>一</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2</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开标一览表（参考样式附件格式</w:t>
            </w:r>
            <w:r>
              <w:rPr>
                <w:rFonts w:hint="eastAsia" w:ascii="宋体" w:hAnsi="宋体"/>
                <w:b/>
                <w:bCs/>
                <w:color w:val="auto"/>
                <w:szCs w:val="21"/>
                <w:highlight w:val="none"/>
              </w:rPr>
              <w:t>二，以电子开标一览表为准</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3</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分项报价表（见附件格式</w:t>
            </w:r>
            <w:r>
              <w:rPr>
                <w:rFonts w:hint="eastAsia" w:ascii="宋体" w:hAnsi="宋体"/>
                <w:b/>
                <w:bCs/>
                <w:color w:val="auto"/>
                <w:szCs w:val="21"/>
                <w:highlight w:val="none"/>
              </w:rPr>
              <w:t>三</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3" w:type="dxa"/>
            <w:noWrap w:val="0"/>
            <w:vAlign w:val="center"/>
          </w:tcPr>
          <w:p>
            <w:pPr>
              <w:pStyle w:val="5"/>
              <w:spacing w:line="360" w:lineRule="auto"/>
              <w:ind w:firstLine="0" w:firstLineChars="0"/>
              <w:jc w:val="center"/>
              <w:rPr>
                <w:rFonts w:ascii="宋体" w:hAnsi="宋体"/>
                <w:b/>
                <w:color w:val="auto"/>
                <w:szCs w:val="21"/>
                <w:highlight w:val="none"/>
              </w:rPr>
            </w:pPr>
            <w:r>
              <w:rPr>
                <w:rFonts w:hint="eastAsia" w:ascii="宋体" w:hAnsi="宋体"/>
                <w:b/>
                <w:color w:val="auto"/>
                <w:szCs w:val="21"/>
                <w:highlight w:val="none"/>
              </w:rPr>
              <w:t>4</w:t>
            </w:r>
          </w:p>
        </w:tc>
        <w:tc>
          <w:tcPr>
            <w:tcW w:w="7851" w:type="dxa"/>
            <w:noWrap w:val="0"/>
            <w:vAlign w:val="top"/>
          </w:tcPr>
          <w:p>
            <w:pPr>
              <w:pStyle w:val="5"/>
              <w:spacing w:line="360" w:lineRule="auto"/>
              <w:ind w:firstLine="172" w:firstLineChars="82"/>
              <w:jc w:val="left"/>
              <w:rPr>
                <w:rFonts w:ascii="宋体" w:hAnsi="宋体"/>
                <w:color w:val="auto"/>
                <w:szCs w:val="21"/>
                <w:highlight w:val="none"/>
              </w:rPr>
            </w:pPr>
            <w:r>
              <w:rPr>
                <w:rFonts w:hint="eastAsia" w:ascii="宋体" w:hAnsi="宋体"/>
                <w:color w:val="auto"/>
                <w:szCs w:val="21"/>
                <w:highlight w:val="none"/>
              </w:rPr>
              <w:t>投标人认为有必要说明的其他资料。</w:t>
            </w:r>
          </w:p>
        </w:tc>
      </w:tr>
    </w:tbl>
    <w:p>
      <w:pPr>
        <w:pStyle w:val="20"/>
        <w:rPr>
          <w:rFonts w:hint="eastAsia"/>
          <w:color w:val="auto"/>
          <w:highlight w:val="none"/>
        </w:rPr>
      </w:pPr>
    </w:p>
    <w:p>
      <w:pPr>
        <w:pStyle w:val="4"/>
        <w:keepLines/>
        <w:pageBreakBefore/>
        <w:spacing w:line="360" w:lineRule="auto"/>
        <w:ind w:left="0"/>
        <w:jc w:val="center"/>
        <w:rPr>
          <w:rFonts w:hint="eastAsia" w:ascii="宋体" w:hAnsi="宋体" w:cs="宋体"/>
          <w:color w:val="auto"/>
          <w:szCs w:val="21"/>
          <w:highlight w:val="none"/>
        </w:rPr>
      </w:pPr>
      <w:bookmarkStart w:id="440" w:name="_Toc11962"/>
      <w:bookmarkStart w:id="441" w:name="_Toc2433"/>
      <w:bookmarkStart w:id="442" w:name="_Toc16964"/>
      <w:bookmarkStart w:id="443" w:name="_Toc4283"/>
      <w:bookmarkStart w:id="444" w:name="_Toc14228"/>
      <w:bookmarkStart w:id="445" w:name="_Toc1899245027"/>
      <w:bookmarkStart w:id="446" w:name="_Toc5805"/>
      <w:bookmarkStart w:id="447" w:name="_Toc1712610075"/>
      <w:bookmarkStart w:id="448" w:name="_Toc34646008"/>
      <w:bookmarkStart w:id="449" w:name="_Toc7498"/>
      <w:bookmarkStart w:id="450" w:name="_Toc939913913"/>
      <w:bookmarkStart w:id="451" w:name="_Toc4884"/>
      <w:bookmarkStart w:id="452" w:name="_Toc27292"/>
      <w:r>
        <w:rPr>
          <w:rFonts w:hint="eastAsia" w:ascii="宋体" w:hAnsi="宋体" w:cs="宋体"/>
          <w:b/>
          <w:bCs/>
          <w:color w:val="auto"/>
          <w:highlight w:val="none"/>
        </w:rPr>
        <w:t>格式一、投标文件封面</w:t>
      </w:r>
      <w:bookmarkEnd w:id="440"/>
      <w:bookmarkEnd w:id="441"/>
      <w:bookmarkEnd w:id="442"/>
      <w:bookmarkEnd w:id="443"/>
      <w:bookmarkEnd w:id="444"/>
      <w:bookmarkEnd w:id="445"/>
      <w:bookmarkEnd w:id="446"/>
      <w:bookmarkEnd w:id="447"/>
      <w:bookmarkEnd w:id="448"/>
      <w:bookmarkEnd w:id="449"/>
      <w:bookmarkEnd w:id="450"/>
      <w:bookmarkEnd w:id="451"/>
      <w:bookmarkEnd w:id="452"/>
    </w:p>
    <w:tbl>
      <w:tblPr>
        <w:tblStyle w:val="2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32" w:hRule="atLeast"/>
        </w:trPr>
        <w:tc>
          <w:tcPr>
            <w:tcW w:w="9183" w:type="dxa"/>
            <w:noWrap w:val="0"/>
            <w:vAlign w:val="top"/>
          </w:tcPr>
          <w:p>
            <w:pPr>
              <w:pStyle w:val="2"/>
              <w:adjustRightInd w:val="0"/>
              <w:spacing w:line="360" w:lineRule="auto"/>
              <w:ind w:firstLine="560" w:firstLineChars="200"/>
              <w:rPr>
                <w:rFonts w:hint="eastAsia" w:ascii="宋体" w:hAnsi="宋体" w:cs="宋体"/>
                <w:b/>
                <w:color w:val="auto"/>
                <w:sz w:val="72"/>
                <w:szCs w:val="72"/>
                <w:highlight w:val="none"/>
              </w:rPr>
            </w:pPr>
            <w:bookmarkStart w:id="453" w:name="_Toc24144"/>
            <w:r>
              <w:rPr>
                <w:rFonts w:hint="eastAsia" w:ascii="宋体" w:hAnsi="宋体" w:cs="宋体"/>
                <w:color w:val="auto"/>
                <w:szCs w:val="21"/>
                <w:highlight w:val="none"/>
              </w:rPr>
              <w:t xml:space="preserve">       </w:t>
            </w:r>
            <w:bookmarkEnd w:id="453"/>
            <w:r>
              <w:rPr>
                <w:rFonts w:hint="eastAsia" w:ascii="宋体" w:hAnsi="宋体" w:cs="宋体"/>
                <w:color w:val="auto"/>
                <w:szCs w:val="21"/>
                <w:highlight w:val="none"/>
              </w:rPr>
              <w:t xml:space="preserve">     </w:t>
            </w:r>
            <w:r>
              <w:rPr>
                <w:rFonts w:hint="eastAsia" w:ascii="宋体" w:hAnsi="宋体" w:cs="宋体"/>
                <w:b/>
                <w:color w:val="auto"/>
                <w:sz w:val="72"/>
                <w:szCs w:val="72"/>
                <w:highlight w:val="none"/>
              </w:rPr>
              <w:t>投 标 文 件</w:t>
            </w:r>
          </w:p>
          <w:p>
            <w:pPr>
              <w:pStyle w:val="2"/>
              <w:adjustRightInd w:val="0"/>
              <w:spacing w:line="360" w:lineRule="auto"/>
              <w:ind w:firstLine="642" w:firstLineChars="200"/>
              <w:rPr>
                <w:rFonts w:ascii="宋体" w:hAnsi="宋体" w:cs="宋体"/>
                <w:b/>
                <w:color w:val="auto"/>
                <w:sz w:val="32"/>
                <w:highlight w:val="none"/>
              </w:rPr>
            </w:pPr>
          </w:p>
          <w:p>
            <w:pPr>
              <w:pStyle w:val="2"/>
              <w:adjustRightInd w:val="0"/>
              <w:spacing w:line="360" w:lineRule="auto"/>
              <w:ind w:firstLine="642" w:firstLineChars="200"/>
              <w:rPr>
                <w:rFonts w:hint="eastAsia" w:ascii="宋体" w:hAnsi="宋体" w:cs="宋体"/>
                <w:b/>
                <w:color w:val="auto"/>
                <w:sz w:val="32"/>
                <w:highlight w:val="none"/>
              </w:rPr>
            </w:pPr>
            <w:r>
              <w:rPr>
                <w:rFonts w:hint="eastAsia" w:ascii="宋体" w:hAnsi="宋体" w:cs="宋体"/>
                <w:b/>
                <w:color w:val="auto"/>
                <w:sz w:val="32"/>
                <w:highlight w:val="none"/>
              </w:rPr>
              <w:t>项目名称：【】</w:t>
            </w:r>
          </w:p>
          <w:p>
            <w:pPr>
              <w:pStyle w:val="2"/>
              <w:adjustRightInd w:val="0"/>
              <w:spacing w:line="360" w:lineRule="auto"/>
              <w:ind w:firstLine="642" w:firstLineChars="200"/>
              <w:rPr>
                <w:rFonts w:hint="eastAsia" w:ascii="宋体" w:hAnsi="宋体" w:cs="宋体"/>
                <w:b/>
                <w:color w:val="auto"/>
                <w:sz w:val="32"/>
                <w:highlight w:val="none"/>
              </w:rPr>
            </w:pPr>
            <w:r>
              <w:rPr>
                <w:rFonts w:hint="eastAsia" w:ascii="宋体" w:hAnsi="宋体" w:cs="宋体"/>
                <w:b/>
                <w:color w:val="auto"/>
                <w:sz w:val="32"/>
                <w:highlight w:val="none"/>
                <w:lang w:val="en-US" w:eastAsia="zh-CN"/>
              </w:rPr>
              <w:t>项目</w:t>
            </w:r>
            <w:r>
              <w:rPr>
                <w:rFonts w:hint="eastAsia" w:ascii="宋体" w:hAnsi="宋体" w:cs="宋体"/>
                <w:b/>
                <w:color w:val="auto"/>
                <w:sz w:val="32"/>
                <w:highlight w:val="none"/>
              </w:rPr>
              <w:t>编号：【】</w:t>
            </w:r>
          </w:p>
          <w:p>
            <w:pPr>
              <w:pStyle w:val="2"/>
              <w:adjustRightInd w:val="0"/>
              <w:spacing w:line="360" w:lineRule="auto"/>
              <w:ind w:firstLine="642" w:firstLineChars="200"/>
              <w:rPr>
                <w:rFonts w:hint="eastAsia" w:ascii="宋体" w:hAnsi="宋体" w:cs="宋体"/>
                <w:b/>
                <w:color w:val="auto"/>
                <w:sz w:val="32"/>
                <w:highlight w:val="none"/>
              </w:rPr>
            </w:pPr>
            <w:r>
              <w:rPr>
                <w:rFonts w:hint="eastAsia" w:ascii="宋体" w:hAnsi="宋体" w:cs="宋体"/>
                <w:b/>
                <w:color w:val="auto"/>
                <w:sz w:val="32"/>
                <w:highlight w:val="none"/>
              </w:rPr>
              <w:t xml:space="preserve">    </w:t>
            </w:r>
          </w:p>
          <w:p>
            <w:pPr>
              <w:pStyle w:val="2"/>
              <w:adjustRightInd w:val="0"/>
              <w:spacing w:line="360" w:lineRule="auto"/>
              <w:ind w:firstLine="602" w:firstLineChars="200"/>
              <w:rPr>
                <w:rFonts w:hint="eastAsia" w:ascii="宋体" w:hAnsi="宋体" w:cs="宋体"/>
                <w:b/>
                <w:color w:val="auto"/>
                <w:sz w:val="30"/>
                <w:szCs w:val="30"/>
                <w:highlight w:val="none"/>
              </w:rPr>
            </w:pPr>
            <w:r>
              <w:rPr>
                <w:rFonts w:hint="eastAsia" w:ascii="宋体" w:hAnsi="宋体" w:cs="宋体"/>
                <w:b/>
                <w:color w:val="auto"/>
                <w:sz w:val="30"/>
                <w:szCs w:val="30"/>
                <w:highlight w:val="none"/>
              </w:rPr>
              <w:t>投标文件内容： □商务部分 □技术部分 □价格部分</w:t>
            </w:r>
          </w:p>
          <w:p>
            <w:pPr>
              <w:pStyle w:val="2"/>
              <w:adjustRightInd w:val="0"/>
              <w:spacing w:line="360" w:lineRule="auto"/>
              <w:ind w:firstLine="562" w:firstLineChars="200"/>
              <w:rPr>
                <w:rFonts w:hint="eastAsia" w:ascii="宋体" w:hAnsi="宋体" w:cs="宋体"/>
                <w:b/>
                <w:color w:val="auto"/>
                <w:szCs w:val="28"/>
                <w:highlight w:val="none"/>
              </w:rPr>
            </w:pPr>
            <w:r>
              <w:rPr>
                <w:rFonts w:hint="eastAsia" w:ascii="宋体" w:hAnsi="宋体" w:cs="宋体"/>
                <w:b/>
                <w:color w:val="auto"/>
                <w:szCs w:val="28"/>
                <w:highlight w:val="none"/>
                <w:u w:val="single"/>
              </w:rPr>
              <w:t xml:space="preserve">                 </w:t>
            </w:r>
          </w:p>
          <w:p>
            <w:pPr>
              <w:pStyle w:val="2"/>
              <w:adjustRightInd w:val="0"/>
              <w:spacing w:line="360" w:lineRule="auto"/>
              <w:ind w:firstLine="602" w:firstLineChars="200"/>
              <w:rPr>
                <w:rFonts w:ascii="宋体" w:hAnsi="宋体" w:cs="宋体"/>
                <w:b/>
                <w:color w:val="auto"/>
                <w:sz w:val="30"/>
                <w:szCs w:val="30"/>
                <w:highlight w:val="none"/>
              </w:rPr>
            </w:pPr>
            <w:r>
              <w:rPr>
                <w:rFonts w:hint="eastAsia" w:ascii="宋体" w:hAnsi="宋体" w:cs="宋体"/>
                <w:b/>
                <w:color w:val="auto"/>
                <w:sz w:val="30"/>
                <w:szCs w:val="30"/>
                <w:highlight w:val="none"/>
              </w:rPr>
              <w:t>投标声明：</w:t>
            </w:r>
          </w:p>
          <w:p>
            <w:pPr>
              <w:pStyle w:val="2"/>
              <w:adjustRightIn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本公司已阅读招标文件全部内容，充分了解并清楚知晓本次招标的全部信息，愿意遵守中国南航集团进出口贸易有限公司招标管理的各项规定。</w:t>
            </w:r>
          </w:p>
          <w:p>
            <w:pPr>
              <w:pStyle w:val="2"/>
              <w:adjustRightInd w:val="0"/>
              <w:spacing w:line="360" w:lineRule="auto"/>
              <w:ind w:firstLine="480" w:firstLineChars="200"/>
              <w:rPr>
                <w:rStyle w:val="31"/>
                <w:rFonts w:ascii="宋体" w:hAnsi="宋体" w:cs="宋体"/>
                <w:bCs/>
                <w:color w:val="auto"/>
                <w:sz w:val="24"/>
                <w:highlight w:val="none"/>
              </w:rPr>
            </w:pPr>
            <w:r>
              <w:rPr>
                <w:rStyle w:val="31"/>
                <w:rFonts w:hint="eastAsia" w:ascii="宋体" w:hAnsi="宋体" w:cs="宋体"/>
                <w:bCs/>
                <w:color w:val="auto"/>
                <w:sz w:val="24"/>
                <w:highlight w:val="none"/>
              </w:rPr>
              <w:t>本公司保证，本公司的授权代表已取得合法授权，有权以本公司名义处理投标事宜和合同执行相关事宜；本公司法定代表人或授权代表以本公司名义提交的投标文件合法、真实、有效，本公司、法定代表人、授权代表在本投标文件封面签章即视为确认投标文件的全部内容均对本公司具有法律约束力。</w:t>
            </w:r>
          </w:p>
          <w:p>
            <w:pPr>
              <w:pStyle w:val="2"/>
              <w:adjustRightIn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本公司将严格按照本次招标文件及投标文件的</w:t>
            </w:r>
            <w:r>
              <w:rPr>
                <w:rFonts w:hint="eastAsia" w:ascii="宋体" w:hAnsi="宋体" w:cs="宋体"/>
                <w:bCs/>
                <w:color w:val="auto"/>
                <w:sz w:val="24"/>
                <w:highlight w:val="none"/>
                <w:u w:val="single"/>
              </w:rPr>
              <w:t>报价、承诺、《用户需求响应表》、《合同响应表》</w:t>
            </w:r>
            <w:r>
              <w:rPr>
                <w:rFonts w:hint="eastAsia" w:ascii="宋体" w:hAnsi="宋体" w:cs="宋体"/>
                <w:bCs/>
                <w:color w:val="auto"/>
                <w:sz w:val="24"/>
                <w:highlight w:val="none"/>
              </w:rPr>
              <w:t>等进行本次投标和执行合同。</w:t>
            </w:r>
          </w:p>
          <w:p>
            <w:pPr>
              <w:pStyle w:val="2"/>
              <w:adjustRightInd w:val="0"/>
              <w:spacing w:line="360" w:lineRule="auto"/>
              <w:ind w:firstLine="481" w:firstLineChars="200"/>
              <w:rPr>
                <w:rFonts w:hint="eastAsia" w:ascii="宋体" w:hAnsi="宋体" w:cs="宋体"/>
                <w:bCs/>
                <w:color w:val="auto"/>
                <w:sz w:val="24"/>
                <w:highlight w:val="none"/>
              </w:rPr>
            </w:pPr>
            <w:r>
              <w:rPr>
                <w:rFonts w:hint="eastAsia" w:ascii="宋体" w:hAnsi="宋体" w:cs="宋体"/>
                <w:b/>
                <w:color w:val="auto"/>
                <w:sz w:val="24"/>
                <w:highlight w:val="none"/>
              </w:rPr>
              <w:t>注：法定代表人、授权代表必须为本人亲笔签字或盖章，本页面可扫描成图片插入到投标文件首页。</w:t>
            </w:r>
          </w:p>
          <w:p>
            <w:pPr>
              <w:pStyle w:val="2"/>
              <w:adjustRightInd w:val="0"/>
              <w:spacing w:line="360" w:lineRule="auto"/>
              <w:ind w:firstLine="562" w:firstLineChars="200"/>
              <w:rPr>
                <w:rFonts w:ascii="宋体" w:hAnsi="宋体" w:cs="宋体"/>
                <w:b/>
                <w:color w:val="auto"/>
                <w:szCs w:val="28"/>
                <w:highlight w:val="none"/>
              </w:rPr>
            </w:pPr>
          </w:p>
          <w:p>
            <w:pPr>
              <w:pStyle w:val="2"/>
              <w:adjustRightInd w:val="0"/>
              <w:spacing w:line="360" w:lineRule="auto"/>
              <w:ind w:firstLine="562" w:firstLineChars="200"/>
              <w:rPr>
                <w:rFonts w:ascii="宋体" w:hAnsi="宋体" w:cs="宋体"/>
                <w:b/>
                <w:color w:val="auto"/>
                <w:szCs w:val="28"/>
                <w:highlight w:val="none"/>
              </w:rPr>
            </w:pPr>
            <w:r>
              <w:rPr>
                <w:rFonts w:hint="eastAsia" w:ascii="宋体" w:hAnsi="宋体" w:cs="宋体"/>
                <w:b/>
                <w:color w:val="auto"/>
                <w:szCs w:val="28"/>
                <w:highlight w:val="none"/>
              </w:rPr>
              <w:t>投标人名称：</w:t>
            </w:r>
            <w:r>
              <w:rPr>
                <w:rFonts w:hint="eastAsia" w:ascii="宋体" w:hAnsi="宋体" w:cs="宋体"/>
                <w:b/>
                <w:color w:val="auto"/>
                <w:szCs w:val="28"/>
                <w:highlight w:val="none"/>
                <w:u w:val="single"/>
              </w:rPr>
              <w:t xml:space="preserve">                 </w:t>
            </w:r>
            <w:r>
              <w:rPr>
                <w:rFonts w:hint="eastAsia" w:ascii="宋体" w:hAnsi="宋体" w:cs="宋体"/>
                <w:b/>
                <w:color w:val="auto"/>
                <w:szCs w:val="28"/>
                <w:highlight w:val="none"/>
              </w:rPr>
              <w:t>（加盖单位章）</w:t>
            </w:r>
          </w:p>
          <w:p>
            <w:pPr>
              <w:pStyle w:val="2"/>
              <w:adjustRightInd w:val="0"/>
              <w:spacing w:line="360" w:lineRule="auto"/>
              <w:ind w:firstLine="562" w:firstLineChars="200"/>
              <w:rPr>
                <w:rFonts w:hint="eastAsia" w:ascii="宋体" w:hAnsi="宋体" w:cs="宋体"/>
                <w:b/>
                <w:color w:val="auto"/>
                <w:szCs w:val="28"/>
                <w:highlight w:val="none"/>
              </w:rPr>
            </w:pPr>
            <w:r>
              <w:rPr>
                <w:rFonts w:hint="eastAsia" w:ascii="宋体" w:hAnsi="宋体" w:cs="宋体"/>
                <w:b/>
                <w:color w:val="auto"/>
                <w:szCs w:val="28"/>
                <w:highlight w:val="none"/>
              </w:rPr>
              <w:t>法定代表人：                 （签字或盖章）</w:t>
            </w:r>
          </w:p>
          <w:p>
            <w:pPr>
              <w:pStyle w:val="2"/>
              <w:adjustRightInd w:val="0"/>
              <w:spacing w:line="360" w:lineRule="auto"/>
              <w:ind w:firstLine="562" w:firstLineChars="200"/>
              <w:rPr>
                <w:rFonts w:hint="eastAsia" w:ascii="宋体" w:hAnsi="宋体" w:cs="宋体"/>
                <w:b/>
                <w:color w:val="auto"/>
                <w:szCs w:val="28"/>
                <w:highlight w:val="none"/>
              </w:rPr>
            </w:pPr>
            <w:r>
              <w:rPr>
                <w:rFonts w:hint="eastAsia" w:ascii="宋体" w:hAnsi="宋体" w:cs="宋体"/>
                <w:b/>
                <w:color w:val="auto"/>
                <w:szCs w:val="28"/>
                <w:highlight w:val="none"/>
              </w:rPr>
              <w:t xml:space="preserve">授权代表：                 </w:t>
            </w:r>
            <w:r>
              <w:rPr>
                <w:rFonts w:ascii="宋体" w:hAnsi="宋体" w:cs="宋体"/>
                <w:b/>
                <w:color w:val="auto"/>
                <w:szCs w:val="28"/>
                <w:highlight w:val="none"/>
              </w:rPr>
              <w:t xml:space="preserve">  </w:t>
            </w:r>
            <w:r>
              <w:rPr>
                <w:rFonts w:hint="eastAsia" w:ascii="宋体" w:hAnsi="宋体" w:cs="宋体"/>
                <w:b/>
                <w:color w:val="auto"/>
                <w:szCs w:val="28"/>
                <w:highlight w:val="none"/>
              </w:rPr>
              <w:t xml:space="preserve">（签字或盖章）      </w:t>
            </w:r>
            <w:r>
              <w:rPr>
                <w:rFonts w:hint="eastAsia" w:ascii="宋体" w:hAnsi="宋体" w:cs="宋体"/>
                <w:b/>
                <w:color w:val="auto"/>
                <w:sz w:val="21"/>
                <w:szCs w:val="21"/>
                <w:highlight w:val="none"/>
                <w:u w:val="single"/>
              </w:rPr>
              <w:t xml:space="preserve">     </w:t>
            </w:r>
          </w:p>
          <w:p>
            <w:pPr>
              <w:pStyle w:val="2"/>
              <w:tabs>
                <w:tab w:val="left" w:pos="851"/>
              </w:tabs>
              <w:spacing w:line="360" w:lineRule="auto"/>
              <w:ind w:firstLine="562" w:firstLineChars="200"/>
              <w:rPr>
                <w:rFonts w:hint="eastAsia" w:ascii="宋体" w:hAnsi="宋体" w:cs="宋体"/>
                <w:b/>
                <w:color w:val="auto"/>
                <w:szCs w:val="28"/>
                <w:highlight w:val="none"/>
              </w:rPr>
            </w:pPr>
            <w:r>
              <w:rPr>
                <w:rFonts w:hint="eastAsia" w:ascii="宋体" w:hAnsi="宋体" w:cs="宋体"/>
                <w:b/>
                <w:color w:val="auto"/>
                <w:szCs w:val="28"/>
                <w:highlight w:val="none"/>
              </w:rPr>
              <w:t>日期：   年   月   日</w:t>
            </w:r>
          </w:p>
        </w:tc>
      </w:tr>
    </w:tbl>
    <w:p>
      <w:pPr>
        <w:pStyle w:val="4"/>
        <w:spacing w:line="360" w:lineRule="auto"/>
        <w:ind w:left="0"/>
        <w:rPr>
          <w:rFonts w:hint="eastAsia" w:ascii="宋体" w:hAnsi="宋体" w:cs="宋体"/>
          <w:b/>
          <w:bCs/>
          <w:color w:val="auto"/>
          <w:highlight w:val="none"/>
        </w:rPr>
        <w:sectPr>
          <w:headerReference r:id="rId5" w:type="default"/>
          <w:footerReference r:id="rId6" w:type="default"/>
          <w:pgSz w:w="11906" w:h="16838"/>
          <w:pgMar w:top="1440" w:right="1519" w:bottom="1440" w:left="1519" w:header="851" w:footer="992" w:gutter="0"/>
          <w:pgNumType w:fmt="decimal"/>
          <w:cols w:space="720" w:num="1"/>
          <w:docGrid w:type="lines" w:linePitch="312" w:charSpace="0"/>
        </w:sectPr>
      </w:pPr>
    </w:p>
    <w:p>
      <w:pPr>
        <w:pStyle w:val="4"/>
        <w:pageBreakBefore/>
        <w:spacing w:line="360" w:lineRule="auto"/>
        <w:ind w:left="0"/>
        <w:jc w:val="center"/>
        <w:rPr>
          <w:rFonts w:hint="eastAsia" w:ascii="宋体" w:hAnsi="宋体" w:cs="宋体"/>
          <w:color w:val="auto"/>
          <w:highlight w:val="none"/>
        </w:rPr>
      </w:pPr>
      <w:bookmarkStart w:id="454" w:name="_Toc2137707883"/>
      <w:bookmarkStart w:id="455" w:name="_Toc2083350025"/>
      <w:bookmarkStart w:id="456" w:name="_Toc34646009"/>
      <w:bookmarkStart w:id="457" w:name="_Toc515391495"/>
      <w:bookmarkStart w:id="458" w:name="_Toc6455"/>
      <w:bookmarkStart w:id="459" w:name="_Toc12784"/>
      <w:bookmarkStart w:id="460" w:name="_Toc10959"/>
      <w:bookmarkStart w:id="461" w:name="_Toc16173"/>
      <w:r>
        <w:rPr>
          <w:rFonts w:hint="eastAsia" w:ascii="宋体" w:hAnsi="宋体" w:cs="宋体"/>
          <w:b/>
          <w:bCs/>
          <w:color w:val="auto"/>
          <w:highlight w:val="none"/>
        </w:rPr>
        <w:t>格式二、电子开标一览表格式</w:t>
      </w:r>
      <w:bookmarkEnd w:id="454"/>
      <w:bookmarkEnd w:id="455"/>
      <w:bookmarkEnd w:id="456"/>
      <w:bookmarkEnd w:id="457"/>
      <w:bookmarkEnd w:id="458"/>
      <w:bookmarkEnd w:id="459"/>
      <w:bookmarkEnd w:id="460"/>
      <w:bookmarkEnd w:id="461"/>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p>
    <w:tbl>
      <w:tblPr>
        <w:tblStyle w:val="27"/>
        <w:tblW w:w="14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3115"/>
        <w:gridCol w:w="2625"/>
        <w:gridCol w:w="1854"/>
        <w:gridCol w:w="1862"/>
        <w:gridCol w:w="2359"/>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96" w:type="dxa"/>
            <w:noWrap w:val="0"/>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3115" w:type="dxa"/>
            <w:noWrap w:val="0"/>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投标人名称</w:t>
            </w:r>
          </w:p>
        </w:tc>
        <w:tc>
          <w:tcPr>
            <w:tcW w:w="2625" w:type="dxa"/>
            <w:noWrap w:val="0"/>
            <w:vAlign w:val="center"/>
          </w:tcPr>
          <w:p>
            <w:pPr>
              <w:jc w:val="center"/>
              <w:rPr>
                <w:rFonts w:hint="eastAsia" w:ascii="宋体" w:hAnsi="宋体" w:cs="宋体"/>
                <w:bCs/>
                <w:color w:val="auto"/>
                <w:kern w:val="2"/>
                <w:sz w:val="21"/>
                <w:szCs w:val="21"/>
                <w:highlight w:val="none"/>
                <w:lang w:val="en-US" w:eastAsia="zh-CN" w:bidi="ar-SA"/>
              </w:rPr>
            </w:pPr>
            <w:r>
              <w:rPr>
                <w:rFonts w:hint="eastAsia" w:ascii="宋体" w:hAnsi="宋体" w:cs="宋体"/>
                <w:b/>
                <w:bCs w:val="0"/>
                <w:color w:val="auto"/>
                <w:szCs w:val="21"/>
                <w:highlight w:val="none"/>
              </w:rPr>
              <w:t>招标内容</w:t>
            </w:r>
          </w:p>
        </w:tc>
        <w:tc>
          <w:tcPr>
            <w:tcW w:w="1854" w:type="dxa"/>
            <w:noWrap w:val="0"/>
            <w:vAlign w:val="center"/>
          </w:tcPr>
          <w:p>
            <w:pPr>
              <w:jc w:val="center"/>
              <w:rPr>
                <w:rFonts w:hint="eastAsia"/>
                <w:b/>
                <w:bCs/>
                <w:color w:val="auto"/>
                <w:highlight w:val="none"/>
              </w:rPr>
            </w:pPr>
            <w:r>
              <w:rPr>
                <w:rFonts w:hint="eastAsia" w:ascii="宋体" w:hAnsi="宋体" w:cs="宋体"/>
                <w:b/>
                <w:bCs/>
                <w:color w:val="auto"/>
                <w:szCs w:val="21"/>
                <w:highlight w:val="none"/>
                <w:lang w:eastAsia="zh-CN"/>
              </w:rPr>
              <w:t>总价限价</w:t>
            </w:r>
            <w:r>
              <w:rPr>
                <w:rFonts w:hint="eastAsia"/>
                <w:b/>
                <w:bCs/>
                <w:color w:val="auto"/>
                <w:highlight w:val="none"/>
              </w:rPr>
              <w:t>（单位：</w:t>
            </w:r>
            <w:r>
              <w:rPr>
                <w:rFonts w:hint="eastAsia"/>
                <w:b/>
                <w:bCs/>
                <w:color w:val="auto"/>
                <w:highlight w:val="none"/>
                <w:lang w:eastAsia="zh-CN"/>
              </w:rPr>
              <w:t>万元，人民币</w:t>
            </w:r>
            <w:r>
              <w:rPr>
                <w:rFonts w:hint="eastAsia"/>
                <w:b/>
                <w:bCs/>
                <w:color w:val="auto"/>
                <w:highlight w:val="none"/>
              </w:rPr>
              <w:t>）</w:t>
            </w:r>
          </w:p>
          <w:p>
            <w:pPr>
              <w:jc w:val="center"/>
              <w:rPr>
                <w:rFonts w:hint="eastAsia" w:ascii="宋体" w:hAnsi="宋体" w:eastAsia="宋体" w:cs="宋体"/>
                <w:b/>
                <w:bCs/>
                <w:color w:val="auto"/>
                <w:szCs w:val="21"/>
                <w:highlight w:val="none"/>
                <w:lang w:eastAsia="zh-CN"/>
              </w:rPr>
            </w:pPr>
          </w:p>
        </w:tc>
        <w:tc>
          <w:tcPr>
            <w:tcW w:w="1862" w:type="dxa"/>
            <w:noWrap w:val="0"/>
            <w:vAlign w:val="center"/>
          </w:tcPr>
          <w:p>
            <w:pPr>
              <w:jc w:val="center"/>
              <w:rPr>
                <w:rFonts w:hint="eastAsia"/>
                <w:b/>
                <w:bCs/>
                <w:color w:val="auto"/>
                <w:highlight w:val="none"/>
              </w:rPr>
            </w:pPr>
            <w:r>
              <w:rPr>
                <w:rFonts w:hint="eastAsia"/>
                <w:b/>
                <w:bCs/>
                <w:color w:val="auto"/>
                <w:highlight w:val="none"/>
              </w:rPr>
              <w:t>投标总报价</w:t>
            </w:r>
          </w:p>
          <w:p>
            <w:pPr>
              <w:jc w:val="center"/>
              <w:rPr>
                <w:rFonts w:hint="eastAsia"/>
                <w:b/>
                <w:bCs/>
                <w:color w:val="auto"/>
                <w:highlight w:val="none"/>
              </w:rPr>
            </w:pPr>
            <w:r>
              <w:rPr>
                <w:rFonts w:hint="eastAsia"/>
                <w:b/>
                <w:bCs/>
                <w:color w:val="auto"/>
                <w:highlight w:val="none"/>
              </w:rPr>
              <w:t>（单位：</w:t>
            </w:r>
            <w:r>
              <w:rPr>
                <w:rFonts w:hint="eastAsia"/>
                <w:b/>
                <w:bCs/>
                <w:color w:val="auto"/>
                <w:highlight w:val="none"/>
                <w:lang w:eastAsia="zh-CN"/>
              </w:rPr>
              <w:t>万元，人民币</w:t>
            </w:r>
            <w:r>
              <w:rPr>
                <w:rFonts w:hint="eastAsia"/>
                <w:b/>
                <w:bCs/>
                <w:color w:val="auto"/>
                <w:highlight w:val="none"/>
              </w:rPr>
              <w:t>）</w:t>
            </w:r>
          </w:p>
        </w:tc>
        <w:tc>
          <w:tcPr>
            <w:tcW w:w="2359" w:type="dxa"/>
            <w:noWrap w:val="0"/>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服务期</w:t>
            </w:r>
          </w:p>
        </w:tc>
        <w:tc>
          <w:tcPr>
            <w:tcW w:w="1830" w:type="dxa"/>
            <w:noWrap w:val="0"/>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96" w:type="dxa"/>
            <w:noWrap w:val="0"/>
            <w:vAlign w:val="center"/>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3115" w:type="dxa"/>
            <w:noWrap w:val="0"/>
            <w:vAlign w:val="center"/>
          </w:tcPr>
          <w:p>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p>
        </w:tc>
        <w:tc>
          <w:tcPr>
            <w:tcW w:w="2625" w:type="dxa"/>
            <w:noWrap w:val="0"/>
            <w:vAlign w:val="center"/>
          </w:tcPr>
          <w:p>
            <w:pPr>
              <w:ind w:firstLine="420" w:firstLineChars="200"/>
              <w:jc w:val="left"/>
              <w:rPr>
                <w:rFonts w:hint="eastAsia" w:ascii="宋体" w:hAnsi="宋体" w:cs="宋体"/>
                <w:color w:val="auto"/>
                <w:kern w:val="2"/>
                <w:sz w:val="21"/>
                <w:szCs w:val="21"/>
                <w:highlight w:val="none"/>
                <w:lang w:val="en-US" w:eastAsia="zh-CN" w:bidi="ar-SA"/>
              </w:rPr>
            </w:pPr>
            <w:r>
              <w:rPr>
                <w:rFonts w:hint="eastAsia" w:ascii="宋体" w:hAnsi="宋体" w:eastAsia="宋体" w:cs="宋体"/>
                <w:color w:val="auto"/>
                <w:szCs w:val="21"/>
                <w:highlight w:val="none"/>
                <w:u w:val="none"/>
                <w:lang w:val="en-US" w:eastAsia="zh-CN"/>
              </w:rPr>
              <w:t>丝袜系列采购项目</w:t>
            </w:r>
          </w:p>
        </w:tc>
        <w:tc>
          <w:tcPr>
            <w:tcW w:w="1854" w:type="dxa"/>
            <w:noWrap w:val="0"/>
            <w:vAlign w:val="center"/>
          </w:tcPr>
          <w:p>
            <w:pPr>
              <w:spacing w:line="360" w:lineRule="auto"/>
              <w:jc w:val="center"/>
              <w:rPr>
                <w:rFonts w:hint="default" w:ascii="宋体" w:hAnsi="宋体" w:eastAsia="宋体" w:cs="宋体"/>
                <w:color w:val="auto"/>
                <w:szCs w:val="21"/>
                <w:highlight w:val="none"/>
                <w:u w:val="single"/>
                <w:lang w:val="en-US" w:eastAsia="zh-CN"/>
              </w:rPr>
            </w:pPr>
          </w:p>
        </w:tc>
        <w:tc>
          <w:tcPr>
            <w:tcW w:w="1862" w:type="dxa"/>
            <w:noWrap w:val="0"/>
            <w:vAlign w:val="center"/>
          </w:tcPr>
          <w:p>
            <w:pPr>
              <w:spacing w:line="360" w:lineRule="auto"/>
              <w:jc w:val="center"/>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u w:val="none"/>
                <w:lang w:eastAsia="zh-CN"/>
              </w:rPr>
              <w:t>【】</w:t>
            </w:r>
          </w:p>
        </w:tc>
        <w:tc>
          <w:tcPr>
            <w:tcW w:w="2359" w:type="dxa"/>
            <w:noWrap w:val="0"/>
            <w:vAlign w:val="center"/>
          </w:tcPr>
          <w:p>
            <w:pPr>
              <w:jc w:val="center"/>
              <w:rPr>
                <w:rFonts w:hint="eastAsia" w:ascii="宋体" w:hAnsi="宋体" w:eastAsia="宋体" w:cs="宋体"/>
                <w:color w:val="auto"/>
                <w:szCs w:val="21"/>
                <w:highlight w:val="none"/>
                <w:lang w:eastAsia="zh-CN"/>
              </w:rPr>
            </w:pPr>
          </w:p>
        </w:tc>
        <w:tc>
          <w:tcPr>
            <w:tcW w:w="1830" w:type="dxa"/>
            <w:noWrap w:val="0"/>
            <w:vAlign w:val="center"/>
          </w:tcPr>
          <w:p>
            <w:pPr>
              <w:spacing w:line="360" w:lineRule="auto"/>
              <w:jc w:val="center"/>
              <w:rPr>
                <w:rFonts w:hint="eastAsia" w:ascii="宋体" w:hAnsi="宋体" w:cs="宋体"/>
                <w:color w:val="auto"/>
                <w:szCs w:val="21"/>
                <w:highlight w:val="none"/>
              </w:rPr>
            </w:pPr>
          </w:p>
        </w:tc>
      </w:tr>
    </w:tbl>
    <w:p>
      <w:pPr>
        <w:spacing w:line="360" w:lineRule="auto"/>
        <w:ind w:firstLine="630" w:firstLineChars="300"/>
        <w:jc w:val="left"/>
        <w:rPr>
          <w:rFonts w:hint="eastAsia" w:ascii="宋体" w:hAnsi="宋体" w:cs="宋体"/>
          <w:color w:val="auto"/>
          <w:szCs w:val="21"/>
          <w:highlight w:val="none"/>
        </w:rPr>
      </w:pPr>
      <w:r>
        <w:rPr>
          <w:rFonts w:hint="eastAsia" w:ascii="宋体" w:hAnsi="宋体" w:cs="宋体"/>
          <w:color w:val="auto"/>
          <w:szCs w:val="21"/>
          <w:highlight w:val="none"/>
        </w:rPr>
        <w:t xml:space="preserve">注： </w:t>
      </w:r>
    </w:p>
    <w:p>
      <w:pPr>
        <w:spacing w:line="360" w:lineRule="auto"/>
        <w:ind w:firstLine="420" w:firstLineChars="200"/>
        <w:jc w:val="left"/>
        <w:rPr>
          <w:rFonts w:hint="eastAsia" w:ascii="宋体" w:hAnsi="宋体" w:cs="宋体"/>
          <w:strike/>
          <w:color w:val="auto"/>
          <w:szCs w:val="21"/>
          <w:highlight w:val="none"/>
        </w:rPr>
      </w:pPr>
      <w:r>
        <w:rPr>
          <w:rFonts w:hint="eastAsia" w:ascii="宋体" w:hAnsi="宋体" w:cs="宋体"/>
          <w:color w:val="auto"/>
          <w:szCs w:val="21"/>
          <w:highlight w:val="none"/>
        </w:rPr>
        <w:t>1、此表为电子开标一览表参考样式，请投标人在电子招标投标交易平台递交投标文件的《价格文件》时，按此表格式录入信息，并插入CA证书，输入密码确认。信息确认后，系统将生成电子开标一览表（自动链接到《价格文件》中，请投标人核对信息）。电子开标一览表中的投标报价（含总价、分项报价、税率等）与投标文件中的投标报价不一致的，以系统开标时公布的电子开标一览表为准。</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2、电子开标一览表总报价已包含《用户需求》要求的全部内容。</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3、电子开标一览表内投标报价为最终价（含税），投标文件内不得含有任何对本报价进行修改的其他说明或资料，否则为无效投标。</w:t>
      </w:r>
    </w:p>
    <w:p>
      <w:pPr>
        <w:spacing w:line="360" w:lineRule="auto"/>
        <w:rPr>
          <w:rFonts w:hint="eastAsia" w:ascii="宋体" w:hAnsi="宋体" w:cs="宋体"/>
          <w:color w:val="auto"/>
          <w:szCs w:val="21"/>
          <w:highlight w:val="none"/>
          <w:u w:val="single"/>
        </w:rPr>
        <w:sectPr>
          <w:pgSz w:w="16838" w:h="11906" w:orient="landscape"/>
          <w:pgMar w:top="1519" w:right="1440" w:bottom="1519" w:left="1440" w:header="851" w:footer="992" w:gutter="0"/>
          <w:pgNumType w:fmt="decimal"/>
          <w:cols w:space="720" w:num="1"/>
          <w:docGrid w:type="lines" w:linePitch="316" w:charSpace="0"/>
        </w:sect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462" w:name="_Toc23186"/>
      <w:bookmarkStart w:id="463" w:name="_Toc28635"/>
      <w:bookmarkStart w:id="464" w:name="_Toc14153"/>
      <w:bookmarkStart w:id="465" w:name="_Toc18353"/>
      <w:bookmarkStart w:id="466" w:name="_Toc249645903"/>
      <w:bookmarkStart w:id="467" w:name="_Toc2011890171"/>
      <w:bookmarkStart w:id="468" w:name="_Toc5069"/>
      <w:bookmarkStart w:id="469" w:name="_Toc14768"/>
      <w:bookmarkStart w:id="470" w:name="_Toc20358"/>
      <w:bookmarkStart w:id="471" w:name="_Toc700487746"/>
      <w:bookmarkStart w:id="472" w:name="_Toc2843"/>
      <w:bookmarkStart w:id="473" w:name="_Toc34646010"/>
      <w:bookmarkStart w:id="474" w:name="_Toc31969"/>
      <w:r>
        <w:rPr>
          <w:rFonts w:hint="eastAsia" w:ascii="宋体" w:hAnsi="宋体" w:cs="宋体"/>
          <w:b/>
          <w:color w:val="auto"/>
          <w:highlight w:val="none"/>
        </w:rPr>
        <w:t>格式三、分项报价表</w:t>
      </w:r>
      <w:bookmarkEnd w:id="462"/>
      <w:bookmarkEnd w:id="463"/>
      <w:bookmarkEnd w:id="464"/>
      <w:bookmarkEnd w:id="465"/>
      <w:bookmarkEnd w:id="466"/>
      <w:bookmarkEnd w:id="467"/>
      <w:bookmarkEnd w:id="468"/>
      <w:bookmarkEnd w:id="469"/>
      <w:bookmarkEnd w:id="470"/>
      <w:bookmarkEnd w:id="471"/>
      <w:bookmarkEnd w:id="472"/>
      <w:bookmarkEnd w:id="473"/>
      <w:bookmarkEnd w:id="474"/>
    </w:p>
    <w:p>
      <w:pPr>
        <w:pStyle w:val="5"/>
        <w:spacing w:line="360" w:lineRule="auto"/>
        <w:ind w:firstLine="3162" w:firstLineChars="1500"/>
        <w:rPr>
          <w:rFonts w:hint="eastAsia" w:ascii="宋体" w:hAnsi="宋体" w:cs="宋体"/>
          <w:b/>
          <w:color w:val="auto"/>
          <w:szCs w:val="21"/>
          <w:highlight w:val="none"/>
        </w:rPr>
      </w:pPr>
    </w:p>
    <w:tbl>
      <w:tblPr>
        <w:tblStyle w:val="27"/>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851"/>
        <w:gridCol w:w="1155"/>
        <w:gridCol w:w="1770"/>
        <w:gridCol w:w="1950"/>
        <w:gridCol w:w="2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jc w:val="center"/>
        </w:trPr>
        <w:tc>
          <w:tcPr>
            <w:tcW w:w="687" w:type="dxa"/>
            <w:shd w:val="clear" w:color="auto" w:fill="D7D7D7"/>
            <w:noWrap w:val="0"/>
            <w:vAlign w:val="center"/>
          </w:tcPr>
          <w:p>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1851" w:type="dxa"/>
            <w:shd w:val="clear" w:color="auto" w:fill="D7D7D7"/>
            <w:noWrap w:val="0"/>
            <w:vAlign w:val="center"/>
          </w:tcPr>
          <w:p>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eastAsia="zh-CN"/>
              </w:rPr>
              <w:t>采购</w:t>
            </w:r>
            <w:r>
              <w:rPr>
                <w:rFonts w:hint="eastAsia" w:ascii="宋体" w:hAnsi="宋体" w:cs="宋体"/>
                <w:color w:val="auto"/>
                <w:kern w:val="0"/>
                <w:szCs w:val="21"/>
                <w:highlight w:val="none"/>
              </w:rPr>
              <w:t>内容</w:t>
            </w:r>
          </w:p>
        </w:tc>
        <w:tc>
          <w:tcPr>
            <w:tcW w:w="1155" w:type="dxa"/>
            <w:shd w:val="clear" w:color="auto" w:fill="D7D7D7"/>
            <w:noWrap w:val="0"/>
            <w:vAlign w:val="center"/>
          </w:tcPr>
          <w:p>
            <w:pPr>
              <w:widowControl/>
              <w:jc w:val="center"/>
              <w:textAlignment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数量</w:t>
            </w:r>
            <w:r>
              <w:rPr>
                <w:rFonts w:hint="eastAsia" w:ascii="宋体" w:hAnsi="宋体" w:cs="宋体"/>
                <w:color w:val="auto"/>
                <w:kern w:val="0"/>
                <w:szCs w:val="21"/>
                <w:highlight w:val="none"/>
                <w:lang w:eastAsia="zh-CN"/>
              </w:rPr>
              <w:t>（单位：包）</w:t>
            </w:r>
            <w:r>
              <w:rPr>
                <w:rFonts w:hint="eastAsia" w:ascii="宋体" w:hAnsi="宋体" w:cs="宋体"/>
                <w:color w:val="auto"/>
                <w:kern w:val="0"/>
                <w:szCs w:val="21"/>
                <w:highlight w:val="none"/>
                <w:lang w:val="en-US" w:eastAsia="zh-CN"/>
              </w:rPr>
              <w:t>/3年</w:t>
            </w:r>
          </w:p>
        </w:tc>
        <w:tc>
          <w:tcPr>
            <w:tcW w:w="1770" w:type="dxa"/>
            <w:shd w:val="clear" w:color="auto" w:fill="D7D7D7"/>
            <w:noWrap w:val="0"/>
            <w:vAlign w:val="center"/>
          </w:tcPr>
          <w:p>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单价限价</w:t>
            </w:r>
          </w:p>
          <w:p>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 w:val="20"/>
                <w:szCs w:val="20"/>
                <w:highlight w:val="none"/>
              </w:rPr>
              <w:t>（单位：</w:t>
            </w:r>
            <w:r>
              <w:rPr>
                <w:rFonts w:hint="eastAsia" w:ascii="宋体" w:hAnsi="宋体" w:cs="宋体"/>
                <w:color w:val="auto"/>
                <w:kern w:val="0"/>
                <w:sz w:val="20"/>
                <w:szCs w:val="20"/>
                <w:highlight w:val="none"/>
                <w:lang w:eastAsia="zh-CN"/>
              </w:rPr>
              <w:t>元</w:t>
            </w:r>
            <w:r>
              <w:rPr>
                <w:rFonts w:hint="eastAsia" w:ascii="宋体" w:hAnsi="宋体" w:cs="宋体"/>
                <w:color w:val="auto"/>
                <w:kern w:val="0"/>
                <w:sz w:val="20"/>
                <w:szCs w:val="20"/>
                <w:highlight w:val="none"/>
              </w:rPr>
              <w:t>，人民币）</w:t>
            </w:r>
            <w:r>
              <w:rPr>
                <w:rFonts w:hint="eastAsia" w:ascii="宋体" w:hAnsi="宋体" w:cs="宋体"/>
                <w:color w:val="auto"/>
                <w:szCs w:val="21"/>
                <w:highlight w:val="none"/>
              </w:rPr>
              <w:t>（小写阿拉伯数字）</w:t>
            </w:r>
          </w:p>
        </w:tc>
        <w:tc>
          <w:tcPr>
            <w:tcW w:w="1950" w:type="dxa"/>
            <w:shd w:val="clear" w:color="auto" w:fill="D7D7D7"/>
            <w:noWrap w:val="0"/>
            <w:vAlign w:val="center"/>
          </w:tcPr>
          <w:p>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单价报价</w:t>
            </w:r>
          </w:p>
          <w:p>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 w:val="20"/>
                <w:szCs w:val="20"/>
                <w:highlight w:val="none"/>
              </w:rPr>
              <w:t>（单位：</w:t>
            </w:r>
            <w:r>
              <w:rPr>
                <w:rFonts w:hint="eastAsia" w:ascii="宋体" w:hAnsi="宋体" w:cs="宋体"/>
                <w:color w:val="auto"/>
                <w:kern w:val="0"/>
                <w:sz w:val="20"/>
                <w:szCs w:val="20"/>
                <w:highlight w:val="none"/>
                <w:lang w:eastAsia="zh-CN"/>
              </w:rPr>
              <w:t>元</w:t>
            </w:r>
            <w:r>
              <w:rPr>
                <w:rFonts w:hint="eastAsia" w:ascii="宋体" w:hAnsi="宋体" w:cs="宋体"/>
                <w:color w:val="auto"/>
                <w:kern w:val="0"/>
                <w:sz w:val="20"/>
                <w:szCs w:val="20"/>
                <w:highlight w:val="none"/>
              </w:rPr>
              <w:t>，人民币）</w:t>
            </w:r>
            <w:r>
              <w:rPr>
                <w:rFonts w:hint="eastAsia" w:ascii="宋体" w:hAnsi="宋体" w:cs="宋体"/>
                <w:color w:val="auto"/>
                <w:szCs w:val="21"/>
                <w:highlight w:val="none"/>
              </w:rPr>
              <w:t>（小写阿拉伯数字）</w:t>
            </w:r>
          </w:p>
        </w:tc>
        <w:tc>
          <w:tcPr>
            <w:tcW w:w="2082" w:type="dxa"/>
            <w:shd w:val="clear" w:color="auto" w:fill="D7D7D7"/>
            <w:noWrap w:val="0"/>
            <w:vAlign w:val="center"/>
          </w:tcPr>
          <w:p>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小计</w:t>
            </w:r>
          </w:p>
          <w:p>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 w:val="20"/>
                <w:szCs w:val="20"/>
                <w:highlight w:val="none"/>
              </w:rPr>
              <w:t>（单位：</w:t>
            </w:r>
            <w:r>
              <w:rPr>
                <w:rFonts w:hint="eastAsia" w:ascii="宋体" w:hAnsi="宋体" w:cs="宋体"/>
                <w:color w:val="auto"/>
                <w:kern w:val="0"/>
                <w:sz w:val="20"/>
                <w:szCs w:val="20"/>
                <w:highlight w:val="none"/>
                <w:lang w:eastAsia="zh-CN"/>
              </w:rPr>
              <w:t>元</w:t>
            </w:r>
            <w:r>
              <w:rPr>
                <w:rFonts w:hint="eastAsia" w:ascii="宋体" w:hAnsi="宋体" w:cs="宋体"/>
                <w:color w:val="auto"/>
                <w:kern w:val="0"/>
                <w:sz w:val="20"/>
                <w:szCs w:val="20"/>
                <w:highlight w:val="none"/>
              </w:rPr>
              <w:t>，人民币）</w:t>
            </w:r>
            <w:r>
              <w:rPr>
                <w:rFonts w:hint="eastAsia" w:ascii="宋体" w:hAnsi="宋体" w:cs="宋体"/>
                <w:color w:val="auto"/>
                <w:szCs w:val="21"/>
                <w:highlight w:val="none"/>
              </w:rPr>
              <w:t>（小写阿拉伯数字）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687" w:type="dxa"/>
            <w:noWrap w:val="0"/>
            <w:vAlign w:val="center"/>
          </w:tcPr>
          <w:p>
            <w:pPr>
              <w:widowControl/>
              <w:spacing w:line="360" w:lineRule="auto"/>
              <w:jc w:val="center"/>
              <w:textAlignment w:val="center"/>
              <w:rPr>
                <w:rFonts w:hint="eastAsia" w:ascii="宋体" w:hAnsi="宋体" w:cs="宋体"/>
                <w:b w:val="0"/>
                <w:bCs/>
                <w:color w:val="auto"/>
                <w:kern w:val="0"/>
                <w:szCs w:val="21"/>
                <w:highlight w:val="none"/>
              </w:rPr>
            </w:pPr>
            <w:r>
              <w:rPr>
                <w:rFonts w:hint="eastAsia" w:ascii="宋体" w:hAnsi="宋体" w:cs="宋体"/>
                <w:b w:val="0"/>
                <w:bCs/>
                <w:color w:val="auto"/>
                <w:kern w:val="0"/>
                <w:szCs w:val="21"/>
                <w:highlight w:val="none"/>
              </w:rPr>
              <w:t>1</w:t>
            </w:r>
          </w:p>
        </w:tc>
        <w:tc>
          <w:tcPr>
            <w:tcW w:w="1851" w:type="dxa"/>
            <w:noWrap w:val="0"/>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女乘丝袜</w:t>
            </w:r>
          </w:p>
        </w:tc>
        <w:tc>
          <w:tcPr>
            <w:tcW w:w="1155"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770"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950" w:type="dxa"/>
            <w:noWrap w:val="0"/>
            <w:vAlign w:val="center"/>
          </w:tcPr>
          <w:p>
            <w:pPr>
              <w:widowControl/>
              <w:spacing w:line="360" w:lineRule="auto"/>
              <w:textAlignment w:val="center"/>
              <w:rPr>
                <w:rFonts w:hint="eastAsia" w:ascii="宋体" w:hAnsi="宋体" w:cs="宋体"/>
                <w:color w:val="auto"/>
                <w:kern w:val="0"/>
                <w:szCs w:val="21"/>
                <w:highlight w:val="none"/>
              </w:rPr>
            </w:pPr>
          </w:p>
        </w:tc>
        <w:tc>
          <w:tcPr>
            <w:tcW w:w="2082" w:type="dxa"/>
            <w:noWrap w:val="0"/>
            <w:vAlign w:val="center"/>
          </w:tcPr>
          <w:p>
            <w:pPr>
              <w:widowControl/>
              <w:spacing w:line="360" w:lineRule="auto"/>
              <w:textAlignment w:val="center"/>
              <w:rPr>
                <w:rFonts w:hint="eastAsia"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687" w:type="dxa"/>
            <w:noWrap w:val="0"/>
            <w:vAlign w:val="center"/>
          </w:tcPr>
          <w:p>
            <w:pPr>
              <w:widowControl/>
              <w:spacing w:line="360" w:lineRule="auto"/>
              <w:jc w:val="center"/>
              <w:textAlignment w:val="center"/>
              <w:rPr>
                <w:rFonts w:hint="eastAsia" w:ascii="宋体" w:hAnsi="宋体" w:cs="宋体"/>
                <w:b w:val="0"/>
                <w:bCs/>
                <w:color w:val="auto"/>
                <w:kern w:val="0"/>
                <w:szCs w:val="21"/>
                <w:highlight w:val="none"/>
              </w:rPr>
            </w:pPr>
            <w:r>
              <w:rPr>
                <w:rFonts w:hint="eastAsia" w:ascii="宋体" w:hAnsi="宋体" w:cs="宋体"/>
                <w:b w:val="0"/>
                <w:bCs/>
                <w:color w:val="auto"/>
                <w:kern w:val="0"/>
                <w:szCs w:val="21"/>
                <w:highlight w:val="none"/>
              </w:rPr>
              <w:t>2</w:t>
            </w:r>
          </w:p>
        </w:tc>
        <w:tc>
          <w:tcPr>
            <w:tcW w:w="1851" w:type="dxa"/>
            <w:noWrap w:val="0"/>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窗口女丝袜</w:t>
            </w:r>
          </w:p>
        </w:tc>
        <w:tc>
          <w:tcPr>
            <w:tcW w:w="1155"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770"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950" w:type="dxa"/>
            <w:noWrap w:val="0"/>
            <w:vAlign w:val="center"/>
          </w:tcPr>
          <w:p>
            <w:pPr>
              <w:widowControl/>
              <w:spacing w:line="360" w:lineRule="auto"/>
              <w:textAlignment w:val="center"/>
              <w:rPr>
                <w:rFonts w:hint="eastAsia" w:ascii="宋体" w:hAnsi="宋体" w:cs="宋体"/>
                <w:color w:val="auto"/>
                <w:kern w:val="0"/>
                <w:szCs w:val="21"/>
                <w:highlight w:val="none"/>
              </w:rPr>
            </w:pPr>
          </w:p>
        </w:tc>
        <w:tc>
          <w:tcPr>
            <w:tcW w:w="2082" w:type="dxa"/>
            <w:noWrap w:val="0"/>
            <w:vAlign w:val="center"/>
          </w:tcPr>
          <w:p>
            <w:pPr>
              <w:widowControl/>
              <w:spacing w:line="360" w:lineRule="auto"/>
              <w:textAlignment w:val="center"/>
              <w:rPr>
                <w:rFonts w:hint="eastAsia"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 w:hRule="atLeast"/>
          <w:jc w:val="center"/>
        </w:trPr>
        <w:tc>
          <w:tcPr>
            <w:tcW w:w="687" w:type="dxa"/>
            <w:noWrap w:val="0"/>
            <w:vAlign w:val="center"/>
          </w:tcPr>
          <w:p>
            <w:pPr>
              <w:widowControl/>
              <w:spacing w:line="360" w:lineRule="auto"/>
              <w:jc w:val="center"/>
              <w:textAlignment w:val="center"/>
              <w:rPr>
                <w:rFonts w:hint="eastAsia" w:ascii="宋体" w:hAnsi="宋体" w:cs="宋体"/>
                <w:b w:val="0"/>
                <w:bCs/>
                <w:color w:val="auto"/>
                <w:kern w:val="0"/>
                <w:szCs w:val="21"/>
                <w:highlight w:val="none"/>
              </w:rPr>
            </w:pPr>
            <w:r>
              <w:rPr>
                <w:rFonts w:hint="eastAsia" w:ascii="宋体" w:hAnsi="宋体" w:cs="宋体"/>
                <w:b w:val="0"/>
                <w:bCs/>
                <w:color w:val="auto"/>
                <w:kern w:val="0"/>
                <w:szCs w:val="21"/>
                <w:highlight w:val="none"/>
              </w:rPr>
              <w:t>3</w:t>
            </w:r>
          </w:p>
        </w:tc>
        <w:tc>
          <w:tcPr>
            <w:tcW w:w="1851" w:type="dxa"/>
            <w:noWrap w:val="0"/>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女乘短丝袜袜</w:t>
            </w:r>
          </w:p>
        </w:tc>
        <w:tc>
          <w:tcPr>
            <w:tcW w:w="1155"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770"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950" w:type="dxa"/>
            <w:noWrap w:val="0"/>
            <w:vAlign w:val="center"/>
          </w:tcPr>
          <w:p>
            <w:pPr>
              <w:widowControl/>
              <w:spacing w:line="360" w:lineRule="auto"/>
              <w:textAlignment w:val="center"/>
              <w:rPr>
                <w:rFonts w:hint="eastAsia" w:ascii="宋体" w:hAnsi="宋体" w:cs="宋体"/>
                <w:color w:val="auto"/>
                <w:kern w:val="0"/>
                <w:szCs w:val="21"/>
                <w:highlight w:val="none"/>
              </w:rPr>
            </w:pPr>
          </w:p>
        </w:tc>
        <w:tc>
          <w:tcPr>
            <w:tcW w:w="2082" w:type="dxa"/>
            <w:noWrap w:val="0"/>
            <w:vAlign w:val="center"/>
          </w:tcPr>
          <w:p>
            <w:pPr>
              <w:widowControl/>
              <w:spacing w:line="360" w:lineRule="auto"/>
              <w:textAlignment w:val="center"/>
              <w:rPr>
                <w:rFonts w:hint="eastAsia"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687" w:type="dxa"/>
            <w:noWrap w:val="0"/>
            <w:vAlign w:val="center"/>
          </w:tcPr>
          <w:p>
            <w:pPr>
              <w:widowControl/>
              <w:spacing w:line="360" w:lineRule="auto"/>
              <w:jc w:val="center"/>
              <w:textAlignment w:val="center"/>
              <w:rPr>
                <w:rFonts w:hint="eastAsia" w:ascii="宋体" w:hAnsi="宋体" w:cs="宋体"/>
                <w:b w:val="0"/>
                <w:bCs/>
                <w:color w:val="auto"/>
                <w:kern w:val="0"/>
                <w:szCs w:val="21"/>
                <w:highlight w:val="none"/>
              </w:rPr>
            </w:pPr>
            <w:r>
              <w:rPr>
                <w:rFonts w:hint="eastAsia" w:ascii="宋体" w:hAnsi="宋体" w:cs="宋体"/>
                <w:b w:val="0"/>
                <w:bCs/>
                <w:color w:val="auto"/>
                <w:kern w:val="0"/>
                <w:szCs w:val="21"/>
                <w:highlight w:val="none"/>
              </w:rPr>
              <w:t>4</w:t>
            </w:r>
          </w:p>
        </w:tc>
        <w:tc>
          <w:tcPr>
            <w:tcW w:w="1851" w:type="dxa"/>
            <w:noWrap w:val="0"/>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窗口女短丝袜</w:t>
            </w:r>
          </w:p>
        </w:tc>
        <w:tc>
          <w:tcPr>
            <w:tcW w:w="1155"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770"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950" w:type="dxa"/>
            <w:noWrap w:val="0"/>
            <w:vAlign w:val="center"/>
          </w:tcPr>
          <w:p>
            <w:pPr>
              <w:widowControl/>
              <w:spacing w:line="360" w:lineRule="auto"/>
              <w:textAlignment w:val="center"/>
              <w:rPr>
                <w:rFonts w:hint="eastAsia" w:ascii="宋体" w:hAnsi="宋体" w:cs="宋体"/>
                <w:color w:val="auto"/>
                <w:kern w:val="0"/>
                <w:szCs w:val="21"/>
                <w:highlight w:val="none"/>
              </w:rPr>
            </w:pPr>
          </w:p>
        </w:tc>
        <w:tc>
          <w:tcPr>
            <w:tcW w:w="2082" w:type="dxa"/>
            <w:noWrap w:val="0"/>
            <w:vAlign w:val="center"/>
          </w:tcPr>
          <w:p>
            <w:pPr>
              <w:widowControl/>
              <w:spacing w:line="360" w:lineRule="auto"/>
              <w:textAlignment w:val="center"/>
              <w:rPr>
                <w:rFonts w:hint="eastAsia"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 w:hRule="atLeast"/>
          <w:jc w:val="center"/>
        </w:trPr>
        <w:tc>
          <w:tcPr>
            <w:tcW w:w="687" w:type="dxa"/>
            <w:noWrap w:val="0"/>
            <w:vAlign w:val="center"/>
          </w:tcPr>
          <w:p>
            <w:pPr>
              <w:widowControl/>
              <w:spacing w:line="360" w:lineRule="auto"/>
              <w:jc w:val="center"/>
              <w:textAlignment w:val="center"/>
              <w:rPr>
                <w:rFonts w:hint="eastAsia" w:ascii="宋体" w:hAnsi="宋体" w:cs="宋体"/>
                <w:b w:val="0"/>
                <w:bCs/>
                <w:color w:val="auto"/>
                <w:kern w:val="0"/>
                <w:szCs w:val="21"/>
                <w:highlight w:val="none"/>
              </w:rPr>
            </w:pPr>
            <w:r>
              <w:rPr>
                <w:rFonts w:hint="eastAsia" w:ascii="宋体" w:hAnsi="宋体" w:cs="宋体"/>
                <w:b w:val="0"/>
                <w:bCs/>
                <w:color w:val="auto"/>
                <w:kern w:val="0"/>
                <w:szCs w:val="21"/>
                <w:highlight w:val="none"/>
              </w:rPr>
              <w:t>5</w:t>
            </w:r>
          </w:p>
        </w:tc>
        <w:tc>
          <w:tcPr>
            <w:tcW w:w="1851" w:type="dxa"/>
            <w:noWrap w:val="0"/>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女乘加厚裤袜</w:t>
            </w:r>
          </w:p>
        </w:tc>
        <w:tc>
          <w:tcPr>
            <w:tcW w:w="1155"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770"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950" w:type="dxa"/>
            <w:noWrap w:val="0"/>
            <w:vAlign w:val="center"/>
          </w:tcPr>
          <w:p>
            <w:pPr>
              <w:widowControl/>
              <w:spacing w:line="360" w:lineRule="auto"/>
              <w:textAlignment w:val="center"/>
              <w:rPr>
                <w:rFonts w:hint="eastAsia" w:ascii="宋体" w:hAnsi="宋体" w:cs="宋体"/>
                <w:color w:val="auto"/>
                <w:kern w:val="0"/>
                <w:szCs w:val="21"/>
                <w:highlight w:val="none"/>
              </w:rPr>
            </w:pPr>
          </w:p>
        </w:tc>
        <w:tc>
          <w:tcPr>
            <w:tcW w:w="2082" w:type="dxa"/>
            <w:noWrap w:val="0"/>
            <w:vAlign w:val="center"/>
          </w:tcPr>
          <w:p>
            <w:pPr>
              <w:widowControl/>
              <w:spacing w:line="360" w:lineRule="auto"/>
              <w:textAlignment w:val="center"/>
              <w:rPr>
                <w:rFonts w:hint="eastAsia"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 w:hRule="atLeast"/>
          <w:jc w:val="center"/>
        </w:trPr>
        <w:tc>
          <w:tcPr>
            <w:tcW w:w="687" w:type="dxa"/>
            <w:noWrap w:val="0"/>
            <w:vAlign w:val="center"/>
          </w:tcPr>
          <w:p>
            <w:pPr>
              <w:widowControl/>
              <w:spacing w:line="360" w:lineRule="auto"/>
              <w:jc w:val="center"/>
              <w:textAlignment w:val="center"/>
              <w:rPr>
                <w:rFonts w:hint="eastAsia" w:ascii="宋体" w:hAnsi="宋体" w:cs="宋体"/>
                <w:b w:val="0"/>
                <w:bCs/>
                <w:color w:val="auto"/>
                <w:kern w:val="0"/>
                <w:szCs w:val="21"/>
                <w:highlight w:val="none"/>
              </w:rPr>
            </w:pPr>
            <w:r>
              <w:rPr>
                <w:rFonts w:hint="eastAsia" w:ascii="宋体" w:hAnsi="宋体" w:cs="宋体"/>
                <w:b w:val="0"/>
                <w:bCs/>
                <w:color w:val="auto"/>
                <w:kern w:val="0"/>
                <w:szCs w:val="21"/>
                <w:highlight w:val="none"/>
              </w:rPr>
              <w:t>6</w:t>
            </w:r>
          </w:p>
        </w:tc>
        <w:tc>
          <w:tcPr>
            <w:tcW w:w="1851" w:type="dxa"/>
            <w:noWrap w:val="0"/>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窗口女加厚裤袜</w:t>
            </w:r>
          </w:p>
        </w:tc>
        <w:tc>
          <w:tcPr>
            <w:tcW w:w="1155"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770" w:type="dxa"/>
            <w:noWrap w:val="0"/>
            <w:vAlign w:val="center"/>
          </w:tcPr>
          <w:p>
            <w:pPr>
              <w:jc w:val="center"/>
              <w:rPr>
                <w:rFonts w:hint="eastAsia" w:ascii="宋体" w:hAnsi="宋体" w:eastAsia="宋体" w:cs="宋体"/>
                <w:color w:val="auto"/>
                <w:kern w:val="2"/>
                <w:sz w:val="21"/>
                <w:szCs w:val="21"/>
                <w:highlight w:val="none"/>
                <w:lang w:val="en-US" w:eastAsia="zh-CN" w:bidi="ar-SA"/>
              </w:rPr>
            </w:pPr>
          </w:p>
        </w:tc>
        <w:tc>
          <w:tcPr>
            <w:tcW w:w="1950" w:type="dxa"/>
            <w:noWrap w:val="0"/>
            <w:vAlign w:val="center"/>
          </w:tcPr>
          <w:p>
            <w:pPr>
              <w:widowControl/>
              <w:spacing w:line="360" w:lineRule="auto"/>
              <w:textAlignment w:val="center"/>
              <w:rPr>
                <w:rFonts w:hint="eastAsia" w:ascii="宋体" w:hAnsi="宋体" w:cs="宋体"/>
                <w:color w:val="auto"/>
                <w:kern w:val="0"/>
                <w:szCs w:val="21"/>
                <w:highlight w:val="none"/>
              </w:rPr>
            </w:pPr>
          </w:p>
        </w:tc>
        <w:tc>
          <w:tcPr>
            <w:tcW w:w="2082" w:type="dxa"/>
            <w:noWrap w:val="0"/>
            <w:vAlign w:val="center"/>
          </w:tcPr>
          <w:p>
            <w:pPr>
              <w:widowControl/>
              <w:spacing w:line="360" w:lineRule="auto"/>
              <w:textAlignment w:val="center"/>
              <w:rPr>
                <w:rFonts w:hint="eastAsia"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413" w:type="dxa"/>
            <w:gridSpan w:val="5"/>
            <w:noWrap w:val="0"/>
            <w:vAlign w:val="center"/>
          </w:tcPr>
          <w:p>
            <w:pPr>
              <w:spacing w:line="360" w:lineRule="auto"/>
              <w:jc w:val="right"/>
              <w:rPr>
                <w:rFonts w:hint="eastAsia" w:ascii="宋体" w:hAnsi="宋体" w:cs="宋体"/>
                <w:color w:val="auto"/>
                <w:kern w:val="0"/>
                <w:szCs w:val="21"/>
                <w:highlight w:val="none"/>
              </w:rPr>
            </w:pPr>
            <w:r>
              <w:rPr>
                <w:rFonts w:hint="eastAsia" w:ascii="宋体" w:hAnsi="宋体" w:cs="宋体"/>
                <w:color w:val="auto"/>
                <w:kern w:val="0"/>
                <w:szCs w:val="21"/>
                <w:highlight w:val="none"/>
              </w:rPr>
              <w:t>总价报价</w:t>
            </w:r>
            <w:r>
              <w:rPr>
                <w:rFonts w:hint="eastAsia" w:ascii="宋体" w:hAnsi="宋体" w:cs="宋体"/>
                <w:b/>
                <w:bCs/>
                <w:color w:val="auto"/>
                <w:kern w:val="0"/>
                <w:szCs w:val="21"/>
                <w:highlight w:val="none"/>
              </w:rPr>
              <w:t>（应与《电子开标一览表》</w:t>
            </w:r>
            <w:r>
              <w:rPr>
                <w:rFonts w:hint="eastAsia" w:ascii="宋体" w:hAnsi="宋体" w:cs="宋体"/>
                <w:b/>
                <w:bCs/>
                <w:color w:val="auto"/>
                <w:szCs w:val="21"/>
                <w:highlight w:val="none"/>
              </w:rPr>
              <w:t>投标总报价</w:t>
            </w:r>
            <w:r>
              <w:rPr>
                <w:rFonts w:hint="eastAsia" w:ascii="宋体" w:hAnsi="宋体" w:cs="宋体"/>
                <w:b/>
                <w:bCs/>
                <w:color w:val="auto"/>
                <w:kern w:val="0"/>
                <w:szCs w:val="21"/>
                <w:highlight w:val="none"/>
              </w:rPr>
              <w:t>一致）</w:t>
            </w:r>
          </w:p>
        </w:tc>
        <w:tc>
          <w:tcPr>
            <w:tcW w:w="2082" w:type="dxa"/>
            <w:noWrap w:val="0"/>
            <w:vAlign w:val="center"/>
          </w:tcPr>
          <w:p>
            <w:pPr>
              <w:widowControl/>
              <w:spacing w:line="360" w:lineRule="auto"/>
              <w:textAlignment w:val="center"/>
              <w:rPr>
                <w:rFonts w:hint="eastAsia" w:ascii="宋体" w:hAnsi="宋体" w:cs="宋体"/>
                <w:color w:val="auto"/>
                <w:kern w:val="0"/>
                <w:szCs w:val="21"/>
                <w:highlight w:val="none"/>
              </w:rPr>
            </w:pPr>
          </w:p>
        </w:tc>
      </w:tr>
    </w:tbl>
    <w:p>
      <w:pPr>
        <w:spacing w:line="360" w:lineRule="auto"/>
        <w:ind w:firstLine="2940" w:firstLineChars="1400"/>
        <w:rPr>
          <w:rFonts w:hint="eastAsia" w:ascii="宋体" w:hAnsi="宋体" w:cs="宋体"/>
          <w:color w:val="auto"/>
          <w:szCs w:val="21"/>
          <w:highlight w:val="none"/>
        </w:rPr>
      </w:pPr>
    </w:p>
    <w:p>
      <w:pPr>
        <w:spacing w:line="360" w:lineRule="auto"/>
        <w:rPr>
          <w:rFonts w:hint="eastAsia" w:ascii="宋体" w:hAnsi="宋体" w:cs="宋体"/>
          <w:b/>
          <w:color w:val="auto"/>
          <w:sz w:val="32"/>
          <w:highlight w:val="none"/>
        </w:rPr>
      </w:pPr>
    </w:p>
    <w:p>
      <w:pPr>
        <w:spacing w:line="360" w:lineRule="auto"/>
        <w:rPr>
          <w:rFonts w:hint="eastAsia" w:ascii="宋体" w:hAnsi="宋体" w:cs="宋体"/>
          <w:b/>
          <w:color w:val="auto"/>
          <w:sz w:val="32"/>
          <w:highlight w:val="none"/>
        </w:rPr>
      </w:pPr>
    </w:p>
    <w:p>
      <w:pPr>
        <w:spacing w:line="360" w:lineRule="auto"/>
        <w:rPr>
          <w:rFonts w:hint="eastAsia" w:ascii="宋体" w:hAnsi="宋体" w:cs="宋体"/>
          <w:b/>
          <w:color w:val="auto"/>
          <w:sz w:val="32"/>
          <w:highlight w:val="none"/>
        </w:rPr>
      </w:pPr>
    </w:p>
    <w:p>
      <w:pPr>
        <w:spacing w:line="360" w:lineRule="auto"/>
        <w:rPr>
          <w:rFonts w:hint="eastAsia" w:ascii="宋体" w:hAnsi="宋体" w:cs="宋体"/>
          <w:b/>
          <w:color w:val="auto"/>
          <w:sz w:val="32"/>
          <w:highlight w:val="none"/>
        </w:rPr>
      </w:pPr>
    </w:p>
    <w:p>
      <w:pPr>
        <w:spacing w:line="360" w:lineRule="auto"/>
        <w:rPr>
          <w:rFonts w:hint="eastAsia" w:ascii="宋体" w:hAnsi="宋体" w:cs="宋体"/>
          <w:b/>
          <w:color w:val="auto"/>
          <w:sz w:val="32"/>
          <w:highlight w:val="none"/>
        </w:rPr>
      </w:pPr>
    </w:p>
    <w:p>
      <w:pPr>
        <w:spacing w:line="360" w:lineRule="auto"/>
        <w:rPr>
          <w:rFonts w:hint="eastAsia" w:ascii="宋体" w:hAnsi="宋体" w:cs="宋体"/>
          <w:b/>
          <w:color w:val="auto"/>
          <w:sz w:val="32"/>
          <w:highlight w:val="none"/>
        </w:rPr>
      </w:pPr>
    </w:p>
    <w:p>
      <w:pPr>
        <w:spacing w:line="360" w:lineRule="auto"/>
        <w:rPr>
          <w:rFonts w:hint="eastAsia" w:ascii="宋体" w:hAnsi="宋体" w:cs="宋体"/>
          <w:b/>
          <w:color w:val="auto"/>
          <w:sz w:val="32"/>
          <w:highlight w:val="none"/>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475" w:name="_Toc23855"/>
      <w:bookmarkStart w:id="476" w:name="_Toc18097"/>
      <w:bookmarkStart w:id="477" w:name="_Toc13179"/>
      <w:bookmarkStart w:id="478" w:name="_Toc17237"/>
      <w:bookmarkStart w:id="479" w:name="_Toc989707732"/>
      <w:bookmarkStart w:id="480" w:name="_Toc20012"/>
      <w:bookmarkStart w:id="481" w:name="_Toc504657635"/>
      <w:bookmarkStart w:id="482" w:name="_Toc22783"/>
      <w:bookmarkStart w:id="483" w:name="_Toc21688"/>
      <w:bookmarkStart w:id="484" w:name="_Toc34646011"/>
      <w:bookmarkStart w:id="485" w:name="_Toc13282"/>
      <w:bookmarkStart w:id="486" w:name="_Toc8686"/>
      <w:bookmarkStart w:id="487" w:name="_Toc205544765"/>
      <w:bookmarkStart w:id="488" w:name="_Toc6735"/>
      <w:bookmarkStart w:id="489" w:name="_Toc1130012462"/>
      <w:bookmarkStart w:id="490" w:name="_Toc11459"/>
      <w:r>
        <w:rPr>
          <w:rFonts w:hint="eastAsia" w:ascii="宋体" w:hAnsi="宋体" w:cs="宋体"/>
          <w:b/>
          <w:color w:val="auto"/>
          <w:highlight w:val="none"/>
        </w:rPr>
        <w:t>格式四、投标函</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致：中国南航集团进出口贸易有限公司</w:t>
      </w:r>
      <w:r>
        <w:rPr>
          <w:rFonts w:hint="eastAsia" w:ascii="宋体" w:hAnsi="宋体" w:cs="宋体"/>
          <w:color w:val="auto"/>
          <w:szCs w:val="21"/>
          <w:highlight w:val="none"/>
          <w:lang w:val="en-US" w:eastAsia="zh-CN"/>
        </w:rPr>
        <w:t>交易</w:t>
      </w:r>
      <w:r>
        <w:rPr>
          <w:rFonts w:hint="eastAsia" w:ascii="宋体" w:hAnsi="宋体" w:cs="宋体"/>
          <w:color w:val="auto"/>
          <w:szCs w:val="21"/>
          <w:highlight w:val="none"/>
        </w:rPr>
        <w:t>中心</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关于你方组织的【项目名称】的招标（</w:t>
      </w:r>
      <w:r>
        <w:rPr>
          <w:rFonts w:hint="eastAsia" w:hAnsi="宋体" w:cs="宋体"/>
          <w:color w:val="auto"/>
          <w:highlight w:val="none"/>
          <w:lang w:val="en-US" w:eastAsia="zh-CN"/>
        </w:rPr>
        <w:t>项目</w:t>
      </w:r>
      <w:r>
        <w:rPr>
          <w:rFonts w:hint="eastAsia" w:hAnsi="宋体" w:cs="宋体"/>
          <w:color w:val="auto"/>
          <w:highlight w:val="none"/>
        </w:rPr>
        <w:t>编号：【】）事宜，我方愿参与投标。</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我方确认收到贵方提供的该</w:t>
      </w:r>
      <w:r>
        <w:rPr>
          <w:rFonts w:hint="eastAsia" w:hAnsi="宋体" w:cs="宋体"/>
          <w:color w:val="auto"/>
          <w:kern w:val="28"/>
          <w:highlight w:val="none"/>
        </w:rPr>
        <w:t>项目</w:t>
      </w:r>
      <w:r>
        <w:rPr>
          <w:rFonts w:hint="eastAsia" w:hAnsi="宋体" w:cs="宋体"/>
          <w:color w:val="auto"/>
          <w:highlight w:val="none"/>
        </w:rPr>
        <w:t>招标文件的全部内容。</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异议的一切权力。</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(投标人名称)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作为投标人正式授权</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(授权代表全名, 职务)  </w:t>
      </w:r>
      <w:r>
        <w:rPr>
          <w:rFonts w:hint="eastAsia" w:ascii="宋体" w:hAnsi="宋体" w:cs="宋体"/>
          <w:color w:val="auto"/>
          <w:szCs w:val="21"/>
          <w:highlight w:val="none"/>
        </w:rPr>
        <w:t>代表我方全权处理有关本投标的一切事宜。</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我方具有良好的商业信誉和健全的财务会计制度，没有处于被责令停业，财产被接管、查封、扣押、冻结、破产状态；有良好的经营业绩和相应的责任承担能力。</w:t>
      </w:r>
    </w:p>
    <w:p>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在此提交的投标文件，</w:t>
      </w:r>
      <w:r>
        <w:rPr>
          <w:rFonts w:hint="eastAsia" w:ascii="宋体" w:hAnsi="宋体" w:cs="宋体"/>
          <w:color w:val="auto"/>
          <w:highlight w:val="none"/>
        </w:rPr>
        <w:t>我方已完全明白招标文件的所有条款要求，并申明如下：</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（一）按招标文件提供的全部货物与相关服务的投标总价详见《电子开标一览表》。</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二）本投标文件的有效期为投标截止时间起90天。如中标，有效期将延至合同终止日为止。在此提交的资格证明文件均至投标截止日有效，如有在投标有效期内失效的，我方承诺在中标后补齐一切手续，保证所有资格证明文件能在签订合同时直至合同终止日有效。</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（三）我方明白并同意，在规定的开标日之后，投标有效期之内撤回投标或中标后不按规定与招标人签订合同或不提交履约保证金, 则贵方将不予退还投标保证金</w:t>
      </w:r>
      <w:r>
        <w:rPr>
          <w:rFonts w:hint="eastAsia" w:hAnsi="宋体" w:cs="宋体"/>
          <w:lang w:val="en-US" w:eastAsia="zh-CN"/>
        </w:rPr>
        <w:t>及银行同期存款利息</w:t>
      </w:r>
      <w:r>
        <w:rPr>
          <w:rFonts w:hint="eastAsia" w:hAnsi="宋体" w:cs="宋体"/>
          <w:color w:val="auto"/>
          <w:highlight w:val="none"/>
        </w:rPr>
        <w:t>，我方</w:t>
      </w:r>
      <w:r>
        <w:rPr>
          <w:rFonts w:hint="eastAsia" w:hAnsi="宋体" w:cs="宋体"/>
          <w:color w:val="auto"/>
          <w:szCs w:val="21"/>
          <w:highlight w:val="none"/>
        </w:rPr>
        <w:t>以保函形式递交保证金的，贵方有权要求保函出具机构（担保人）向贵方全额支付保函金额</w:t>
      </w:r>
      <w:r>
        <w:rPr>
          <w:rFonts w:hint="eastAsia" w:hAnsi="宋体" w:cs="宋体"/>
          <w:color w:val="auto"/>
          <w:highlight w:val="none"/>
        </w:rPr>
        <w:t>。</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（四）我方同意按照贵方可能提出的要求而提供与投标有关的任何其它数据、信息或资料。</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（五）我方理解贵方不一定接受最低投标价或任何贵方可能收到的投标。</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（六）我方如果中标，将保证履行招标文件及其澄清、修改文件（如果有）中的全部责任和义务，按质、按量、按期完成《用户需求》及《合同条款及格式》中的全部任务。</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（七）如我方中标，我方承诺支付就本次招标应支付或将支付的中标服务费。</w:t>
      </w:r>
    </w:p>
    <w:p>
      <w:pPr>
        <w:pStyle w:val="14"/>
        <w:tabs>
          <w:tab w:val="left" w:pos="9360"/>
        </w:tabs>
        <w:spacing w:line="360" w:lineRule="auto"/>
        <w:ind w:firstLine="420" w:firstLineChars="200"/>
        <w:rPr>
          <w:rFonts w:hint="eastAsia" w:hAnsi="宋体" w:cs="宋体"/>
          <w:color w:val="auto"/>
          <w:highlight w:val="none"/>
        </w:rPr>
      </w:pPr>
      <w:r>
        <w:rPr>
          <w:rFonts w:hint="eastAsia" w:hAnsi="宋体" w:cs="宋体"/>
          <w:color w:val="auto"/>
          <w:highlight w:val="none"/>
        </w:rPr>
        <w:t>（八）我方作为</w:t>
      </w:r>
      <w:r>
        <w:rPr>
          <w:rFonts w:hint="eastAsia" w:hAnsi="宋体" w:cs="宋体"/>
          <w:color w:val="auto"/>
          <w:highlight w:val="none"/>
          <w:u w:val="single"/>
        </w:rPr>
        <w:t xml:space="preserve">   （</w:t>
      </w:r>
      <w:r>
        <w:rPr>
          <w:rFonts w:hint="eastAsia" w:hAnsi="宋体" w:cs="宋体"/>
          <w:i/>
          <w:color w:val="auto"/>
          <w:highlight w:val="none"/>
          <w:u w:val="single"/>
        </w:rPr>
        <w:t>制造商/代理商/服务商）</w:t>
      </w:r>
      <w:r>
        <w:rPr>
          <w:rFonts w:hint="eastAsia" w:hAnsi="宋体" w:cs="宋体"/>
          <w:color w:val="auto"/>
          <w:highlight w:val="none"/>
          <w:u w:val="single"/>
        </w:rPr>
        <w:t xml:space="preserve">   </w:t>
      </w:r>
      <w:r>
        <w:rPr>
          <w:rFonts w:hint="eastAsia" w:hAnsi="宋体" w:cs="宋体"/>
          <w:color w:val="auto"/>
          <w:highlight w:val="none"/>
        </w:rPr>
        <w:t>是在法律、财务和运作上独立于招标人、招标代理机构的投标人，在此保证所提交的所有文件和全部说明是真实的和正确的。</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（九）我方投标报价已包含应向知识产权所有权人支付的所有相关税费，并保证招标人在中国使用我方提供的货物时，如有第三方提出侵犯其知识产权主张的，责任由我方承担。 </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（十）我方对在本函及投标文件中所作的所有承诺承担法律责任。</w:t>
      </w:r>
    </w:p>
    <w:p>
      <w:pPr>
        <w:pStyle w:val="14"/>
        <w:spacing w:line="360" w:lineRule="auto"/>
        <w:ind w:firstLine="420" w:firstLineChars="200"/>
        <w:rPr>
          <w:rFonts w:hint="eastAsia" w:hAnsi="宋体" w:cs="宋体"/>
          <w:color w:val="auto"/>
          <w:highlight w:val="none"/>
        </w:rPr>
      </w:pPr>
      <w:r>
        <w:rPr>
          <w:rFonts w:hint="eastAsia" w:hAnsi="宋体" w:cs="宋体"/>
          <w:color w:val="auto"/>
          <w:highlight w:val="none"/>
        </w:rPr>
        <w:t>（十一）所有与本招标有关的函件请发往下列地址：</w:t>
      </w:r>
    </w:p>
    <w:p>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代表姓名：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    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hint="eastAsia" w:ascii="宋体" w:hAnsi="宋体" w:cs="宋体"/>
          <w:color w:val="auto"/>
          <w:szCs w:val="21"/>
          <w:highlight w:val="none"/>
        </w:rPr>
      </w:pPr>
    </w:p>
    <w:p>
      <w:pPr>
        <w:spacing w:line="360" w:lineRule="auto"/>
        <w:ind w:firstLine="420" w:firstLineChars="200"/>
        <w:rPr>
          <w:rFonts w:hint="eastAsia" w:ascii="宋体" w:hAnsi="宋体" w:cs="宋体"/>
          <w:color w:val="auto"/>
          <w:szCs w:val="21"/>
          <w:highlight w:val="none"/>
        </w:rPr>
      </w:pPr>
    </w:p>
    <w:p>
      <w:pPr>
        <w:spacing w:line="360" w:lineRule="auto"/>
        <w:ind w:firstLine="2940" w:firstLineChars="1400"/>
        <w:rPr>
          <w:rFonts w:hint="eastAsia" w:ascii="宋体" w:hAnsi="宋体" w:cs="宋体"/>
          <w:color w:val="auto"/>
          <w:szCs w:val="21"/>
          <w:highlight w:val="none"/>
          <w:u w:val="single"/>
        </w:rPr>
      </w:pPr>
      <w:r>
        <w:rPr>
          <w:rFonts w:hint="eastAsia" w:ascii="宋体" w:hAnsi="宋体" w:cs="宋体"/>
          <w:color w:val="auto"/>
          <w:szCs w:val="21"/>
          <w:highlight w:val="none"/>
        </w:rPr>
        <w:t>投 标 人（单位公章）：</w:t>
      </w:r>
      <w:r>
        <w:rPr>
          <w:rFonts w:hint="eastAsia" w:ascii="宋体" w:hAnsi="宋体" w:cs="宋体"/>
          <w:color w:val="auto"/>
          <w:szCs w:val="21"/>
          <w:highlight w:val="none"/>
          <w:u w:val="single"/>
        </w:rPr>
        <w:t xml:space="preserve">               </w:t>
      </w:r>
    </w:p>
    <w:p>
      <w:pPr>
        <w:spacing w:line="360" w:lineRule="auto"/>
        <w:ind w:firstLine="2940" w:firstLineChars="1400"/>
        <w:rPr>
          <w:rFonts w:hint="eastAsia" w:ascii="宋体" w:hAnsi="宋体" w:cs="宋体"/>
          <w:strike/>
          <w:color w:val="auto"/>
          <w:szCs w:val="21"/>
          <w:highlight w:val="none"/>
        </w:rPr>
      </w:pPr>
    </w:p>
    <w:p>
      <w:pPr>
        <w:spacing w:line="360" w:lineRule="auto"/>
        <w:ind w:firstLine="2940" w:firstLineChars="1400"/>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adjustRightInd w:val="0"/>
        <w:snapToGrid w:val="0"/>
        <w:spacing w:line="360" w:lineRule="auto"/>
        <w:ind w:firstLine="420" w:firstLineChars="200"/>
        <w:rPr>
          <w:rFonts w:hint="eastAsia" w:ascii="宋体" w:hAnsi="宋体" w:cs="宋体"/>
          <w:color w:val="auto"/>
          <w:szCs w:val="21"/>
          <w:highlight w:val="none"/>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491" w:name="_Toc34646012"/>
      <w:bookmarkStart w:id="492" w:name="_Toc1487860872"/>
      <w:bookmarkStart w:id="493" w:name="_Toc18695"/>
      <w:bookmarkStart w:id="494" w:name="_Toc26461"/>
      <w:bookmarkStart w:id="495" w:name="_Toc26458"/>
      <w:bookmarkStart w:id="496" w:name="_Toc8711"/>
      <w:bookmarkStart w:id="497" w:name="_Toc766134020"/>
      <w:bookmarkStart w:id="498" w:name="_Toc31622"/>
      <w:bookmarkStart w:id="499" w:name="_Toc9965"/>
      <w:bookmarkStart w:id="500" w:name="_Toc8070"/>
      <w:bookmarkStart w:id="501" w:name="_Toc17224"/>
      <w:bookmarkStart w:id="502" w:name="_Toc12627"/>
      <w:bookmarkStart w:id="503" w:name="_Toc504657636"/>
      <w:bookmarkStart w:id="504" w:name="_Toc2544"/>
      <w:bookmarkStart w:id="505" w:name="_Toc30087533"/>
      <w:bookmarkStart w:id="506" w:name="_Toc14101"/>
      <w:r>
        <w:rPr>
          <w:rFonts w:hint="eastAsia" w:ascii="宋体" w:hAnsi="宋体" w:cs="宋体"/>
          <w:b/>
          <w:color w:val="auto"/>
          <w:highlight w:val="none"/>
        </w:rPr>
        <w:t>格式五、法定代表人证明书</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spacing w:line="360" w:lineRule="auto"/>
        <w:rPr>
          <w:rFonts w:hint="eastAsia" w:ascii="宋体" w:hAnsi="宋体" w:cs="宋体"/>
          <w:color w:val="auto"/>
          <w:highlight w:val="none"/>
        </w:rPr>
      </w:pP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先生/女士，现任我单位</w:t>
      </w:r>
      <w:r>
        <w:rPr>
          <w:rFonts w:hint="eastAsia" w:ascii="宋体" w:hAnsi="宋体" w:cs="宋体"/>
          <w:color w:val="auto"/>
          <w:highlight w:val="none"/>
          <w:u w:val="single"/>
        </w:rPr>
        <w:t xml:space="preserve">          </w:t>
      </w:r>
      <w:r>
        <w:rPr>
          <w:rFonts w:hint="eastAsia" w:ascii="宋体" w:hAnsi="宋体" w:cs="宋体"/>
          <w:color w:val="auto"/>
          <w:highlight w:val="none"/>
        </w:rPr>
        <w:t>职务，为法定代表人，特此证明。</w:t>
      </w:r>
    </w:p>
    <w:p>
      <w:pPr>
        <w:spacing w:line="360" w:lineRule="auto"/>
        <w:rPr>
          <w:rFonts w:hint="eastAsia" w:ascii="宋体" w:hAnsi="宋体" w:cs="宋体"/>
          <w:color w:val="auto"/>
          <w:highlight w:val="none"/>
          <w:u w:val="single"/>
        </w:rPr>
      </w:pPr>
      <w:r>
        <w:rPr>
          <w:rFonts w:hint="eastAsia" w:ascii="宋体" w:hAnsi="宋体" w:cs="宋体"/>
          <w:color w:val="auto"/>
          <w:highlight w:val="none"/>
        </w:rPr>
        <w:t>签发日期：</w:t>
      </w:r>
      <w:r>
        <w:rPr>
          <w:rFonts w:hint="eastAsia" w:ascii="宋体" w:hAnsi="宋体" w:cs="宋体"/>
          <w:color w:val="auto"/>
          <w:highlight w:val="none"/>
          <w:u w:val="single"/>
        </w:rPr>
        <w:t xml:space="preserve">                     </w:t>
      </w:r>
    </w:p>
    <w:p>
      <w:pPr>
        <w:spacing w:line="360" w:lineRule="auto"/>
        <w:rPr>
          <w:rFonts w:hint="eastAsia" w:ascii="宋体" w:hAnsi="宋体" w:cs="宋体"/>
          <w:color w:val="auto"/>
          <w:highlight w:val="none"/>
        </w:rPr>
      </w:pPr>
      <w:r>
        <w:rPr>
          <w:rFonts w:hint="eastAsia" w:ascii="宋体" w:hAnsi="宋体" w:cs="宋体"/>
          <w:color w:val="auto"/>
          <w:highlight w:val="none"/>
        </w:rPr>
        <w:t>投标人名称（单位公章）：</w:t>
      </w:r>
      <w:r>
        <w:rPr>
          <w:rFonts w:hint="eastAsia" w:ascii="宋体" w:hAnsi="宋体" w:cs="宋体"/>
          <w:color w:val="auto"/>
          <w:highlight w:val="none"/>
          <w:u w:val="single"/>
        </w:rPr>
        <w:t xml:space="preserve">                   </w:t>
      </w:r>
    </w:p>
    <w:p>
      <w:pPr>
        <w:spacing w:line="360" w:lineRule="auto"/>
        <w:rPr>
          <w:rFonts w:hint="eastAsia" w:ascii="宋体" w:hAnsi="宋体" w:cs="宋体"/>
          <w:color w:val="auto"/>
          <w:highlight w:val="none"/>
        </w:rPr>
      </w:pPr>
    </w:p>
    <w:p>
      <w:pPr>
        <w:spacing w:before="158" w:beforeLines="50" w:after="158" w:afterLines="50"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附件：法定代表人身份证扫描件或其他有效的身份证明</w:t>
      </w:r>
    </w:p>
    <w:p>
      <w:pPr>
        <w:tabs>
          <w:tab w:val="left" w:pos="8364"/>
        </w:tabs>
        <w:snapToGrid w:val="0"/>
        <w:spacing w:line="360" w:lineRule="auto"/>
        <w:ind w:right="-58"/>
        <w:rPr>
          <w:rFonts w:hint="eastAsia" w:ascii="宋体" w:hAnsi="宋体"/>
          <w:color w:val="auto"/>
          <w:highlight w:val="none"/>
        </w:rPr>
      </w:pPr>
      <w:r>
        <w:rPr>
          <w:rFonts w:ascii="宋体" w:hAnsi="宋体"/>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914400</wp:posOffset>
                </wp:positionH>
                <wp:positionV relativeFrom="paragraph">
                  <wp:posOffset>126365</wp:posOffset>
                </wp:positionV>
                <wp:extent cx="3532505" cy="2475865"/>
                <wp:effectExtent l="4445" t="4445" r="6350" b="15240"/>
                <wp:wrapNone/>
                <wp:docPr id="2" name="自选图形 4"/>
                <wp:cNvGraphicFramePr/>
                <a:graphic xmlns:a="http://schemas.openxmlformats.org/drawingml/2006/main">
                  <a:graphicData uri="http://schemas.microsoft.com/office/word/2010/wordprocessingShape">
                    <wps:wsp>
                      <wps:cNvSpPr/>
                      <wps:spPr>
                        <a:xfrm>
                          <a:off x="0" y="0"/>
                          <a:ext cx="3532505" cy="24758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wps:txbx>
                      <wps:bodyPr wrap="square" upright="1"/>
                    </wps:wsp>
                  </a:graphicData>
                </a:graphic>
              </wp:anchor>
            </w:drawing>
          </mc:Choice>
          <mc:Fallback>
            <w:pict>
              <v:shape id="自选图形 4" o:spid="_x0000_s1026" o:spt="176" type="#_x0000_t176" style="position:absolute;left:0pt;margin-left:72pt;margin-top:9.95pt;height:194.95pt;width:278.15pt;z-index:251661312;mso-width-relative:page;mso-height-relative:page;" fillcolor="#FFFFFF" filled="t" stroked="t" coordsize="21600,21600" o:gfxdata="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v:textbox>
              </v:shape>
            </w:pict>
          </mc:Fallback>
        </mc:AlternateContent>
      </w:r>
    </w:p>
    <w:p>
      <w:pPr>
        <w:tabs>
          <w:tab w:val="left" w:pos="8364"/>
        </w:tabs>
        <w:snapToGrid w:val="0"/>
        <w:spacing w:line="360" w:lineRule="auto"/>
        <w:ind w:right="-58"/>
        <w:rPr>
          <w:rFonts w:hint="eastAsia" w:ascii="宋体" w:hAnsi="宋体"/>
          <w:color w:val="auto"/>
          <w:highlight w:val="none"/>
        </w:rPr>
      </w:pPr>
    </w:p>
    <w:p>
      <w:pPr>
        <w:tabs>
          <w:tab w:val="left" w:pos="8364"/>
        </w:tabs>
        <w:snapToGrid w:val="0"/>
        <w:spacing w:line="360" w:lineRule="auto"/>
        <w:ind w:right="-58"/>
        <w:rPr>
          <w:rFonts w:hint="eastAsia" w:ascii="宋体" w:hAnsi="宋体"/>
          <w:color w:val="auto"/>
          <w:highlight w:val="none"/>
        </w:rPr>
      </w:pPr>
    </w:p>
    <w:p>
      <w:pPr>
        <w:tabs>
          <w:tab w:val="left" w:pos="8364"/>
        </w:tabs>
        <w:snapToGrid w:val="0"/>
        <w:spacing w:line="360" w:lineRule="auto"/>
        <w:ind w:right="-58"/>
        <w:rPr>
          <w:rFonts w:hint="eastAsia" w:ascii="宋体" w:hAnsi="宋体"/>
          <w:color w:val="auto"/>
          <w:highlight w:val="none"/>
        </w:rPr>
      </w:pPr>
    </w:p>
    <w:p>
      <w:pPr>
        <w:tabs>
          <w:tab w:val="left" w:pos="8364"/>
        </w:tabs>
        <w:snapToGrid w:val="0"/>
        <w:spacing w:line="360" w:lineRule="auto"/>
        <w:ind w:right="-58"/>
        <w:rPr>
          <w:rFonts w:hint="eastAsia" w:ascii="宋体" w:hAnsi="宋体"/>
          <w:color w:val="auto"/>
          <w:highlight w:val="none"/>
        </w:rPr>
      </w:pPr>
    </w:p>
    <w:p>
      <w:pPr>
        <w:spacing w:line="366" w:lineRule="exact"/>
        <w:rPr>
          <w:rFonts w:ascii="黑体" w:hAnsi="黑体" w:eastAsia="黑体"/>
          <w:b/>
          <w:color w:val="auto"/>
          <w:sz w:val="32"/>
          <w:highlight w:val="none"/>
        </w:rPr>
      </w:pPr>
    </w:p>
    <w:p>
      <w:pPr>
        <w:spacing w:line="240" w:lineRule="exact"/>
        <w:ind w:left="360"/>
        <w:rPr>
          <w:rFonts w:ascii="宋体" w:hAnsi="宋体"/>
          <w:color w:val="auto"/>
          <w:highlight w:val="none"/>
        </w:rPr>
      </w:pPr>
    </w:p>
    <w:p>
      <w:pPr>
        <w:spacing w:line="366" w:lineRule="exact"/>
        <w:ind w:firstLine="2570" w:firstLineChars="800"/>
        <w:rPr>
          <w:rFonts w:ascii="黑体" w:hAnsi="黑体" w:eastAsia="黑体"/>
          <w:b/>
          <w:color w:val="auto"/>
          <w:sz w:val="32"/>
          <w:highlight w:val="none"/>
        </w:rPr>
      </w:pPr>
      <w:r>
        <w:rPr>
          <w:rFonts w:hint="eastAsia" w:ascii="黑体" w:hAnsi="黑体" w:eastAsia="黑体"/>
          <w:b/>
          <w:color w:val="auto"/>
          <w:sz w:val="32"/>
          <w:highlight w:val="none"/>
        </w:rPr>
        <w:t>三</w:t>
      </w:r>
      <w:r>
        <w:rPr>
          <w:rFonts w:ascii="黑体" w:hAnsi="黑体" w:eastAsia="黑体"/>
          <w:b/>
          <w:color w:val="auto"/>
          <w:sz w:val="32"/>
          <w:highlight w:val="none"/>
        </w:rPr>
        <w:t>、</w:t>
      </w:r>
      <w:r>
        <w:rPr>
          <w:rFonts w:hint="eastAsia" w:ascii="黑体" w:hAnsi="黑体" w:eastAsia="黑体"/>
          <w:b/>
          <w:color w:val="auto"/>
          <w:sz w:val="32"/>
          <w:highlight w:val="none"/>
        </w:rPr>
        <w:t>法定代表人</w:t>
      </w:r>
      <w:r>
        <w:rPr>
          <w:rFonts w:ascii="黑体" w:hAnsi="黑体" w:eastAsia="黑体"/>
          <w:b/>
          <w:color w:val="auto"/>
          <w:sz w:val="32"/>
          <w:highlight w:val="none"/>
        </w:rPr>
        <w:t>授权委托书</w:t>
      </w:r>
    </w:p>
    <w:p>
      <w:pPr>
        <w:widowControl/>
        <w:spacing w:line="360" w:lineRule="auto"/>
        <w:jc w:val="left"/>
        <w:rPr>
          <w:rFonts w:hint="eastAsia" w:ascii="黑体" w:hAnsi="黑体" w:eastAsia="黑体"/>
          <w:color w:val="auto"/>
          <w:sz w:val="28"/>
          <w:highlight w:val="none"/>
        </w:rPr>
      </w:pPr>
    </w:p>
    <w:p>
      <w:pPr>
        <w:widowControl/>
        <w:spacing w:line="360" w:lineRule="auto"/>
        <w:jc w:val="left"/>
        <w:rPr>
          <w:rFonts w:hint="eastAsia" w:ascii="黑体" w:hAnsi="黑体" w:eastAsia="黑体"/>
          <w:color w:val="auto"/>
          <w:sz w:val="28"/>
          <w:highlight w:val="none"/>
        </w:rPr>
      </w:pPr>
    </w:p>
    <w:p>
      <w:pPr>
        <w:spacing w:line="360" w:lineRule="auto"/>
        <w:ind w:firstLine="480" w:firstLineChars="200"/>
        <w:rPr>
          <w:rFonts w:ascii="宋体" w:hAnsi="宋体"/>
          <w:color w:val="auto"/>
          <w:szCs w:val="21"/>
          <w:highlight w:val="none"/>
        </w:rPr>
      </w:pPr>
      <w:r>
        <w:rPr>
          <w:rFonts w:ascii="宋体" w:hAnsi="宋体"/>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897255</wp:posOffset>
                </wp:positionH>
                <wp:positionV relativeFrom="paragraph">
                  <wp:posOffset>165100</wp:posOffset>
                </wp:positionV>
                <wp:extent cx="3532505" cy="2475865"/>
                <wp:effectExtent l="4445" t="4445" r="6350" b="15240"/>
                <wp:wrapNone/>
                <wp:docPr id="3" name="自选图形 5"/>
                <wp:cNvGraphicFramePr/>
                <a:graphic xmlns:a="http://schemas.openxmlformats.org/drawingml/2006/main">
                  <a:graphicData uri="http://schemas.microsoft.com/office/word/2010/wordprocessingShape">
                    <wps:wsp>
                      <wps:cNvSpPr/>
                      <wps:spPr>
                        <a:xfrm>
                          <a:off x="0" y="0"/>
                          <a:ext cx="3532505" cy="24758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wps:txbx>
                      <wps:bodyPr wrap="square" upright="1"/>
                    </wps:wsp>
                  </a:graphicData>
                </a:graphic>
              </wp:anchor>
            </w:drawing>
          </mc:Choice>
          <mc:Fallback>
            <w:pict>
              <v:shape id="自选图形 5" o:spid="_x0000_s1026" o:spt="176" type="#_x0000_t176" style="position:absolute;left:0pt;margin-left:70.65pt;margin-top:13pt;height:194.95pt;width:278.15pt;z-index:251662336;mso-width-relative:page;mso-height-relative:page;" fillcolor="#FFFFFF" filled="t" stroked="t" coordsize="21600,21600" o:gfxdata="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v:textbox>
              </v:shape>
            </w:pict>
          </mc:Fallback>
        </mc:AlternateContent>
      </w: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spacing w:line="360" w:lineRule="auto"/>
        <w:rPr>
          <w:rFonts w:ascii="宋体" w:hAnsi="宋体"/>
          <w:color w:val="auto"/>
          <w:szCs w:val="21"/>
          <w:highlight w:val="none"/>
        </w:rPr>
      </w:pPr>
    </w:p>
    <w:p>
      <w:pPr>
        <w:widowControl/>
        <w:spacing w:line="360" w:lineRule="auto"/>
        <w:rPr>
          <w:rFonts w:hint="eastAsia" w:ascii="宋体" w:hAnsi="宋体" w:cs="宋体"/>
          <w:color w:val="auto"/>
          <w:sz w:val="28"/>
          <w:highlight w:val="none"/>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507" w:name="_Toc2122933821"/>
      <w:bookmarkStart w:id="508" w:name="_Toc12001"/>
      <w:bookmarkStart w:id="509" w:name="_Toc531975371"/>
      <w:bookmarkStart w:id="510" w:name="_Toc504657637"/>
      <w:bookmarkStart w:id="511" w:name="_Toc20870"/>
      <w:bookmarkStart w:id="512" w:name="_Toc13715"/>
      <w:bookmarkStart w:id="513" w:name="_Toc34646013"/>
      <w:bookmarkStart w:id="514" w:name="_Toc14282"/>
      <w:bookmarkStart w:id="515" w:name="_Toc19323"/>
      <w:bookmarkStart w:id="516" w:name="_Toc26234"/>
      <w:bookmarkStart w:id="517" w:name="_Toc32426"/>
      <w:bookmarkStart w:id="518" w:name="_Toc603937275"/>
      <w:bookmarkStart w:id="519" w:name="_Toc21149"/>
      <w:bookmarkStart w:id="520" w:name="_Toc21660"/>
      <w:bookmarkStart w:id="521" w:name="_Toc10338"/>
      <w:bookmarkStart w:id="522" w:name="_Toc22974"/>
      <w:r>
        <w:rPr>
          <w:rFonts w:hint="eastAsia" w:ascii="宋体" w:hAnsi="宋体" w:cs="宋体"/>
          <w:b/>
          <w:color w:val="auto"/>
          <w:highlight w:val="none"/>
        </w:rPr>
        <w:t>格式六、授权委托证明书</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pPr>
        <w:pStyle w:val="14"/>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本授权书声明：</w:t>
      </w:r>
      <w:r>
        <w:rPr>
          <w:rFonts w:hint="eastAsia" w:hAnsi="宋体" w:cs="宋体"/>
          <w:color w:val="auto"/>
          <w:szCs w:val="21"/>
          <w:highlight w:val="none"/>
          <w:u w:val="single"/>
        </w:rPr>
        <w:t xml:space="preserve">   （</w:t>
      </w:r>
      <w:r>
        <w:rPr>
          <w:rFonts w:hint="eastAsia" w:hAnsi="宋体" w:cs="宋体"/>
          <w:i/>
          <w:iCs/>
          <w:color w:val="auto"/>
          <w:szCs w:val="21"/>
          <w:highlight w:val="none"/>
          <w:u w:val="single"/>
        </w:rPr>
        <w:t>投标人名称）</w:t>
      </w:r>
      <w:r>
        <w:rPr>
          <w:rFonts w:hint="eastAsia" w:hAnsi="宋体" w:cs="宋体"/>
          <w:color w:val="auto"/>
          <w:szCs w:val="21"/>
          <w:highlight w:val="none"/>
        </w:rPr>
        <w:t>现授权</w:t>
      </w:r>
      <w:r>
        <w:rPr>
          <w:rFonts w:hint="eastAsia" w:hAnsi="宋体" w:cs="宋体"/>
          <w:color w:val="auto"/>
          <w:szCs w:val="21"/>
          <w:highlight w:val="none"/>
          <w:u w:val="single"/>
        </w:rPr>
        <w:t xml:space="preserve">  </w:t>
      </w:r>
      <w:r>
        <w:rPr>
          <w:rFonts w:hint="eastAsia" w:hAnsi="宋体" w:cs="宋体"/>
          <w:i/>
          <w:iCs/>
          <w:color w:val="auto"/>
          <w:szCs w:val="21"/>
          <w:highlight w:val="none"/>
          <w:u w:val="single"/>
        </w:rPr>
        <w:t>（姓名、职务）</w:t>
      </w:r>
      <w:r>
        <w:rPr>
          <w:rFonts w:hint="eastAsia" w:hAnsi="宋体" w:cs="宋体"/>
          <w:color w:val="auto"/>
          <w:szCs w:val="21"/>
          <w:highlight w:val="none"/>
        </w:rPr>
        <w:t>作为我公司的全权代理人，就</w:t>
      </w:r>
      <w:r>
        <w:rPr>
          <w:rFonts w:hint="eastAsia" w:hAnsi="宋体" w:cs="宋体"/>
          <w:color w:val="auto"/>
          <w:szCs w:val="21"/>
          <w:highlight w:val="none"/>
          <w:u w:val="single"/>
        </w:rPr>
        <w:t xml:space="preserve">  </w:t>
      </w:r>
      <w:r>
        <w:rPr>
          <w:rFonts w:hint="eastAsia" w:hAnsi="宋体" w:cs="宋体"/>
          <w:i/>
          <w:iCs/>
          <w:color w:val="auto"/>
          <w:szCs w:val="21"/>
          <w:highlight w:val="none"/>
          <w:u w:val="single"/>
        </w:rPr>
        <w:t>（项目名称/包名称）</w:t>
      </w:r>
      <w:r>
        <w:rPr>
          <w:rFonts w:hint="eastAsia" w:hAnsi="宋体" w:cs="宋体"/>
          <w:color w:val="auto"/>
          <w:szCs w:val="21"/>
          <w:highlight w:val="none"/>
          <w:u w:val="single"/>
        </w:rPr>
        <w:t xml:space="preserve">  </w:t>
      </w:r>
      <w:r>
        <w:rPr>
          <w:rFonts w:hint="eastAsia" w:hAnsi="宋体" w:cs="宋体"/>
          <w:color w:val="auto"/>
          <w:szCs w:val="21"/>
          <w:highlight w:val="none"/>
        </w:rPr>
        <w:t>(</w:t>
      </w:r>
      <w:r>
        <w:rPr>
          <w:rFonts w:hint="eastAsia" w:hAnsi="宋体" w:cs="宋体"/>
          <w:color w:val="auto"/>
          <w:szCs w:val="21"/>
          <w:highlight w:val="none"/>
          <w:lang w:val="en-US" w:eastAsia="zh-CN"/>
        </w:rPr>
        <w:t>项目</w:t>
      </w:r>
      <w:r>
        <w:rPr>
          <w:rFonts w:hint="eastAsia" w:hAnsi="宋体" w:cs="宋体"/>
          <w:color w:val="auto"/>
          <w:szCs w:val="21"/>
          <w:highlight w:val="none"/>
        </w:rPr>
        <w:t xml:space="preserve">编号/包号: </w:t>
      </w:r>
      <w:r>
        <w:rPr>
          <w:rFonts w:hint="eastAsia" w:hAnsi="宋体" w:cs="宋体"/>
          <w:color w:val="auto"/>
          <w:szCs w:val="21"/>
          <w:highlight w:val="none"/>
          <w:u w:val="single"/>
        </w:rPr>
        <w:t xml:space="preserve">           </w:t>
      </w:r>
      <w:r>
        <w:rPr>
          <w:rFonts w:hint="eastAsia" w:hAnsi="宋体" w:cs="宋体"/>
          <w:color w:val="auto"/>
          <w:szCs w:val="21"/>
          <w:highlight w:val="none"/>
        </w:rPr>
        <w:t>)的投标事宜和合同执行，以我方的名义处理一切与之有关的事宜。</w:t>
      </w:r>
    </w:p>
    <w:p>
      <w:pPr>
        <w:pStyle w:val="5"/>
        <w:spacing w:line="360" w:lineRule="auto"/>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日生效，有效期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，特此声明。</w:t>
      </w:r>
    </w:p>
    <w:p>
      <w:pPr>
        <w:pStyle w:val="51"/>
        <w:spacing w:line="360" w:lineRule="auto"/>
        <w:ind w:firstLine="420" w:firstLineChars="200"/>
        <w:rPr>
          <w:rFonts w:hint="eastAsia" w:hAnsi="宋体" w:cs="宋体"/>
          <w:color w:val="auto"/>
          <w:szCs w:val="21"/>
          <w:highlight w:val="none"/>
        </w:rPr>
      </w:pPr>
    </w:p>
    <w:p>
      <w:pPr>
        <w:pStyle w:val="51"/>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投标人（盖单位章）：</w:t>
      </w:r>
      <w:r>
        <w:rPr>
          <w:rFonts w:hint="eastAsia" w:hAnsi="宋体" w:cs="宋体"/>
          <w:color w:val="auto"/>
          <w:sz w:val="32"/>
          <w:highlight w:val="none"/>
          <w:u w:val="single"/>
        </w:rPr>
        <w:t>            </w:t>
      </w:r>
    </w:p>
    <w:p>
      <w:pPr>
        <w:pStyle w:val="14"/>
        <w:spacing w:line="360" w:lineRule="auto"/>
        <w:ind w:firstLine="420"/>
        <w:rPr>
          <w:rFonts w:hint="eastAsia" w:hAnsi="宋体" w:cs="宋体"/>
          <w:color w:val="auto"/>
          <w:szCs w:val="21"/>
          <w:highlight w:val="none"/>
        </w:rPr>
      </w:pPr>
      <w:r>
        <w:rPr>
          <w:rFonts w:hint="eastAsia" w:hAnsi="宋体" w:cs="宋体"/>
          <w:color w:val="auto"/>
          <w:szCs w:val="21"/>
          <w:highlight w:val="none"/>
        </w:rPr>
        <w:t>法定代表人：</w:t>
      </w:r>
      <w:r>
        <w:rPr>
          <w:rFonts w:hint="eastAsia" w:hAnsi="宋体" w:cs="宋体"/>
          <w:color w:val="auto"/>
          <w:sz w:val="32"/>
          <w:highlight w:val="none"/>
          <w:u w:val="single"/>
        </w:rPr>
        <w:t>             </w:t>
      </w:r>
    </w:p>
    <w:p>
      <w:pPr>
        <w:pStyle w:val="14"/>
        <w:spacing w:line="360" w:lineRule="auto"/>
        <w:ind w:firstLine="420"/>
        <w:rPr>
          <w:rFonts w:hint="eastAsia" w:hAnsi="宋体" w:cs="宋体"/>
          <w:color w:val="auto"/>
          <w:szCs w:val="21"/>
          <w:highlight w:val="none"/>
        </w:rPr>
      </w:pPr>
      <w:r>
        <w:rPr>
          <w:rFonts w:hint="eastAsia" w:hAnsi="宋体" w:cs="宋体"/>
          <w:color w:val="auto"/>
          <w:szCs w:val="21"/>
          <w:highlight w:val="none"/>
        </w:rPr>
        <w:t>身份证号码：</w:t>
      </w:r>
      <w:r>
        <w:rPr>
          <w:rFonts w:hint="eastAsia" w:hAnsi="宋体" w:cs="宋体"/>
          <w:color w:val="auto"/>
          <w:sz w:val="32"/>
          <w:highlight w:val="none"/>
          <w:u w:val="single"/>
        </w:rPr>
        <w:t>                  </w:t>
      </w:r>
    </w:p>
    <w:p>
      <w:pPr>
        <w:pStyle w:val="14"/>
        <w:spacing w:line="360" w:lineRule="auto"/>
        <w:ind w:firstLine="420"/>
        <w:rPr>
          <w:rFonts w:hint="eastAsia" w:hAnsi="宋体" w:cs="宋体"/>
          <w:color w:val="auto"/>
          <w:szCs w:val="21"/>
          <w:highlight w:val="none"/>
        </w:rPr>
      </w:pPr>
      <w:r>
        <w:rPr>
          <w:rFonts w:hint="eastAsia" w:hAnsi="宋体" w:cs="宋体"/>
          <w:color w:val="auto"/>
          <w:szCs w:val="21"/>
          <w:highlight w:val="none"/>
        </w:rPr>
        <w:t>被授权人：</w:t>
      </w:r>
      <w:r>
        <w:rPr>
          <w:rFonts w:hint="eastAsia" w:hAnsi="宋体" w:cs="宋体"/>
          <w:color w:val="auto"/>
          <w:sz w:val="32"/>
          <w:highlight w:val="none"/>
          <w:u w:val="single"/>
        </w:rPr>
        <w:t>           </w:t>
      </w:r>
    </w:p>
    <w:p>
      <w:pPr>
        <w:pStyle w:val="51"/>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身份证号码：</w:t>
      </w:r>
      <w:r>
        <w:rPr>
          <w:rFonts w:hint="eastAsia" w:hAnsi="宋体" w:cs="宋体"/>
          <w:color w:val="auto"/>
          <w:sz w:val="32"/>
          <w:highlight w:val="none"/>
          <w:u w:val="single"/>
        </w:rPr>
        <w:t>                   </w:t>
      </w:r>
    </w:p>
    <w:p>
      <w:pPr>
        <w:pStyle w:val="51"/>
        <w:spacing w:line="360" w:lineRule="auto"/>
        <w:ind w:firstLine="420" w:firstLineChars="200"/>
        <w:rPr>
          <w:rFonts w:hint="eastAsia" w:hAnsi="宋体" w:cs="宋体"/>
          <w:color w:val="auto"/>
          <w:sz w:val="24"/>
          <w:highlight w:val="none"/>
          <w:u w:val="single"/>
        </w:rPr>
      </w:pPr>
      <w:r>
        <w:rPr>
          <w:rFonts w:hint="eastAsia" w:hAnsi="宋体" w:cs="宋体"/>
          <w:color w:val="auto"/>
          <w:szCs w:val="21"/>
          <w:highlight w:val="none"/>
          <w:u w:val="single"/>
        </w:rPr>
        <w:t xml:space="preserve">   </w:t>
      </w:r>
    </w:p>
    <w:p>
      <w:pPr>
        <w:spacing w:before="158" w:beforeLines="50" w:after="158" w:afterLines="50"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附件：被授权人身份证扫描件或其他有效的身份证明</w:t>
      </w:r>
    </w:p>
    <w:p>
      <w:pPr>
        <w:tabs>
          <w:tab w:val="left" w:pos="8364"/>
        </w:tabs>
        <w:snapToGrid w:val="0"/>
        <w:spacing w:line="360" w:lineRule="auto"/>
        <w:ind w:right="-58"/>
        <w:rPr>
          <w:rFonts w:hint="eastAsia" w:ascii="宋体" w:hAnsi="宋体"/>
          <w:color w:val="auto"/>
          <w:highlight w:val="none"/>
        </w:rPr>
      </w:pPr>
      <w:r>
        <w:rPr>
          <w:rFonts w:ascii="宋体" w:hAnsi="宋体"/>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3069590</wp:posOffset>
                </wp:positionH>
                <wp:positionV relativeFrom="paragraph">
                  <wp:posOffset>39370</wp:posOffset>
                </wp:positionV>
                <wp:extent cx="2788920" cy="1594485"/>
                <wp:effectExtent l="4445" t="4445" r="6985" b="20320"/>
                <wp:wrapNone/>
                <wp:docPr id="5" name="自选图形 7"/>
                <wp:cNvGraphicFramePr/>
                <a:graphic xmlns:a="http://schemas.openxmlformats.org/drawingml/2006/main">
                  <a:graphicData uri="http://schemas.microsoft.com/office/word/2010/wordprocessingShape">
                    <wps:wsp>
                      <wps:cNvSpPr/>
                      <wps:spPr>
                        <a:xfrm>
                          <a:off x="0" y="0"/>
                          <a:ext cx="2788920" cy="15944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wps:txbx>
                      <wps:bodyPr vert="horz" wrap="square" anchor="t" anchorCtr="0" upright="1"/>
                    </wps:wsp>
                  </a:graphicData>
                </a:graphic>
              </wp:anchor>
            </w:drawing>
          </mc:Choice>
          <mc:Fallback>
            <w:pict>
              <v:shape id="自选图形 7" o:spid="_x0000_s1026" o:spt="176" type="#_x0000_t176" style="position:absolute;left:0pt;margin-left:241.7pt;margin-top:3.1pt;height:125.55pt;width:219.6pt;z-index:251664384;mso-width-relative:page;mso-height-relative:page;" fillcolor="#FFFFFF" filled="t" stroked="t" coordsize="21600,21600" o:gfxdata="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v:textbox>
              </v:shape>
            </w:pict>
          </mc:Fallback>
        </mc:AlternateContent>
      </w:r>
      <w:r>
        <w:rPr>
          <w:rFonts w:ascii="宋体" w:hAnsi="宋体"/>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47625</wp:posOffset>
                </wp:positionH>
                <wp:positionV relativeFrom="paragraph">
                  <wp:posOffset>21590</wp:posOffset>
                </wp:positionV>
                <wp:extent cx="2778125" cy="1608455"/>
                <wp:effectExtent l="4445" t="4445" r="17780" b="6350"/>
                <wp:wrapNone/>
                <wp:docPr id="4" name="自选图形 6"/>
                <wp:cNvGraphicFramePr/>
                <a:graphic xmlns:a="http://schemas.openxmlformats.org/drawingml/2006/main">
                  <a:graphicData uri="http://schemas.microsoft.com/office/word/2010/wordprocessingShape">
                    <wps:wsp>
                      <wps:cNvSpPr/>
                      <wps:spPr>
                        <a:xfrm>
                          <a:off x="0" y="0"/>
                          <a:ext cx="2778125" cy="160845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wps:txbx>
                      <wps:bodyPr vert="horz" wrap="square" anchor="t" anchorCtr="0" upright="1"/>
                    </wps:wsp>
                  </a:graphicData>
                </a:graphic>
              </wp:anchor>
            </w:drawing>
          </mc:Choice>
          <mc:Fallback>
            <w:pict>
              <v:shape id="自选图形 6" o:spid="_x0000_s1026" o:spt="176" type="#_x0000_t176" style="position:absolute;left:0pt;margin-left:3.75pt;margin-top:1.7pt;height:126.65pt;width:218.75pt;z-index:251663360;mso-width-relative:page;mso-height-relative:page;" fillcolor="#FFFFFF" filled="t" stroked="t" coordsize="21600,21600" o:gfxdata="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v:textbox>
              </v:shape>
            </w:pict>
          </mc:Fallback>
        </mc:AlternateContent>
      </w:r>
    </w:p>
    <w:p>
      <w:pPr>
        <w:tabs>
          <w:tab w:val="left" w:pos="8364"/>
        </w:tabs>
        <w:snapToGrid w:val="0"/>
        <w:spacing w:line="360" w:lineRule="auto"/>
        <w:ind w:right="-58"/>
        <w:rPr>
          <w:rFonts w:hint="eastAsia" w:ascii="宋体" w:hAnsi="宋体"/>
          <w:color w:val="auto"/>
          <w:highlight w:val="none"/>
        </w:rPr>
      </w:pPr>
    </w:p>
    <w:p>
      <w:pPr>
        <w:tabs>
          <w:tab w:val="left" w:pos="8364"/>
        </w:tabs>
        <w:snapToGrid w:val="0"/>
        <w:spacing w:line="360" w:lineRule="auto"/>
        <w:ind w:right="-58"/>
        <w:rPr>
          <w:rFonts w:hint="eastAsia" w:ascii="宋体" w:hAnsi="宋体"/>
          <w:color w:val="auto"/>
          <w:highlight w:val="none"/>
        </w:rPr>
      </w:pPr>
    </w:p>
    <w:p>
      <w:pPr>
        <w:tabs>
          <w:tab w:val="left" w:pos="8364"/>
        </w:tabs>
        <w:snapToGrid w:val="0"/>
        <w:spacing w:line="360" w:lineRule="auto"/>
        <w:ind w:right="-58"/>
        <w:rPr>
          <w:rFonts w:hint="eastAsia" w:ascii="宋体" w:hAnsi="宋体"/>
          <w:color w:val="auto"/>
          <w:highlight w:val="none"/>
        </w:rPr>
      </w:pPr>
    </w:p>
    <w:p>
      <w:pPr>
        <w:tabs>
          <w:tab w:val="left" w:pos="8364"/>
        </w:tabs>
        <w:snapToGrid w:val="0"/>
        <w:spacing w:line="360" w:lineRule="auto"/>
        <w:ind w:right="-58"/>
        <w:rPr>
          <w:rFonts w:hint="eastAsia" w:ascii="宋体" w:hAnsi="宋体"/>
          <w:color w:val="auto"/>
          <w:highlight w:val="none"/>
        </w:rPr>
      </w:pPr>
    </w:p>
    <w:p>
      <w:pPr>
        <w:spacing w:line="366" w:lineRule="exact"/>
        <w:rPr>
          <w:rFonts w:ascii="黑体" w:hAnsi="黑体" w:eastAsia="黑体"/>
          <w:b/>
          <w:color w:val="auto"/>
          <w:sz w:val="32"/>
          <w:highlight w:val="none"/>
        </w:rPr>
      </w:pPr>
    </w:p>
    <w:p>
      <w:pPr>
        <w:spacing w:line="240" w:lineRule="exact"/>
        <w:ind w:left="360"/>
        <w:rPr>
          <w:rFonts w:ascii="宋体" w:hAnsi="宋体"/>
          <w:color w:val="auto"/>
          <w:highlight w:val="none"/>
        </w:rPr>
      </w:pPr>
    </w:p>
    <w:p>
      <w:pPr>
        <w:widowControl/>
        <w:spacing w:line="360" w:lineRule="auto"/>
        <w:jc w:val="left"/>
        <w:rPr>
          <w:rFonts w:hint="eastAsia" w:ascii="黑体" w:hAnsi="黑体" w:eastAsia="黑体"/>
          <w:color w:val="auto"/>
          <w:sz w:val="28"/>
          <w:highlight w:val="none"/>
        </w:rPr>
      </w:pPr>
    </w:p>
    <w:p>
      <w:pPr>
        <w:widowControl/>
        <w:spacing w:line="360" w:lineRule="auto"/>
        <w:jc w:val="left"/>
        <w:rPr>
          <w:rFonts w:hint="eastAsia" w:ascii="黑体" w:hAnsi="黑体" w:eastAsia="黑体"/>
          <w:color w:val="auto"/>
          <w:sz w:val="28"/>
          <w:highlight w:val="none"/>
        </w:rPr>
      </w:pPr>
      <w:r>
        <w:rPr>
          <w:rFonts w:hint="eastAsia" w:ascii="宋体" w:hAnsi="宋体" w:cs="宋体"/>
          <w:color w:val="auto"/>
          <w:szCs w:val="21"/>
          <w:highlight w:val="none"/>
        </w:rPr>
        <w:t xml:space="preserve"> 日期：</w:t>
      </w:r>
      <w:r>
        <w:rPr>
          <w:rFonts w:hint="eastAsia" w:ascii="宋体" w:hAnsi="宋体" w:cs="宋体"/>
          <w:color w:val="auto"/>
          <w:w w:val="99"/>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w w:val="99"/>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w w:val="99"/>
          <w:szCs w:val="21"/>
          <w:highlight w:val="none"/>
          <w:u w:val="single"/>
        </w:rPr>
        <w:t xml:space="preserve">       </w:t>
      </w:r>
      <w:r>
        <w:rPr>
          <w:rFonts w:hint="eastAsia" w:ascii="宋体" w:hAnsi="宋体" w:cs="宋体"/>
          <w:color w:val="auto"/>
          <w:szCs w:val="21"/>
          <w:highlight w:val="none"/>
        </w:rPr>
        <w:t>日</w:t>
      </w: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523" w:name="_Toc28070"/>
      <w:bookmarkStart w:id="524" w:name="_Toc31848"/>
      <w:bookmarkStart w:id="525" w:name="_Toc616985587"/>
      <w:bookmarkStart w:id="526" w:name="_Toc704147088"/>
      <w:bookmarkStart w:id="527" w:name="_Toc11626"/>
      <w:bookmarkStart w:id="528" w:name="_Toc27333"/>
      <w:bookmarkStart w:id="529" w:name="_Toc8919"/>
      <w:bookmarkStart w:id="530" w:name="_Toc2073987841"/>
      <w:bookmarkStart w:id="531" w:name="_Toc20397"/>
      <w:bookmarkStart w:id="532" w:name="_Toc23797"/>
      <w:bookmarkStart w:id="533" w:name="_Toc26497"/>
      <w:bookmarkStart w:id="534" w:name="_Toc6984"/>
      <w:bookmarkStart w:id="535" w:name="_Toc34646014"/>
      <w:bookmarkStart w:id="536" w:name="_Toc1009"/>
      <w:bookmarkStart w:id="537" w:name="_Toc15475"/>
      <w:r>
        <w:rPr>
          <w:rFonts w:hint="eastAsia" w:ascii="宋体" w:hAnsi="宋体" w:cs="宋体"/>
          <w:b/>
          <w:color w:val="auto"/>
          <w:highlight w:val="none"/>
        </w:rPr>
        <w:t>格式七、投标保证金</w:t>
      </w:r>
      <w:bookmarkEnd w:id="523"/>
      <w:bookmarkEnd w:id="524"/>
      <w:bookmarkEnd w:id="525"/>
      <w:bookmarkEnd w:id="526"/>
      <w:bookmarkEnd w:id="527"/>
      <w:bookmarkEnd w:id="528"/>
      <w:bookmarkEnd w:id="529"/>
      <w:bookmarkEnd w:id="530"/>
      <w:bookmarkEnd w:id="531"/>
      <w:bookmarkEnd w:id="532"/>
      <w:bookmarkEnd w:id="533"/>
      <w:bookmarkEnd w:id="534"/>
      <w:bookmarkEnd w:id="535"/>
    </w:p>
    <w:p>
      <w:pPr>
        <w:spacing w:line="360" w:lineRule="auto"/>
        <w:ind w:firstLine="420"/>
        <w:rPr>
          <w:rFonts w:hint="eastAsia" w:ascii="宋体" w:hAnsi="宋体" w:cs="宋体"/>
          <w:b/>
          <w:color w:val="auto"/>
          <w:sz w:val="28"/>
          <w:szCs w:val="20"/>
          <w:highlight w:val="none"/>
        </w:rPr>
      </w:pP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项目名称：</w:t>
      </w:r>
      <w:r>
        <w:rPr>
          <w:rFonts w:hint="eastAsia" w:ascii="宋体" w:hAnsi="宋体" w:cs="宋体"/>
          <w:color w:val="auto"/>
          <w:szCs w:val="21"/>
          <w:highlight w:val="none"/>
          <w:u w:val="single"/>
        </w:rPr>
        <w:t>      </w:t>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招标编号：</w:t>
      </w:r>
      <w:r>
        <w:rPr>
          <w:rFonts w:hint="eastAsia" w:ascii="宋体" w:hAnsi="宋体" w:cs="宋体"/>
          <w:color w:val="auto"/>
          <w:szCs w:val="21"/>
          <w:highlight w:val="none"/>
          <w:u w:val="single"/>
        </w:rPr>
        <w:t>      </w:t>
      </w:r>
    </w:p>
    <w:p>
      <w:pPr>
        <w:spacing w:line="360" w:lineRule="auto"/>
        <w:ind w:firstLine="420"/>
        <w:rPr>
          <w:rFonts w:hint="eastAsia" w:ascii="宋体" w:hAnsi="宋体" w:cs="宋体"/>
          <w:color w:val="auto"/>
          <w:szCs w:val="21"/>
          <w:highlight w:val="none"/>
        </w:rPr>
      </w:pP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致：中国南航集团进出口贸易有限公司</w:t>
      </w:r>
      <w:r>
        <w:rPr>
          <w:rFonts w:hint="eastAsia" w:ascii="宋体" w:hAnsi="宋体" w:cs="宋体"/>
          <w:color w:val="auto"/>
          <w:szCs w:val="21"/>
          <w:highlight w:val="none"/>
          <w:lang w:val="en-US" w:eastAsia="zh-CN"/>
        </w:rPr>
        <w:t>交易</w:t>
      </w:r>
      <w:r>
        <w:rPr>
          <w:rFonts w:hint="eastAsia" w:ascii="宋体" w:hAnsi="宋体" w:cs="宋体"/>
          <w:color w:val="auto"/>
          <w:szCs w:val="21"/>
          <w:highlight w:val="none"/>
        </w:rPr>
        <w:t>中心</w:t>
      </w:r>
      <w:r>
        <w:rPr>
          <w:rFonts w:hint="eastAsia" w:ascii="宋体" w:hAnsi="宋体" w:cs="宋体"/>
          <w:color w:val="auto"/>
          <w:szCs w:val="21"/>
          <w:highlight w:val="none"/>
          <w:u w:val="single"/>
        </w:rPr>
        <w:t xml:space="preserve">          </w:t>
      </w:r>
    </w:p>
    <w:p>
      <w:pPr>
        <w:pStyle w:val="14"/>
        <w:spacing w:line="360" w:lineRule="auto"/>
        <w:ind w:firstLine="420" w:firstLineChars="200"/>
        <w:rPr>
          <w:rFonts w:hAnsi="宋体" w:cs="宋体"/>
          <w:color w:val="auto"/>
          <w:szCs w:val="21"/>
          <w:highlight w:val="none"/>
        </w:rPr>
      </w:pPr>
      <w:r>
        <w:rPr>
          <w:rFonts w:hint="eastAsia" w:hAnsi="宋体" w:cs="宋体"/>
          <w:color w:val="auto"/>
          <w:szCs w:val="21"/>
          <w:highlight w:val="none"/>
        </w:rPr>
        <w:t>我方</w:t>
      </w:r>
      <w:r>
        <w:rPr>
          <w:rFonts w:hint="eastAsia" w:hAnsi="宋体" w:cs="宋体"/>
          <w:color w:val="auto"/>
          <w:szCs w:val="21"/>
          <w:highlight w:val="none"/>
          <w:u w:val="single"/>
        </w:rPr>
        <w:t xml:space="preserve"> </w:t>
      </w:r>
      <w:r>
        <w:rPr>
          <w:rFonts w:hint="eastAsia" w:hAnsi="宋体" w:cs="宋体"/>
          <w:b/>
          <w:bCs/>
          <w:color w:val="auto"/>
          <w:szCs w:val="21"/>
          <w:highlight w:val="none"/>
          <w:u w:val="single"/>
        </w:rPr>
        <w:t xml:space="preserve">  </w:t>
      </w:r>
      <w:r>
        <w:rPr>
          <w:rFonts w:hint="eastAsia" w:hAnsi="宋体" w:cs="宋体"/>
          <w:color w:val="auto"/>
          <w:szCs w:val="21"/>
          <w:highlight w:val="none"/>
          <w:u w:val="single"/>
        </w:rPr>
        <w:t xml:space="preserve">（投标人名称）  </w:t>
      </w:r>
      <w:r>
        <w:rPr>
          <w:rFonts w:hint="eastAsia" w:hAnsi="宋体" w:cs="宋体"/>
          <w:color w:val="auto"/>
          <w:kern w:val="28"/>
          <w:szCs w:val="21"/>
          <w:highlight w:val="none"/>
        </w:rPr>
        <w:t>现保证</w:t>
      </w:r>
      <w:r>
        <w:rPr>
          <w:rFonts w:hint="eastAsia" w:hAnsi="宋体" w:cs="宋体"/>
          <w:color w:val="auto"/>
          <w:szCs w:val="21"/>
          <w:highlight w:val="none"/>
        </w:rPr>
        <w:t>：我方已缴纳保证金，如有下列情形之一的，贵单位有权不予退还</w:t>
      </w:r>
      <w:r>
        <w:rPr>
          <w:rFonts w:hint="eastAsia" w:hAnsi="宋体" w:cs="宋体"/>
          <w:szCs w:val="21"/>
        </w:rPr>
        <w:t>保证金</w:t>
      </w:r>
      <w:r>
        <w:rPr>
          <w:rFonts w:hint="eastAsia" w:hAnsi="宋体" w:cs="宋体"/>
          <w:szCs w:val="21"/>
          <w:lang w:val="en-US" w:eastAsia="zh-CN"/>
        </w:rPr>
        <w:t>及银行同期存款利息</w:t>
      </w:r>
      <w:r>
        <w:rPr>
          <w:rFonts w:hint="eastAsia" w:hAnsi="宋体" w:cs="宋体"/>
          <w:color w:val="auto"/>
          <w:szCs w:val="21"/>
          <w:highlight w:val="none"/>
        </w:rPr>
        <w:t>，我方如以保函形式递交保证金的，贵方有权要求保函出具机构（担保人）向贵方全额支付保函金额：</w:t>
      </w:r>
    </w:p>
    <w:p>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 我方在投标有效期内撤销投标文件；</w:t>
      </w:r>
    </w:p>
    <w:p>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 我方提供虚假材料的；</w:t>
      </w:r>
    </w:p>
    <w:p>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 我方与其他投标人相互或者与招标人串通</w:t>
      </w:r>
      <w:r>
        <w:rPr>
          <w:rFonts w:hint="eastAsia" w:ascii="宋体" w:hAnsi="宋体" w:cs="宋体"/>
          <w:szCs w:val="21"/>
        </w:rPr>
        <w:t>投标、围标</w:t>
      </w:r>
      <w:r>
        <w:rPr>
          <w:rFonts w:hint="eastAsia" w:ascii="宋体" w:hAnsi="宋体" w:cs="宋体"/>
          <w:bCs/>
          <w:color w:val="auto"/>
          <w:szCs w:val="21"/>
          <w:highlight w:val="none"/>
        </w:rPr>
        <w:t>的；</w:t>
      </w:r>
    </w:p>
    <w:p>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bCs/>
          <w:color w:val="auto"/>
          <w:szCs w:val="21"/>
          <w:highlight w:val="none"/>
        </w:rPr>
        <w:t>4、</w:t>
      </w:r>
      <w:r>
        <w:rPr>
          <w:rFonts w:hint="eastAsia" w:ascii="宋体" w:hAnsi="宋体" w:cs="宋体"/>
          <w:b/>
          <w:color w:val="auto"/>
          <w:szCs w:val="21"/>
          <w:highlight w:val="none"/>
        </w:rPr>
        <w:t xml:space="preserve"> </w:t>
      </w:r>
      <w:r>
        <w:rPr>
          <w:rFonts w:hint="eastAsia" w:ascii="宋体" w:hAnsi="宋体" w:cs="宋体"/>
          <w:color w:val="auto"/>
          <w:szCs w:val="21"/>
          <w:highlight w:val="none"/>
        </w:rPr>
        <w:t>我方在</w:t>
      </w:r>
      <w:r>
        <w:rPr>
          <w:rFonts w:hint="eastAsia" w:ascii="宋体" w:hAnsi="宋体" w:cs="宋体"/>
          <w:szCs w:val="21"/>
          <w:lang w:val="en-US" w:eastAsia="zh-CN"/>
        </w:rPr>
        <w:t>中标候选人公示期间放弃中标候选人资格；或在</w:t>
      </w:r>
      <w:r>
        <w:rPr>
          <w:rFonts w:hint="eastAsia" w:ascii="宋体" w:hAnsi="宋体" w:cs="宋体"/>
          <w:color w:val="auto"/>
          <w:szCs w:val="21"/>
          <w:highlight w:val="none"/>
        </w:rPr>
        <w:t>收到中标通知书后，</w:t>
      </w:r>
      <w:r>
        <w:rPr>
          <w:rFonts w:hint="eastAsia" w:ascii="宋体" w:hAnsi="宋体" w:cs="宋体"/>
          <w:szCs w:val="21"/>
        </w:rPr>
        <w:t>单方面要求放弃</w:t>
      </w:r>
      <w:r>
        <w:rPr>
          <w:rFonts w:hint="eastAsia" w:ascii="宋体" w:hAnsi="宋体" w:cs="宋体"/>
          <w:szCs w:val="21"/>
          <w:lang w:val="en-US" w:eastAsia="zh-CN"/>
        </w:rPr>
        <w:t>中标</w:t>
      </w:r>
      <w:r>
        <w:rPr>
          <w:rFonts w:hint="eastAsia" w:ascii="宋体" w:hAnsi="宋体" w:cs="宋体"/>
          <w:szCs w:val="21"/>
        </w:rPr>
        <w:t>资格</w:t>
      </w:r>
      <w:r>
        <w:rPr>
          <w:rFonts w:hint="eastAsia" w:ascii="宋体" w:hAnsi="宋体" w:cs="宋体"/>
          <w:szCs w:val="21"/>
          <w:lang w:val="en-US" w:eastAsia="zh-CN"/>
        </w:rPr>
        <w:t>或</w:t>
      </w:r>
      <w:r>
        <w:rPr>
          <w:rFonts w:hint="eastAsia" w:ascii="宋体" w:hAnsi="宋体" w:cs="宋体"/>
          <w:color w:val="auto"/>
          <w:szCs w:val="21"/>
          <w:highlight w:val="none"/>
        </w:rPr>
        <w:t>无正当理由不与招标人订立合同</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在签订合同时向招标人提出附加条件</w:t>
      </w:r>
      <w:r>
        <w:rPr>
          <w:rFonts w:hint="eastAsia" w:ascii="宋体" w:hAnsi="宋体" w:cs="宋体"/>
          <w:szCs w:val="21"/>
          <w:lang w:val="en-US" w:eastAsia="zh-CN"/>
        </w:rPr>
        <w:t>的</w:t>
      </w:r>
      <w:r>
        <w:rPr>
          <w:rFonts w:hint="eastAsia" w:ascii="宋体" w:hAnsi="宋体" w:cs="宋体"/>
          <w:color w:val="auto"/>
          <w:szCs w:val="21"/>
          <w:highlight w:val="none"/>
          <w:lang w:eastAsia="zh-CN"/>
        </w:rPr>
        <w:t>；</w:t>
      </w:r>
    </w:p>
    <w:p>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 我方</w:t>
      </w:r>
      <w:r>
        <w:rPr>
          <w:rFonts w:hint="eastAsia" w:ascii="宋体" w:hAnsi="宋体" w:cs="宋体"/>
          <w:color w:val="auto"/>
          <w:szCs w:val="21"/>
          <w:highlight w:val="none"/>
        </w:rPr>
        <w:t>不按照招标文件要求提交履约保证金</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lang w:eastAsia="zh-CN"/>
        </w:rPr>
        <w:t>；</w:t>
      </w:r>
    </w:p>
    <w:p>
      <w:pPr>
        <w:pStyle w:val="14"/>
        <w:spacing w:line="360" w:lineRule="auto"/>
        <w:ind w:firstLine="420" w:firstLineChars="200"/>
        <w:rPr>
          <w:rFonts w:hAnsi="宋体" w:cs="宋体"/>
          <w:color w:val="auto"/>
          <w:szCs w:val="21"/>
          <w:highlight w:val="none"/>
        </w:rPr>
      </w:pPr>
      <w:r>
        <w:rPr>
          <w:rFonts w:hint="eastAsia" w:hAnsi="宋体" w:cs="宋体"/>
          <w:color w:val="auto"/>
          <w:szCs w:val="21"/>
          <w:highlight w:val="none"/>
          <w:lang w:val="en-US" w:eastAsia="zh-CN"/>
        </w:rPr>
        <w:t>6</w:t>
      </w:r>
      <w:r>
        <w:rPr>
          <w:rFonts w:hint="eastAsia" w:hAnsi="宋体" w:cs="宋体"/>
          <w:color w:val="auto"/>
          <w:szCs w:val="21"/>
          <w:highlight w:val="none"/>
        </w:rPr>
        <w:t>、招标文件中规定的</w:t>
      </w:r>
      <w:r>
        <w:rPr>
          <w:rFonts w:hint="eastAsia" w:hAnsi="宋体" w:cs="宋体"/>
        </w:rPr>
        <w:t>或者法律法规规定的</w:t>
      </w:r>
      <w:r>
        <w:rPr>
          <w:rFonts w:hint="eastAsia" w:hAnsi="宋体" w:cs="宋体"/>
          <w:color w:val="auto"/>
          <w:szCs w:val="21"/>
          <w:highlight w:val="none"/>
        </w:rPr>
        <w:t>其他情形。</w:t>
      </w:r>
    </w:p>
    <w:p>
      <w:pPr>
        <w:spacing w:line="360" w:lineRule="auto"/>
        <w:ind w:firstLine="420"/>
        <w:rPr>
          <w:rFonts w:hint="eastAsia" w:ascii="宋体" w:hAnsi="宋体" w:cs="宋体"/>
          <w:color w:val="auto"/>
          <w:szCs w:val="21"/>
          <w:highlight w:val="none"/>
        </w:rPr>
      </w:pPr>
    </w:p>
    <w:p>
      <w:pPr>
        <w:spacing w:line="360" w:lineRule="auto"/>
        <w:ind w:firstLine="1680" w:firstLineChars="800"/>
        <w:rPr>
          <w:rFonts w:hint="eastAsia" w:ascii="宋体" w:hAnsi="宋体" w:cs="宋体"/>
          <w:color w:val="auto"/>
          <w:szCs w:val="21"/>
          <w:highlight w:val="none"/>
        </w:rPr>
      </w:pPr>
    </w:p>
    <w:p>
      <w:pPr>
        <w:spacing w:line="360" w:lineRule="auto"/>
        <w:ind w:firstLine="1680" w:firstLineChars="800"/>
        <w:rPr>
          <w:rFonts w:hint="eastAsia" w:ascii="宋体" w:hAnsi="宋体" w:cs="宋体"/>
          <w:color w:val="auto"/>
          <w:szCs w:val="21"/>
          <w:highlight w:val="none"/>
        </w:rPr>
      </w:pPr>
    </w:p>
    <w:p>
      <w:pPr>
        <w:spacing w:line="360" w:lineRule="auto"/>
        <w:ind w:firstLine="1680" w:firstLineChars="800"/>
        <w:rPr>
          <w:rFonts w:hint="eastAsia" w:ascii="宋体" w:hAnsi="宋体" w:cs="宋体"/>
          <w:color w:val="auto"/>
          <w:szCs w:val="21"/>
          <w:highlight w:val="none"/>
        </w:rPr>
      </w:pPr>
    </w:p>
    <w:p>
      <w:pPr>
        <w:spacing w:line="360" w:lineRule="auto"/>
        <w:ind w:firstLine="2940" w:firstLineChars="1400"/>
        <w:rPr>
          <w:rFonts w:hint="eastAsia" w:ascii="宋体" w:hAnsi="宋体" w:cs="宋体"/>
          <w:color w:val="auto"/>
          <w:szCs w:val="21"/>
          <w:highlight w:val="none"/>
          <w:u w:val="single"/>
        </w:rPr>
      </w:pPr>
      <w:r>
        <w:rPr>
          <w:rFonts w:hint="eastAsia" w:ascii="宋体" w:hAnsi="宋体" w:cs="宋体"/>
          <w:color w:val="auto"/>
          <w:szCs w:val="21"/>
          <w:highlight w:val="none"/>
        </w:rPr>
        <w:t>投 标 人（单位公章）：</w:t>
      </w:r>
      <w:r>
        <w:rPr>
          <w:rFonts w:hint="eastAsia" w:ascii="宋体" w:hAnsi="宋体" w:cs="宋体"/>
          <w:color w:val="auto"/>
          <w:szCs w:val="21"/>
          <w:highlight w:val="none"/>
          <w:u w:val="single"/>
        </w:rPr>
        <w:t xml:space="preserve">               </w:t>
      </w:r>
    </w:p>
    <w:p>
      <w:pPr>
        <w:ind w:firstLine="2940" w:firstLineChars="1400"/>
        <w:rPr>
          <w:rFonts w:hint="eastAsia" w:ascii="宋体" w:hAnsi="宋体" w:cs="宋体"/>
          <w:b/>
          <w:color w:val="auto"/>
          <w:sz w:val="28"/>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pStyle w:val="5"/>
        <w:spacing w:line="360" w:lineRule="auto"/>
        <w:ind w:firstLine="562"/>
        <w:rPr>
          <w:rFonts w:hint="eastAsia" w:ascii="宋体" w:hAnsi="宋体" w:cs="宋体"/>
          <w:b/>
          <w:color w:val="auto"/>
          <w:sz w:val="28"/>
          <w:highlight w:val="none"/>
        </w:rPr>
      </w:pPr>
    </w:p>
    <w:p>
      <w:pPr>
        <w:pStyle w:val="5"/>
        <w:spacing w:line="360" w:lineRule="auto"/>
        <w:ind w:firstLine="562"/>
        <w:rPr>
          <w:rFonts w:hint="eastAsia" w:ascii="宋体" w:hAnsi="宋体" w:cs="宋体"/>
          <w:b/>
          <w:color w:val="auto"/>
          <w:sz w:val="28"/>
          <w:highlight w:val="none"/>
        </w:rPr>
      </w:pPr>
    </w:p>
    <w:bookmarkEnd w:id="536"/>
    <w:bookmarkEnd w:id="537"/>
    <w:p>
      <w:pPr>
        <w:pStyle w:val="4"/>
        <w:pageBreakBefore/>
        <w:spacing w:before="158" w:beforeLines="50" w:after="158" w:afterLines="50" w:line="360" w:lineRule="auto"/>
        <w:ind w:left="0"/>
        <w:jc w:val="center"/>
        <w:rPr>
          <w:rFonts w:hint="eastAsia" w:ascii="宋体" w:hAnsi="宋体" w:cs="宋体"/>
          <w:b/>
          <w:color w:val="auto"/>
          <w:highlight w:val="none"/>
        </w:rPr>
      </w:pPr>
      <w:bookmarkStart w:id="538" w:name="_Toc25227"/>
      <w:bookmarkStart w:id="539" w:name="_Toc30441"/>
      <w:bookmarkStart w:id="540" w:name="_Toc9552"/>
      <w:bookmarkStart w:id="541" w:name="_Toc22670"/>
      <w:bookmarkStart w:id="542" w:name="_Toc11095"/>
      <w:bookmarkStart w:id="543" w:name="_Toc1198496628"/>
      <w:bookmarkStart w:id="544" w:name="_Toc28822"/>
      <w:bookmarkStart w:id="545" w:name="_Toc21175"/>
      <w:bookmarkStart w:id="546" w:name="_Toc936586017"/>
      <w:bookmarkStart w:id="547" w:name="_Toc34646015"/>
      <w:bookmarkStart w:id="548" w:name="_Toc8442"/>
      <w:bookmarkStart w:id="549" w:name="_Toc21636944"/>
      <w:bookmarkStart w:id="550" w:name="_Toc7545"/>
      <w:bookmarkStart w:id="551" w:name="_Toc504657640"/>
      <w:bookmarkStart w:id="552" w:name="_Toc12427"/>
      <w:bookmarkStart w:id="553" w:name="_Toc7507"/>
      <w:r>
        <w:rPr>
          <w:rFonts w:hint="eastAsia" w:ascii="宋体" w:hAnsi="宋体" w:cs="宋体"/>
          <w:b/>
          <w:color w:val="auto"/>
          <w:highlight w:val="none"/>
        </w:rPr>
        <w:t>格式八、符合性审查自查表</w:t>
      </w:r>
      <w:bookmarkEnd w:id="538"/>
      <w:bookmarkEnd w:id="539"/>
      <w:bookmarkEnd w:id="540"/>
      <w:bookmarkEnd w:id="541"/>
      <w:bookmarkEnd w:id="542"/>
      <w:bookmarkEnd w:id="543"/>
      <w:bookmarkEnd w:id="544"/>
      <w:bookmarkEnd w:id="545"/>
      <w:bookmarkEnd w:id="546"/>
      <w:bookmarkEnd w:id="547"/>
      <w:bookmarkEnd w:id="548"/>
      <w:bookmarkEnd w:id="549"/>
      <w:bookmarkEnd w:id="550"/>
    </w:p>
    <w:tbl>
      <w:tblPr>
        <w:tblStyle w:val="27"/>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2389"/>
        <w:gridCol w:w="2838"/>
        <w:gridCol w:w="1146"/>
        <w:gridCol w:w="1217"/>
        <w:gridCol w:w="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2884" w:type="dxa"/>
            <w:gridSpan w:val="2"/>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招标文件评审内容</w:t>
            </w:r>
          </w:p>
        </w:tc>
        <w:tc>
          <w:tcPr>
            <w:tcW w:w="2838"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投标人响应内容</w:t>
            </w:r>
          </w:p>
        </w:tc>
        <w:tc>
          <w:tcPr>
            <w:tcW w:w="1146"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证明材料</w:t>
            </w:r>
          </w:p>
        </w:tc>
        <w:tc>
          <w:tcPr>
            <w:tcW w:w="1217" w:type="dxa"/>
            <w:noWrap w:val="0"/>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所在页码</w:t>
            </w:r>
          </w:p>
        </w:tc>
        <w:tc>
          <w:tcPr>
            <w:tcW w:w="959" w:type="dxa"/>
            <w:noWrap w:val="0"/>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2389" w:type="dxa"/>
            <w:noWrap w:val="0"/>
            <w:tcMar>
              <w:left w:w="28" w:type="dxa"/>
              <w:right w:w="28" w:type="dxa"/>
            </w:tcMar>
            <w:vAlign w:val="center"/>
          </w:tcPr>
          <w:p>
            <w:pPr>
              <w:spacing w:line="360" w:lineRule="auto"/>
              <w:jc w:val="left"/>
              <w:rPr>
                <w:rFonts w:hint="eastAsia" w:ascii="宋体" w:hAnsi="宋体" w:cs="宋体"/>
                <w:bCs/>
                <w:color w:val="auto"/>
                <w:szCs w:val="21"/>
                <w:highlight w:val="none"/>
              </w:rPr>
            </w:pPr>
            <w:r>
              <w:rPr>
                <w:rFonts w:hint="eastAsia" w:ascii="宋体" w:hAnsi="宋体" w:cs="宋体"/>
                <w:b/>
                <w:color w:val="auto"/>
                <w:highlight w:val="none"/>
              </w:rPr>
              <w:t>投标保证金</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（填写格式七）</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2</w:t>
            </w:r>
          </w:p>
        </w:tc>
        <w:tc>
          <w:tcPr>
            <w:tcW w:w="2389" w:type="dxa"/>
            <w:noWrap w:val="0"/>
            <w:tcMar>
              <w:left w:w="28" w:type="dxa"/>
              <w:right w:w="28" w:type="dxa"/>
            </w:tcMar>
            <w:vAlign w:val="center"/>
          </w:tcPr>
          <w:p>
            <w:pPr>
              <w:spacing w:line="360" w:lineRule="auto"/>
              <w:jc w:val="left"/>
              <w:rPr>
                <w:rFonts w:hint="eastAsia" w:ascii="宋体" w:hAnsi="宋体" w:cs="宋体"/>
                <w:bCs/>
                <w:color w:val="auto"/>
                <w:szCs w:val="21"/>
                <w:highlight w:val="none"/>
              </w:rPr>
            </w:pPr>
            <w:r>
              <w:rPr>
                <w:rFonts w:hint="eastAsia" w:ascii="宋体" w:hAnsi="宋体" w:cs="宋体"/>
                <w:b/>
                <w:color w:val="auto"/>
                <w:highlight w:val="none"/>
              </w:rPr>
              <w:t>投标书的有效性</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（招标文件要求签字盖章处是否均已由法定代表人/被授权人签字和/或加盖投标单位公章）</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2389" w:type="dxa"/>
            <w:noWrap w:val="0"/>
            <w:tcMar>
              <w:left w:w="28" w:type="dxa"/>
              <w:right w:w="28" w:type="dxa"/>
            </w:tcMar>
            <w:vAlign w:val="center"/>
          </w:tcPr>
          <w:p>
            <w:pPr>
              <w:spacing w:line="360" w:lineRule="auto"/>
              <w:jc w:val="left"/>
              <w:rPr>
                <w:rFonts w:hint="eastAsia" w:ascii="宋体" w:hAnsi="宋体" w:cs="宋体"/>
                <w:bCs/>
                <w:color w:val="auto"/>
                <w:szCs w:val="21"/>
                <w:highlight w:val="none"/>
              </w:rPr>
            </w:pPr>
            <w:r>
              <w:rPr>
                <w:rFonts w:hint="eastAsia" w:ascii="宋体" w:hAnsi="宋体" w:cs="宋体"/>
                <w:b/>
                <w:color w:val="auto"/>
                <w:highlight w:val="none"/>
              </w:rPr>
              <w:t>投标文件的内容</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（投标文件是否按规定的格式填写，内容是否完整清晰）</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restart"/>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4</w:t>
            </w:r>
          </w:p>
        </w:tc>
        <w:tc>
          <w:tcPr>
            <w:tcW w:w="2389" w:type="dxa"/>
            <w:vMerge w:val="restart"/>
            <w:noWrap w:val="0"/>
            <w:tcMar>
              <w:left w:w="28" w:type="dxa"/>
              <w:right w:w="28" w:type="dxa"/>
            </w:tcMar>
            <w:vAlign w:val="center"/>
          </w:tcPr>
          <w:p>
            <w:pPr>
              <w:spacing w:line="360" w:lineRule="auto"/>
              <w:jc w:val="left"/>
              <w:rPr>
                <w:rFonts w:hint="eastAsia" w:ascii="宋体" w:hAnsi="宋体" w:cs="宋体"/>
                <w:bCs/>
                <w:color w:val="auto"/>
                <w:szCs w:val="21"/>
                <w:highlight w:val="none"/>
              </w:rPr>
            </w:pPr>
            <w:r>
              <w:rPr>
                <w:rFonts w:hint="eastAsia" w:ascii="宋体" w:hAnsi="宋体" w:cs="宋体"/>
                <w:b/>
                <w:color w:val="auto"/>
                <w:highlight w:val="none"/>
              </w:rPr>
              <w:t>投标人的有效性</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（投标人资格要求内容1）</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p>
        </w:tc>
        <w:tc>
          <w:tcPr>
            <w:tcW w:w="2389" w:type="dxa"/>
            <w:vMerge w:val="continue"/>
            <w:noWrap w:val="0"/>
            <w:tcMar>
              <w:left w:w="28" w:type="dxa"/>
              <w:right w:w="28" w:type="dxa"/>
            </w:tcMar>
            <w:vAlign w:val="center"/>
          </w:tcPr>
          <w:p>
            <w:pPr>
              <w:spacing w:line="360" w:lineRule="auto"/>
              <w:jc w:val="left"/>
              <w:rPr>
                <w:rFonts w:hint="eastAsia" w:ascii="宋体" w:hAnsi="宋体" w:cs="宋体"/>
                <w:b/>
                <w:color w:val="auto"/>
                <w:highlight w:val="none"/>
              </w:rPr>
            </w:pP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（投标人资格要求内容2）</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p>
        </w:tc>
        <w:tc>
          <w:tcPr>
            <w:tcW w:w="2389" w:type="dxa"/>
            <w:vMerge w:val="continue"/>
            <w:noWrap w:val="0"/>
            <w:tcMar>
              <w:left w:w="28" w:type="dxa"/>
              <w:right w:w="28" w:type="dxa"/>
            </w:tcMar>
            <w:vAlign w:val="center"/>
          </w:tcPr>
          <w:p>
            <w:pPr>
              <w:spacing w:line="360" w:lineRule="auto"/>
              <w:jc w:val="left"/>
              <w:rPr>
                <w:rFonts w:hint="eastAsia" w:ascii="宋体" w:hAnsi="宋体" w:cs="宋体"/>
                <w:b/>
                <w:color w:val="auto"/>
                <w:highlight w:val="none"/>
              </w:rPr>
            </w:pP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（投标人资格要求内容3）</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p>
        </w:tc>
        <w:tc>
          <w:tcPr>
            <w:tcW w:w="2389" w:type="dxa"/>
            <w:vMerge w:val="continue"/>
            <w:noWrap w:val="0"/>
            <w:tcMar>
              <w:left w:w="28" w:type="dxa"/>
              <w:right w:w="28" w:type="dxa"/>
            </w:tcMar>
            <w:vAlign w:val="center"/>
          </w:tcPr>
          <w:p>
            <w:pPr>
              <w:spacing w:line="360" w:lineRule="auto"/>
              <w:jc w:val="left"/>
              <w:rPr>
                <w:rFonts w:hint="eastAsia" w:ascii="宋体" w:hAnsi="宋体" w:cs="宋体"/>
                <w:b/>
                <w:color w:val="auto"/>
                <w:highlight w:val="none"/>
              </w:rPr>
            </w:pP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（投标人资格要求内容、、、）</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5</w:t>
            </w:r>
          </w:p>
        </w:tc>
        <w:tc>
          <w:tcPr>
            <w:tcW w:w="2389" w:type="dxa"/>
            <w:noWrap w:val="0"/>
            <w:tcMar>
              <w:left w:w="28" w:type="dxa"/>
              <w:right w:w="28" w:type="dxa"/>
            </w:tcMar>
            <w:vAlign w:val="center"/>
          </w:tcPr>
          <w:p>
            <w:pPr>
              <w:spacing w:line="360" w:lineRule="auto"/>
              <w:jc w:val="left"/>
              <w:rPr>
                <w:rFonts w:hint="eastAsia" w:ascii="宋体" w:hAnsi="宋体" w:cs="宋体"/>
                <w:color w:val="auto"/>
                <w:szCs w:val="21"/>
                <w:highlight w:val="none"/>
              </w:rPr>
            </w:pPr>
            <w:r>
              <w:rPr>
                <w:rFonts w:hint="eastAsia" w:ascii="宋体" w:hAnsi="宋体" w:cs="宋体"/>
                <w:b/>
                <w:color w:val="auto"/>
                <w:highlight w:val="none"/>
              </w:rPr>
              <w:t>投标有效期</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6</w:t>
            </w:r>
          </w:p>
        </w:tc>
        <w:tc>
          <w:tcPr>
            <w:tcW w:w="2389" w:type="dxa"/>
            <w:noWrap w:val="0"/>
            <w:tcMar>
              <w:left w:w="28" w:type="dxa"/>
              <w:right w:w="28" w:type="dxa"/>
            </w:tcMar>
            <w:vAlign w:val="center"/>
          </w:tcPr>
          <w:p>
            <w:pPr>
              <w:spacing w:line="360" w:lineRule="auto"/>
              <w:jc w:val="left"/>
              <w:rPr>
                <w:rFonts w:hint="eastAsia" w:ascii="宋体" w:hAnsi="宋体" w:cs="宋体"/>
                <w:color w:val="auto"/>
                <w:szCs w:val="21"/>
                <w:highlight w:val="none"/>
              </w:rPr>
            </w:pPr>
            <w:r>
              <w:rPr>
                <w:rFonts w:hint="eastAsia" w:ascii="宋体" w:hAnsi="宋体" w:cs="宋体"/>
                <w:b/>
                <w:color w:val="auto"/>
                <w:highlight w:val="none"/>
              </w:rPr>
              <w:t>交货期/服务期</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（交货期/服务期：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7</w:t>
            </w:r>
          </w:p>
        </w:tc>
        <w:tc>
          <w:tcPr>
            <w:tcW w:w="2389" w:type="dxa"/>
            <w:noWrap w:val="0"/>
            <w:tcMar>
              <w:left w:w="28" w:type="dxa"/>
              <w:right w:w="28" w:type="dxa"/>
            </w:tcMar>
            <w:vAlign w:val="center"/>
          </w:tcPr>
          <w:p>
            <w:pPr>
              <w:spacing w:line="360" w:lineRule="auto"/>
              <w:jc w:val="left"/>
              <w:rPr>
                <w:rFonts w:hint="eastAsia" w:ascii="宋体" w:hAnsi="宋体" w:cs="宋体"/>
                <w:color w:val="auto"/>
                <w:szCs w:val="21"/>
                <w:highlight w:val="none"/>
              </w:rPr>
            </w:pPr>
            <w:r>
              <w:rPr>
                <w:rFonts w:hint="eastAsia" w:ascii="宋体" w:hAnsi="宋体" w:cs="宋体"/>
                <w:b/>
                <w:color w:val="auto"/>
                <w:highlight w:val="none"/>
              </w:rPr>
              <w:t>付款条款</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（付款条款：</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rPr>
              <w:t>）</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8</w:t>
            </w:r>
          </w:p>
        </w:tc>
        <w:tc>
          <w:tcPr>
            <w:tcW w:w="2389" w:type="dxa"/>
            <w:noWrap w:val="0"/>
            <w:tcMar>
              <w:left w:w="28" w:type="dxa"/>
              <w:right w:w="28" w:type="dxa"/>
            </w:tcMar>
            <w:vAlign w:val="center"/>
          </w:tcPr>
          <w:p>
            <w:pPr>
              <w:spacing w:line="360" w:lineRule="auto"/>
              <w:jc w:val="left"/>
              <w:rPr>
                <w:rFonts w:hint="eastAsia" w:ascii="宋体" w:hAnsi="宋体" w:cs="宋体"/>
                <w:color w:val="auto"/>
                <w:szCs w:val="21"/>
                <w:highlight w:val="none"/>
              </w:rPr>
            </w:pPr>
            <w:r>
              <w:rPr>
                <w:rFonts w:hint="eastAsia" w:ascii="宋体" w:hAnsi="宋体" w:cs="宋体"/>
                <w:b/>
                <w:color w:val="auto"/>
                <w:highlight w:val="none"/>
              </w:rPr>
              <w:t>投标文件的真实性</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（投标文件是否真实）</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9</w:t>
            </w:r>
          </w:p>
        </w:tc>
        <w:tc>
          <w:tcPr>
            <w:tcW w:w="2389" w:type="dxa"/>
            <w:noWrap w:val="0"/>
            <w:tcMar>
              <w:left w:w="28" w:type="dxa"/>
              <w:right w:w="28" w:type="dxa"/>
            </w:tcMar>
            <w:vAlign w:val="center"/>
          </w:tcPr>
          <w:p>
            <w:pPr>
              <w:spacing w:line="360" w:lineRule="auto"/>
              <w:jc w:val="left"/>
              <w:rPr>
                <w:rFonts w:hint="eastAsia" w:ascii="宋体" w:hAnsi="宋体" w:cs="宋体"/>
                <w:color w:val="auto"/>
                <w:szCs w:val="21"/>
                <w:highlight w:val="none"/>
              </w:rPr>
            </w:pPr>
            <w:r>
              <w:rPr>
                <w:rFonts w:hint="eastAsia" w:ascii="宋体" w:hAnsi="宋体" w:cs="宋体"/>
                <w:b/>
                <w:color w:val="auto"/>
                <w:highlight w:val="none"/>
              </w:rPr>
              <w:t>投标报价</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（填写格式二和格式三）</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0</w:t>
            </w:r>
          </w:p>
        </w:tc>
        <w:tc>
          <w:tcPr>
            <w:tcW w:w="2389" w:type="dxa"/>
            <w:noWrap w:val="0"/>
            <w:tcMar>
              <w:left w:w="28" w:type="dxa"/>
              <w:right w:w="28" w:type="dxa"/>
            </w:tcMar>
            <w:vAlign w:val="center"/>
          </w:tcPr>
          <w:p>
            <w:pPr>
              <w:spacing w:line="360" w:lineRule="auto"/>
              <w:jc w:val="left"/>
              <w:rPr>
                <w:rFonts w:hint="eastAsia" w:ascii="宋体" w:hAnsi="宋体" w:cs="宋体"/>
                <w:color w:val="auto"/>
                <w:szCs w:val="21"/>
                <w:highlight w:val="none"/>
              </w:rPr>
            </w:pPr>
            <w:r>
              <w:rPr>
                <w:rFonts w:hint="eastAsia" w:ascii="宋体" w:hAnsi="宋体" w:cs="宋体"/>
                <w:b/>
                <w:color w:val="auto"/>
                <w:highlight w:val="none"/>
              </w:rPr>
              <w:t>低于成本价投标</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highlight w:val="none"/>
              </w:rPr>
              <w:t>（是否低于成本报价）</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11</w:t>
            </w:r>
          </w:p>
        </w:tc>
        <w:tc>
          <w:tcPr>
            <w:tcW w:w="2389" w:type="dxa"/>
            <w:noWrap w:val="0"/>
            <w:tcMar>
              <w:left w:w="28" w:type="dxa"/>
              <w:right w:w="28" w:type="dxa"/>
            </w:tcMar>
            <w:vAlign w:val="center"/>
          </w:tcPr>
          <w:p>
            <w:pPr>
              <w:spacing w:line="360" w:lineRule="auto"/>
              <w:jc w:val="left"/>
              <w:rPr>
                <w:rFonts w:hint="eastAsia" w:ascii="宋体" w:hAnsi="宋体" w:cs="宋体"/>
                <w:b/>
                <w:color w:val="auto"/>
                <w:highlight w:val="none"/>
              </w:rPr>
            </w:pPr>
            <w:r>
              <w:rPr>
                <w:rFonts w:hint="eastAsia" w:ascii="宋体" w:hAnsi="宋体" w:cs="宋体"/>
                <w:b/>
                <w:color w:val="auto"/>
                <w:highlight w:val="none"/>
              </w:rPr>
              <w:t>投标样品</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（是否按要求提供样品）</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2</w:t>
            </w:r>
          </w:p>
        </w:tc>
        <w:tc>
          <w:tcPr>
            <w:tcW w:w="2389" w:type="dxa"/>
            <w:noWrap w:val="0"/>
            <w:tcMar>
              <w:left w:w="28" w:type="dxa"/>
              <w:right w:w="28" w:type="dxa"/>
            </w:tcMar>
            <w:vAlign w:val="center"/>
          </w:tcPr>
          <w:p>
            <w:pPr>
              <w:spacing w:line="360" w:lineRule="auto"/>
              <w:jc w:val="left"/>
              <w:rPr>
                <w:rFonts w:hint="eastAsia" w:ascii="宋体" w:hAnsi="宋体" w:cs="宋体"/>
                <w:color w:val="auto"/>
                <w:szCs w:val="21"/>
                <w:highlight w:val="none"/>
              </w:rPr>
            </w:pPr>
            <w:r>
              <w:rPr>
                <w:rFonts w:hint="eastAsia" w:ascii="宋体" w:hAnsi="宋体" w:cs="宋体"/>
                <w:b/>
                <w:color w:val="auto"/>
                <w:highlight w:val="none"/>
              </w:rPr>
              <w:t>其他导致投标无效的条款</w:t>
            </w:r>
          </w:p>
        </w:tc>
        <w:tc>
          <w:tcPr>
            <w:tcW w:w="2838" w:type="dxa"/>
            <w:noWrap w:val="0"/>
            <w:tcMar>
              <w:left w:w="28" w:type="dxa"/>
              <w:right w:w="28" w:type="dxa"/>
            </w:tcMar>
            <w:vAlign w:val="center"/>
          </w:tcPr>
          <w:p>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（是否有其他导致投标无效的条款）</w:t>
            </w:r>
          </w:p>
        </w:tc>
        <w:tc>
          <w:tcPr>
            <w:tcW w:w="1146" w:type="dxa"/>
            <w:noWrap w:val="0"/>
            <w:tcMar>
              <w:left w:w="28" w:type="dxa"/>
              <w:right w:w="28" w:type="dxa"/>
            </w:tcMar>
            <w:vAlign w:val="center"/>
          </w:tcPr>
          <w:p>
            <w:pPr>
              <w:spacing w:line="360" w:lineRule="auto"/>
              <w:rPr>
                <w:rFonts w:hint="eastAsia" w:ascii="宋体" w:hAnsi="宋体" w:cs="宋体"/>
                <w:color w:val="auto"/>
                <w:szCs w:val="21"/>
                <w:highlight w:val="none"/>
              </w:rPr>
            </w:pPr>
          </w:p>
        </w:tc>
        <w:tc>
          <w:tcPr>
            <w:tcW w:w="1217" w:type="dxa"/>
            <w:noWrap w:val="0"/>
            <w:vAlign w:val="center"/>
          </w:tcPr>
          <w:p>
            <w:pPr>
              <w:spacing w:line="360" w:lineRule="auto"/>
              <w:rPr>
                <w:rFonts w:hint="eastAsia" w:ascii="宋体" w:hAnsi="宋体" w:cs="宋体"/>
                <w:color w:val="auto"/>
                <w:szCs w:val="21"/>
                <w:highlight w:val="none"/>
              </w:rPr>
            </w:pPr>
          </w:p>
        </w:tc>
        <w:tc>
          <w:tcPr>
            <w:tcW w:w="959" w:type="dxa"/>
            <w:noWrap w:val="0"/>
            <w:vAlign w:val="center"/>
          </w:tcPr>
          <w:p>
            <w:pPr>
              <w:spacing w:line="360" w:lineRule="auto"/>
              <w:rPr>
                <w:rFonts w:hint="eastAsia" w:ascii="宋体" w:hAnsi="宋体" w:cs="宋体"/>
                <w:color w:val="auto"/>
                <w:szCs w:val="21"/>
                <w:highlight w:val="none"/>
              </w:rPr>
            </w:pPr>
          </w:p>
        </w:tc>
      </w:tr>
    </w:tbl>
    <w:p>
      <w:pPr>
        <w:pStyle w:val="4"/>
        <w:pageBreakBefore/>
        <w:spacing w:before="158" w:beforeLines="50" w:after="158" w:afterLines="50" w:line="360" w:lineRule="auto"/>
        <w:ind w:left="0"/>
        <w:jc w:val="center"/>
        <w:rPr>
          <w:rFonts w:hint="eastAsia" w:ascii="宋体" w:hAnsi="宋体" w:cs="宋体"/>
          <w:b/>
          <w:color w:val="auto"/>
          <w:highlight w:val="none"/>
        </w:rPr>
      </w:pPr>
      <w:bookmarkStart w:id="554" w:name="_Toc18343"/>
      <w:bookmarkStart w:id="555" w:name="_Toc184280865"/>
      <w:bookmarkStart w:id="556" w:name="_Toc971772977"/>
      <w:bookmarkStart w:id="557" w:name="_Toc1503500554"/>
      <w:bookmarkStart w:id="558" w:name="_Toc34646016"/>
      <w:bookmarkStart w:id="559" w:name="_Toc28763"/>
      <w:bookmarkStart w:id="560" w:name="_Toc2379"/>
      <w:bookmarkStart w:id="561" w:name="_Toc7745"/>
      <w:bookmarkStart w:id="562" w:name="_Toc3997"/>
      <w:bookmarkStart w:id="563" w:name="_Toc2750"/>
      <w:bookmarkStart w:id="564" w:name="_Toc30457"/>
      <w:bookmarkStart w:id="565" w:name="_Toc13107"/>
      <w:bookmarkStart w:id="566" w:name="_Toc27566"/>
      <w:bookmarkStart w:id="567" w:name="_Toc29026"/>
      <w:r>
        <w:rPr>
          <w:rFonts w:hint="eastAsia" w:ascii="宋体" w:hAnsi="宋体" w:cs="宋体"/>
          <w:b/>
          <w:color w:val="auto"/>
          <w:highlight w:val="none"/>
        </w:rPr>
        <w:t>格式八-1 企业信用信息</w:t>
      </w:r>
      <w:bookmarkEnd w:id="554"/>
      <w:bookmarkEnd w:id="555"/>
      <w:bookmarkEnd w:id="556"/>
      <w:bookmarkEnd w:id="557"/>
    </w:p>
    <w:p>
      <w:pPr>
        <w:pStyle w:val="5"/>
        <w:ind w:firstLineChars="0"/>
        <w:rPr>
          <w:rFonts w:hint="eastAsia" w:ascii="宋体" w:hAnsi="宋体" w:cs="宋体"/>
          <w:b/>
          <w:color w:val="auto"/>
          <w:highlight w:val="none"/>
        </w:rPr>
      </w:pPr>
      <w:r>
        <w:rPr>
          <w:rFonts w:hint="eastAsia" w:ascii="宋体" w:hAnsi="宋体" w:cs="宋体"/>
          <w:color w:val="auto"/>
          <w:szCs w:val="21"/>
          <w:highlight w:val="none"/>
          <w:shd w:val="clear" w:color="auto" w:fill="FFFFFF"/>
        </w:rPr>
        <w:t>请供应商按要求提供：供应商在经营活动中无“列入严重违法失信企业名单（黑名单）信息”。（</w:t>
      </w:r>
      <w:r>
        <w:rPr>
          <w:rFonts w:hint="eastAsia" w:ascii="宋体" w:hAnsi="宋体" w:cs="宋体"/>
          <w:color w:val="auto"/>
          <w:szCs w:val="21"/>
          <w:highlight w:val="none"/>
        </w:rPr>
        <w:t>注意：须</w:t>
      </w:r>
      <w:r>
        <w:rPr>
          <w:rFonts w:hint="eastAsia" w:ascii="宋体" w:hAnsi="宋体" w:cs="宋体"/>
          <w:color w:val="auto"/>
          <w:szCs w:val="21"/>
          <w:highlight w:val="none"/>
          <w:shd w:val="clear" w:color="auto" w:fill="FFFFFF"/>
        </w:rPr>
        <w:t>提供国家企业信用信息公示系统中此项完整内容截图或报告）或“严重失信主体名单”（</w:t>
      </w:r>
      <w:r>
        <w:rPr>
          <w:rFonts w:hint="eastAsia" w:ascii="宋体" w:hAnsi="宋体" w:cs="宋体"/>
          <w:color w:val="auto"/>
          <w:szCs w:val="21"/>
          <w:highlight w:val="none"/>
        </w:rPr>
        <w:t>注意：须</w:t>
      </w:r>
      <w:r>
        <w:rPr>
          <w:rFonts w:hint="eastAsia" w:ascii="宋体" w:hAnsi="宋体" w:cs="宋体"/>
          <w:color w:val="auto"/>
          <w:szCs w:val="21"/>
          <w:highlight w:val="none"/>
          <w:shd w:val="clear" w:color="auto" w:fill="FFFFFF"/>
        </w:rPr>
        <w:t>提供信用中国网站中此项完整内容截图或报告）。</w:t>
      </w:r>
      <w:r>
        <w:rPr>
          <w:rFonts w:hint="eastAsia" w:ascii="宋体" w:hAnsi="宋体" w:cs="宋体"/>
          <w:color w:val="auto"/>
          <w:szCs w:val="21"/>
          <w:highlight w:val="none"/>
        </w:rPr>
        <w:t>（注意：</w:t>
      </w:r>
      <w:r>
        <w:rPr>
          <w:rFonts w:hint="eastAsia" w:ascii="宋体" w:hAnsi="宋体" w:cs="宋体"/>
          <w:color w:val="auto"/>
          <w:szCs w:val="21"/>
          <w:highlight w:val="none"/>
          <w:shd w:val="clear" w:color="auto" w:fill="FFFFFF"/>
        </w:rPr>
        <w:t>仅以国家企业信用信息公示系统显示信息或信用中国网站为准进行形式审查并作为认定依据，其他网站或文件不作为认定依据；境外企业、港澳台地区企业及国内事业单位无需提供；在投标截止日前已被移除出名单的，符合本条资格要求</w:t>
      </w:r>
      <w:r>
        <w:rPr>
          <w:rFonts w:hint="eastAsia" w:ascii="宋体" w:hAnsi="宋体" w:cs="宋体"/>
          <w:color w:val="auto"/>
          <w:szCs w:val="21"/>
          <w:highlight w:val="none"/>
        </w:rPr>
        <w:t>（以上证明材料提供任一即可）</w:t>
      </w:r>
      <w:r>
        <w:rPr>
          <w:rFonts w:hint="eastAsia" w:ascii="宋体" w:hAnsi="宋体" w:cs="宋体"/>
          <w:color w:val="auto"/>
          <w:szCs w:val="21"/>
          <w:highlight w:val="none"/>
          <w:shd w:val="clear" w:color="auto" w:fill="FFFFFF"/>
        </w:rPr>
        <w:t>）</w:t>
      </w:r>
    </w:p>
    <w:p>
      <w:pPr>
        <w:pStyle w:val="5"/>
        <w:ind w:firstLine="422"/>
        <w:jc w:val="center"/>
        <w:rPr>
          <w:rFonts w:hint="eastAsia" w:ascii="宋体" w:hAnsi="宋体" w:cs="宋体"/>
          <w:b/>
          <w:color w:val="auto"/>
          <w:highlight w:val="none"/>
        </w:rPr>
      </w:pPr>
    </w:p>
    <w:p>
      <w:pPr>
        <w:pStyle w:val="5"/>
        <w:ind w:firstLine="422"/>
        <w:jc w:val="center"/>
        <w:rPr>
          <w:rFonts w:hint="eastAsia" w:ascii="宋体" w:hAnsi="宋体" w:cs="宋体"/>
          <w:b/>
          <w:color w:val="auto"/>
          <w:highlight w:val="none"/>
        </w:rPr>
      </w:pPr>
      <w:r>
        <w:rPr>
          <w:rFonts w:hint="eastAsia" w:ascii="宋体" w:hAnsi="宋体" w:cs="宋体"/>
          <w:b/>
          <w:color w:val="auto"/>
          <w:highlight w:val="none"/>
        </w:rPr>
        <w:t>供应商可参考以下样例截图</w:t>
      </w:r>
    </w:p>
    <w:p>
      <w:pPr>
        <w:pStyle w:val="5"/>
        <w:jc w:val="center"/>
        <w:rPr>
          <w:rFonts w:hint="eastAsia" w:ascii="宋体" w:hAnsi="宋体" w:cs="宋体"/>
          <w:b/>
          <w:color w:val="auto"/>
          <w:highlight w:val="none"/>
        </w:rPr>
      </w:pPr>
      <w:r>
        <w:rPr>
          <w:rFonts w:hint="eastAsia"/>
          <w:color w:val="auto"/>
          <w:highlight w:val="none"/>
        </w:rPr>
        <w:drawing>
          <wp:inline distT="0" distB="0" distL="114300" distR="114300">
            <wp:extent cx="4408170" cy="3041650"/>
            <wp:effectExtent l="0" t="0" r="11430" b="6350"/>
            <wp:docPr id="13" name="图片 3" descr="截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截图_1"/>
                    <pic:cNvPicPr>
                      <a:picLocks noChangeAspect="1"/>
                    </pic:cNvPicPr>
                  </pic:nvPicPr>
                  <pic:blipFill>
                    <a:blip r:embed="rId14"/>
                    <a:stretch>
                      <a:fillRect/>
                    </a:stretch>
                  </pic:blipFill>
                  <pic:spPr>
                    <a:xfrm>
                      <a:off x="0" y="0"/>
                      <a:ext cx="4408170" cy="3041650"/>
                    </a:xfrm>
                    <a:prstGeom prst="rect">
                      <a:avLst/>
                    </a:prstGeom>
                    <a:noFill/>
                    <a:ln>
                      <a:noFill/>
                    </a:ln>
                  </pic:spPr>
                </pic:pic>
              </a:graphicData>
            </a:graphic>
          </wp:inline>
        </w:drawing>
      </w:r>
    </w:p>
    <w:p>
      <w:pPr>
        <w:pStyle w:val="5"/>
        <w:jc w:val="center"/>
        <w:rPr>
          <w:rFonts w:hint="eastAsia"/>
          <w:color w:val="auto"/>
          <w:highlight w:val="none"/>
        </w:rPr>
      </w:pPr>
      <w:r>
        <w:rPr>
          <w:color w:val="auto"/>
          <w:highlight w:val="none"/>
        </w:rPr>
        <w:drawing>
          <wp:inline distT="0" distB="0" distL="114300" distR="114300">
            <wp:extent cx="4411345" cy="3155315"/>
            <wp:effectExtent l="0" t="0" r="8255" b="6985"/>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15"/>
                    <a:stretch>
                      <a:fillRect/>
                    </a:stretch>
                  </pic:blipFill>
                  <pic:spPr>
                    <a:xfrm>
                      <a:off x="0" y="0"/>
                      <a:ext cx="4411345" cy="3155315"/>
                    </a:xfrm>
                    <a:prstGeom prst="rect">
                      <a:avLst/>
                    </a:prstGeom>
                    <a:noFill/>
                    <a:ln>
                      <a:noFill/>
                    </a:ln>
                  </pic:spPr>
                </pic:pic>
              </a:graphicData>
            </a:graphic>
          </wp:inline>
        </w:drawing>
      </w: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568" w:name="_Toc2138650167"/>
      <w:bookmarkStart w:id="569" w:name="_Toc1062698345"/>
      <w:bookmarkStart w:id="570" w:name="_Toc867756692"/>
      <w:r>
        <w:rPr>
          <w:rFonts w:hint="eastAsia" w:ascii="宋体" w:hAnsi="宋体" w:cs="宋体"/>
          <w:b/>
          <w:color w:val="auto"/>
          <w:highlight w:val="none"/>
        </w:rPr>
        <w:t>格式九、商务评分索引表（对应商务评审表）</w:t>
      </w:r>
      <w:bookmarkEnd w:id="551"/>
      <w:bookmarkEnd w:id="552"/>
      <w:bookmarkEnd w:id="553"/>
      <w:bookmarkEnd w:id="558"/>
      <w:bookmarkEnd w:id="559"/>
      <w:bookmarkEnd w:id="560"/>
      <w:bookmarkEnd w:id="561"/>
      <w:bookmarkEnd w:id="562"/>
      <w:bookmarkEnd w:id="563"/>
      <w:bookmarkEnd w:id="564"/>
      <w:bookmarkEnd w:id="565"/>
      <w:bookmarkEnd w:id="566"/>
      <w:bookmarkEnd w:id="567"/>
      <w:bookmarkEnd w:id="568"/>
      <w:bookmarkEnd w:id="569"/>
      <w:bookmarkEnd w:id="570"/>
    </w:p>
    <w:tbl>
      <w:tblPr>
        <w:tblStyle w:val="27"/>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2389"/>
        <w:gridCol w:w="2838"/>
        <w:gridCol w:w="1146"/>
        <w:gridCol w:w="1217"/>
        <w:gridCol w:w="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2884" w:type="dxa"/>
            <w:gridSpan w:val="2"/>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招标文件评审内容</w:t>
            </w:r>
          </w:p>
        </w:tc>
        <w:tc>
          <w:tcPr>
            <w:tcW w:w="2838"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投标人响应内容</w:t>
            </w:r>
          </w:p>
        </w:tc>
        <w:tc>
          <w:tcPr>
            <w:tcW w:w="1146"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证明材料</w:t>
            </w:r>
          </w:p>
        </w:tc>
        <w:tc>
          <w:tcPr>
            <w:tcW w:w="1217" w:type="dxa"/>
            <w:noWrap w:val="0"/>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所在页码</w:t>
            </w:r>
          </w:p>
        </w:tc>
        <w:tc>
          <w:tcPr>
            <w:tcW w:w="959" w:type="dxa"/>
            <w:noWrap w:val="0"/>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p>
        </w:tc>
        <w:tc>
          <w:tcPr>
            <w:tcW w:w="2389" w:type="dxa"/>
            <w:noWrap w:val="0"/>
            <w:tcMar>
              <w:left w:w="28" w:type="dxa"/>
              <w:right w:w="28" w:type="dxa"/>
            </w:tcMar>
            <w:vAlign w:val="center"/>
          </w:tcPr>
          <w:p>
            <w:pPr>
              <w:jc w:val="center"/>
              <w:rPr>
                <w:rFonts w:hint="eastAsia" w:ascii="宋体" w:hAnsi="宋体" w:eastAsia="宋体" w:cs="宋体"/>
                <w:bCs/>
                <w:color w:val="auto"/>
                <w:kern w:val="2"/>
                <w:sz w:val="21"/>
                <w:szCs w:val="21"/>
                <w:highlight w:val="none"/>
                <w:lang w:val="en-US" w:eastAsia="zh-CN" w:bidi="ar-SA"/>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p>
        </w:tc>
        <w:tc>
          <w:tcPr>
            <w:tcW w:w="2389" w:type="dxa"/>
            <w:noWrap w:val="0"/>
            <w:tcMar>
              <w:left w:w="28" w:type="dxa"/>
              <w:right w:w="28" w:type="dxa"/>
            </w:tcMar>
            <w:vAlign w:val="center"/>
          </w:tcPr>
          <w:p>
            <w:pPr>
              <w:jc w:val="center"/>
              <w:rPr>
                <w:rFonts w:hint="eastAsia" w:ascii="宋体" w:hAnsi="宋体" w:eastAsia="宋体" w:cs="宋体"/>
                <w:bCs/>
                <w:color w:val="auto"/>
                <w:kern w:val="2"/>
                <w:sz w:val="21"/>
                <w:szCs w:val="21"/>
                <w:highlight w:val="none"/>
                <w:lang w:val="en-US" w:eastAsia="zh-CN" w:bidi="ar-SA"/>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p>
        </w:tc>
        <w:tc>
          <w:tcPr>
            <w:tcW w:w="2389" w:type="dxa"/>
            <w:noWrap w:val="0"/>
            <w:tcMar>
              <w:left w:w="28" w:type="dxa"/>
              <w:right w:w="28" w:type="dxa"/>
            </w:tcMar>
            <w:vAlign w:val="center"/>
          </w:tcPr>
          <w:p>
            <w:pPr>
              <w:jc w:val="center"/>
              <w:rPr>
                <w:rFonts w:hint="eastAsia" w:ascii="宋体" w:hAnsi="宋体" w:eastAsia="宋体" w:cs="宋体"/>
                <w:bCs/>
                <w:color w:val="auto"/>
                <w:kern w:val="2"/>
                <w:sz w:val="21"/>
                <w:szCs w:val="21"/>
                <w:highlight w:val="none"/>
                <w:lang w:val="en-US" w:eastAsia="zh-CN" w:bidi="ar-SA"/>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p>
        </w:tc>
        <w:tc>
          <w:tcPr>
            <w:tcW w:w="2389" w:type="dxa"/>
            <w:noWrap w:val="0"/>
            <w:tcMar>
              <w:left w:w="28" w:type="dxa"/>
              <w:right w:w="28" w:type="dxa"/>
            </w:tcMar>
            <w:vAlign w:val="center"/>
          </w:tcPr>
          <w:p>
            <w:pPr>
              <w:jc w:val="center"/>
              <w:rPr>
                <w:rFonts w:hint="eastAsia" w:ascii="宋体" w:hAnsi="宋体" w:eastAsia="宋体" w:cs="宋体"/>
                <w:bCs/>
                <w:color w:val="auto"/>
                <w:kern w:val="2"/>
                <w:sz w:val="21"/>
                <w:szCs w:val="21"/>
                <w:highlight w:val="none"/>
                <w:lang w:val="en-US" w:eastAsia="zh-CN" w:bidi="ar-SA"/>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bl>
    <w:p>
      <w:pPr>
        <w:spacing w:line="360" w:lineRule="auto"/>
        <w:rPr>
          <w:rFonts w:hint="eastAsia" w:ascii="宋体" w:hAnsi="宋体" w:cs="宋体"/>
          <w:b/>
          <w:color w:val="auto"/>
          <w:sz w:val="28"/>
          <w:highlight w:val="none"/>
        </w:rPr>
      </w:pPr>
      <w:r>
        <w:rPr>
          <w:rFonts w:hint="eastAsia" w:ascii="宋体" w:hAnsi="宋体" w:cs="宋体"/>
          <w:b/>
          <w:bCs/>
          <w:color w:val="auto"/>
          <w:szCs w:val="21"/>
          <w:highlight w:val="none"/>
        </w:rPr>
        <w:t>注：请投标人根据招标文件的商务评审表逐项响应，表格不够填写的资料可以另页。证明材料可以附后。</w:t>
      </w:r>
      <w:bookmarkStart w:id="571" w:name="_Toc19747"/>
      <w:bookmarkStart w:id="572" w:name="_Toc29619"/>
      <w:bookmarkStart w:id="573" w:name="_Toc504657641"/>
    </w:p>
    <w:p>
      <w:pPr>
        <w:pageBreakBefore/>
        <w:spacing w:before="158" w:beforeLines="50" w:after="158" w:afterLines="50" w:line="360" w:lineRule="auto"/>
        <w:jc w:val="center"/>
        <w:rPr>
          <w:rFonts w:hint="eastAsia" w:ascii="宋体" w:hAnsi="宋体" w:cs="宋体"/>
          <w:b/>
          <w:color w:val="auto"/>
          <w:sz w:val="28"/>
          <w:szCs w:val="20"/>
          <w:highlight w:val="none"/>
        </w:rPr>
      </w:pPr>
      <w:r>
        <w:rPr>
          <w:rFonts w:hint="eastAsia" w:ascii="宋体" w:hAnsi="宋体" w:cs="宋体"/>
          <w:b/>
          <w:color w:val="auto"/>
          <w:sz w:val="28"/>
          <w:szCs w:val="20"/>
          <w:highlight w:val="none"/>
        </w:rPr>
        <w:t>格式九-1  销售业绩投标格式（对应商务评审表业绩部分）</w:t>
      </w:r>
    </w:p>
    <w:p>
      <w:pPr>
        <w:pStyle w:val="20"/>
        <w:rPr>
          <w:rFonts w:hint="eastAsia" w:ascii="宋体" w:hAnsi="宋体" w:cs="宋体"/>
          <w:b/>
          <w:color w:val="auto"/>
          <w:sz w:val="28"/>
          <w:highlight w:val="none"/>
        </w:rPr>
      </w:pPr>
      <w:r>
        <w:rPr>
          <w:rFonts w:hint="eastAsia" w:ascii="宋体" w:hAnsi="宋体" w:cs="宋体"/>
          <w:b/>
          <w:color w:val="auto"/>
          <w:sz w:val="28"/>
          <w:szCs w:val="20"/>
          <w:highlight w:val="none"/>
          <w:lang w:val="en-US" w:eastAsia="zh-CN"/>
        </w:rPr>
        <w:t xml:space="preserve">                    </w:t>
      </w:r>
      <w:r>
        <w:rPr>
          <w:rFonts w:hint="eastAsia" w:ascii="宋体" w:hAnsi="宋体" w:cs="宋体"/>
          <w:b/>
          <w:color w:val="auto"/>
          <w:sz w:val="21"/>
          <w:szCs w:val="21"/>
          <w:highlight w:val="none"/>
          <w:lang w:val="en-US" w:eastAsia="zh-CN"/>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2389"/>
        <w:gridCol w:w="2838"/>
        <w:gridCol w:w="1146"/>
        <w:gridCol w:w="1217"/>
        <w:gridCol w:w="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2884" w:type="dxa"/>
            <w:gridSpan w:val="2"/>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招标文件评审内容</w:t>
            </w:r>
          </w:p>
        </w:tc>
        <w:tc>
          <w:tcPr>
            <w:tcW w:w="2838"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投标人响应内容</w:t>
            </w:r>
          </w:p>
        </w:tc>
        <w:tc>
          <w:tcPr>
            <w:tcW w:w="1146"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证明材料</w:t>
            </w:r>
          </w:p>
        </w:tc>
        <w:tc>
          <w:tcPr>
            <w:tcW w:w="1217" w:type="dxa"/>
            <w:noWrap w:val="0"/>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所在页码</w:t>
            </w:r>
          </w:p>
        </w:tc>
        <w:tc>
          <w:tcPr>
            <w:tcW w:w="959" w:type="dxa"/>
            <w:noWrap w:val="0"/>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2389" w:type="dxa"/>
            <w:noWrap w:val="0"/>
            <w:tcMar>
              <w:left w:w="28" w:type="dxa"/>
              <w:right w:w="28" w:type="dxa"/>
            </w:tcMar>
            <w:vAlign w:val="center"/>
          </w:tcPr>
          <w:p>
            <w:pPr>
              <w:jc w:val="center"/>
              <w:rPr>
                <w:rFonts w:hint="eastAsia" w:ascii="宋体" w:hAnsi="宋体" w:cs="宋体"/>
                <w:bCs/>
                <w:color w:val="auto"/>
                <w:szCs w:val="21"/>
                <w:highlight w:val="none"/>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2</w:t>
            </w:r>
          </w:p>
        </w:tc>
        <w:tc>
          <w:tcPr>
            <w:tcW w:w="2389" w:type="dxa"/>
            <w:noWrap w:val="0"/>
            <w:tcMar>
              <w:left w:w="28" w:type="dxa"/>
              <w:right w:w="28" w:type="dxa"/>
            </w:tcMar>
            <w:vAlign w:val="center"/>
          </w:tcPr>
          <w:p>
            <w:pPr>
              <w:jc w:val="center"/>
              <w:rPr>
                <w:rFonts w:hint="eastAsia" w:ascii="宋体" w:hAnsi="宋体" w:cs="宋体"/>
                <w:bCs/>
                <w:color w:val="auto"/>
                <w:szCs w:val="21"/>
                <w:highlight w:val="none"/>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2389" w:type="dxa"/>
            <w:noWrap w:val="0"/>
            <w:tcMar>
              <w:left w:w="28" w:type="dxa"/>
              <w:right w:w="28" w:type="dxa"/>
            </w:tcMar>
            <w:vAlign w:val="center"/>
          </w:tcPr>
          <w:p>
            <w:pPr>
              <w:jc w:val="center"/>
              <w:rPr>
                <w:rFonts w:hint="eastAsia" w:ascii="宋体" w:hAnsi="宋体" w:cs="宋体"/>
                <w:bCs/>
                <w:color w:val="auto"/>
                <w:szCs w:val="21"/>
                <w:highlight w:val="none"/>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4</w:t>
            </w:r>
          </w:p>
        </w:tc>
        <w:tc>
          <w:tcPr>
            <w:tcW w:w="2389" w:type="dxa"/>
            <w:noWrap w:val="0"/>
            <w:tcMar>
              <w:left w:w="28" w:type="dxa"/>
              <w:right w:w="28" w:type="dxa"/>
            </w:tcMar>
            <w:vAlign w:val="center"/>
          </w:tcPr>
          <w:p>
            <w:pPr>
              <w:jc w:val="center"/>
              <w:rPr>
                <w:rFonts w:hint="eastAsia" w:ascii="宋体" w:hAnsi="宋体" w:cs="宋体"/>
                <w:bCs/>
                <w:color w:val="auto"/>
                <w:szCs w:val="21"/>
                <w:highlight w:val="none"/>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5</w:t>
            </w:r>
          </w:p>
        </w:tc>
        <w:tc>
          <w:tcPr>
            <w:tcW w:w="2389" w:type="dxa"/>
            <w:noWrap w:val="0"/>
            <w:tcMar>
              <w:left w:w="28" w:type="dxa"/>
              <w:right w:w="28" w:type="dxa"/>
            </w:tcMar>
            <w:vAlign w:val="center"/>
          </w:tcPr>
          <w:p>
            <w:pPr>
              <w:jc w:val="center"/>
              <w:rPr>
                <w:rFonts w:hint="eastAsia" w:ascii="宋体" w:hAnsi="宋体" w:cs="宋体"/>
                <w:color w:val="auto"/>
                <w:szCs w:val="21"/>
                <w:highlight w:val="none"/>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2389" w:type="dxa"/>
            <w:noWrap w:val="0"/>
            <w:tcMar>
              <w:left w:w="28" w:type="dxa"/>
              <w:right w:w="28" w:type="dxa"/>
            </w:tcMar>
            <w:vAlign w:val="center"/>
          </w:tcPr>
          <w:p>
            <w:pPr>
              <w:jc w:val="center"/>
              <w:rPr>
                <w:rFonts w:hint="eastAsia" w:ascii="宋体" w:hAnsi="宋体" w:cs="宋体"/>
                <w:color w:val="auto"/>
                <w:szCs w:val="21"/>
                <w:highlight w:val="none"/>
              </w:rPr>
            </w:pPr>
          </w:p>
        </w:tc>
        <w:tc>
          <w:tcPr>
            <w:tcW w:w="2838" w:type="dxa"/>
            <w:noWrap w:val="0"/>
            <w:tcMar>
              <w:left w:w="28" w:type="dxa"/>
              <w:right w:w="28" w:type="dxa"/>
            </w:tcMar>
            <w:vAlign w:val="center"/>
          </w:tcPr>
          <w:p>
            <w:pPr>
              <w:rPr>
                <w:rFonts w:hint="eastAsia" w:ascii="宋体" w:hAnsi="宋体" w:cs="宋体"/>
                <w:color w:val="auto"/>
                <w:szCs w:val="21"/>
                <w:highlight w:val="none"/>
              </w:rPr>
            </w:pPr>
          </w:p>
        </w:tc>
        <w:tc>
          <w:tcPr>
            <w:tcW w:w="1146" w:type="dxa"/>
            <w:noWrap w:val="0"/>
            <w:tcMar>
              <w:left w:w="28" w:type="dxa"/>
              <w:right w:w="28" w:type="dxa"/>
            </w:tcMar>
            <w:vAlign w:val="center"/>
          </w:tcPr>
          <w:p>
            <w:pPr>
              <w:rPr>
                <w:rFonts w:hint="eastAsia" w:ascii="宋体" w:hAnsi="宋体" w:cs="宋体"/>
                <w:color w:val="auto"/>
                <w:szCs w:val="21"/>
                <w:highlight w:val="none"/>
              </w:rPr>
            </w:pPr>
          </w:p>
        </w:tc>
        <w:tc>
          <w:tcPr>
            <w:tcW w:w="1217" w:type="dxa"/>
            <w:noWrap w:val="0"/>
            <w:vAlign w:val="center"/>
          </w:tcPr>
          <w:p>
            <w:pPr>
              <w:rPr>
                <w:rFonts w:hint="eastAsia" w:ascii="宋体" w:hAnsi="宋体" w:cs="宋体"/>
                <w:color w:val="auto"/>
                <w:szCs w:val="21"/>
                <w:highlight w:val="none"/>
              </w:rPr>
            </w:pPr>
          </w:p>
        </w:tc>
        <w:tc>
          <w:tcPr>
            <w:tcW w:w="959" w:type="dxa"/>
            <w:noWrap w:val="0"/>
            <w:vAlign w:val="center"/>
          </w:tcPr>
          <w:p>
            <w:pPr>
              <w:rPr>
                <w:rFonts w:hint="eastAsia" w:ascii="宋体" w:hAnsi="宋体" w:cs="宋体"/>
                <w:color w:val="auto"/>
                <w:szCs w:val="21"/>
                <w:highlight w:val="none"/>
              </w:rPr>
            </w:pPr>
          </w:p>
        </w:tc>
      </w:tr>
    </w:tbl>
    <w:p>
      <w:pPr>
        <w:pStyle w:val="20"/>
        <w:rPr>
          <w:rFonts w:hint="eastAsia" w:ascii="宋体" w:hAnsi="宋体" w:cs="宋体"/>
          <w:b/>
          <w:color w:val="auto"/>
          <w:sz w:val="28"/>
          <w:highlight w:val="none"/>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574" w:name="_Toc9661"/>
      <w:bookmarkStart w:id="575" w:name="_Toc20393"/>
      <w:bookmarkStart w:id="576" w:name="_Toc16370"/>
      <w:bookmarkStart w:id="577" w:name="_Toc16475"/>
      <w:bookmarkStart w:id="578" w:name="_Toc3570"/>
      <w:bookmarkStart w:id="579" w:name="_Toc16659"/>
      <w:bookmarkStart w:id="580" w:name="_Toc1544771964"/>
      <w:bookmarkStart w:id="581" w:name="_Toc31090"/>
      <w:bookmarkStart w:id="582" w:name="_Toc1749487756"/>
      <w:bookmarkStart w:id="583" w:name="_Toc18823"/>
      <w:bookmarkStart w:id="584" w:name="_Toc34646017"/>
      <w:bookmarkStart w:id="585" w:name="_Toc30077"/>
      <w:bookmarkStart w:id="586" w:name="_Toc480417929"/>
      <w:r>
        <w:rPr>
          <w:rFonts w:hint="eastAsia" w:ascii="宋体" w:hAnsi="宋体" w:cs="宋体"/>
          <w:b/>
          <w:color w:val="auto"/>
          <w:highlight w:val="none"/>
        </w:rPr>
        <w:t>格式十、技术评分索引表（对应技术评审表）</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pPr>
        <w:pStyle w:val="5"/>
        <w:spacing w:line="360" w:lineRule="auto"/>
        <w:rPr>
          <w:rFonts w:hint="eastAsia" w:ascii="宋体" w:hAnsi="宋体" w:cs="宋体"/>
          <w:color w:val="auto"/>
          <w:highlight w:val="none"/>
        </w:rPr>
      </w:pPr>
    </w:p>
    <w:tbl>
      <w:tblPr>
        <w:tblStyle w:val="27"/>
        <w:tblW w:w="9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2467"/>
        <w:gridCol w:w="2382"/>
        <w:gridCol w:w="1458"/>
        <w:gridCol w:w="1180"/>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3081" w:type="dxa"/>
            <w:gridSpan w:val="2"/>
            <w:noWrap w:val="0"/>
            <w:tcMar>
              <w:left w:w="28" w:type="dxa"/>
              <w:right w:w="28" w:type="dxa"/>
            </w:tcMar>
            <w:vAlign w:val="center"/>
          </w:tcPr>
          <w:p>
            <w:pPr>
              <w:autoSpaceDE w:val="0"/>
              <w:autoSpaceDN w:val="0"/>
              <w:adjustRightInd w:val="0"/>
              <w:ind w:right="84" w:rightChars="40"/>
              <w:jc w:val="center"/>
              <w:rPr>
                <w:rFonts w:hint="eastAsia" w:ascii="宋体" w:hAnsi="宋体" w:cs="宋体"/>
                <w:b/>
                <w:bCs/>
                <w:color w:val="auto"/>
                <w:szCs w:val="21"/>
                <w:highlight w:val="none"/>
              </w:rPr>
            </w:pPr>
            <w:r>
              <w:rPr>
                <w:rFonts w:hint="eastAsia" w:ascii="宋体" w:hAnsi="宋体" w:cs="宋体"/>
                <w:b/>
                <w:color w:val="auto"/>
                <w:szCs w:val="21"/>
                <w:highlight w:val="none"/>
              </w:rPr>
              <w:t>招标文件评审内容</w:t>
            </w:r>
          </w:p>
        </w:tc>
        <w:tc>
          <w:tcPr>
            <w:tcW w:w="2382" w:type="dxa"/>
            <w:noWrap w:val="0"/>
            <w:vAlign w:val="center"/>
          </w:tcPr>
          <w:p>
            <w:pPr>
              <w:autoSpaceDE w:val="0"/>
              <w:autoSpaceDN w:val="0"/>
              <w:adjustRightInd w:val="0"/>
              <w:ind w:right="84" w:rightChars="40"/>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投标人响应内容</w:t>
            </w:r>
          </w:p>
        </w:tc>
        <w:tc>
          <w:tcPr>
            <w:tcW w:w="1458"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bCs/>
                <w:color w:val="auto"/>
                <w:szCs w:val="21"/>
                <w:highlight w:val="none"/>
              </w:rPr>
            </w:pPr>
            <w:r>
              <w:rPr>
                <w:rFonts w:hint="eastAsia" w:ascii="宋体" w:hAnsi="宋体" w:cs="宋体"/>
                <w:b/>
                <w:bCs/>
                <w:color w:val="auto"/>
                <w:szCs w:val="21"/>
                <w:highlight w:val="none"/>
              </w:rPr>
              <w:t>证明材料</w:t>
            </w:r>
          </w:p>
        </w:tc>
        <w:tc>
          <w:tcPr>
            <w:tcW w:w="1180" w:type="dxa"/>
            <w:noWrap w:val="0"/>
            <w:vAlign w:val="center"/>
          </w:tcPr>
          <w:p>
            <w:pPr>
              <w:autoSpaceDE w:val="0"/>
              <w:autoSpaceDN w:val="0"/>
              <w:adjustRightInd w:val="0"/>
              <w:ind w:right="84" w:rightChars="40"/>
              <w:jc w:val="center"/>
              <w:rPr>
                <w:rFonts w:hint="eastAsia" w:ascii="宋体" w:hAnsi="宋体" w:cs="宋体"/>
                <w:b/>
                <w:bCs/>
                <w:color w:val="auto"/>
                <w:szCs w:val="21"/>
                <w:highlight w:val="none"/>
              </w:rPr>
            </w:pPr>
            <w:r>
              <w:rPr>
                <w:rFonts w:hint="eastAsia" w:ascii="宋体" w:hAnsi="宋体" w:cs="宋体"/>
                <w:b/>
                <w:bCs/>
                <w:color w:val="auto"/>
                <w:szCs w:val="21"/>
                <w:highlight w:val="none"/>
              </w:rPr>
              <w:t>所在页码</w:t>
            </w:r>
          </w:p>
        </w:tc>
        <w:tc>
          <w:tcPr>
            <w:tcW w:w="944" w:type="dxa"/>
            <w:noWrap w:val="0"/>
            <w:vAlign w:val="center"/>
          </w:tcPr>
          <w:p>
            <w:pPr>
              <w:autoSpaceDE w:val="0"/>
              <w:autoSpaceDN w:val="0"/>
              <w:adjustRightInd w:val="0"/>
              <w:ind w:right="84" w:rightChars="40"/>
              <w:jc w:val="center"/>
              <w:rPr>
                <w:rFonts w:hint="eastAsia" w:ascii="宋体" w:hAnsi="宋体" w:cs="宋体"/>
                <w:b/>
                <w:bCs/>
                <w:color w:val="auto"/>
                <w:szCs w:val="21"/>
                <w:highlight w:val="none"/>
              </w:rPr>
            </w:pPr>
            <w:r>
              <w:rPr>
                <w:rFonts w:hint="eastAsia" w:ascii="宋体" w:hAnsi="宋体" w:cs="宋体"/>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p>
        </w:tc>
        <w:tc>
          <w:tcPr>
            <w:tcW w:w="2467" w:type="dxa"/>
            <w:noWrap w:val="0"/>
            <w:tcMar>
              <w:left w:w="28" w:type="dxa"/>
              <w:right w:w="28" w:type="dxa"/>
            </w:tcMar>
            <w:vAlign w:val="center"/>
          </w:tcPr>
          <w:p>
            <w:pPr>
              <w:ind w:firstLine="210" w:firstLineChars="100"/>
              <w:jc w:val="center"/>
              <w:rPr>
                <w:rFonts w:hint="eastAsia" w:ascii="宋体" w:hAnsi="宋体" w:eastAsia="宋体" w:cs="宋体"/>
                <w:color w:val="auto"/>
                <w:sz w:val="21"/>
                <w:szCs w:val="21"/>
                <w:highlight w:val="none"/>
              </w:rPr>
            </w:pPr>
          </w:p>
        </w:tc>
        <w:tc>
          <w:tcPr>
            <w:tcW w:w="2382" w:type="dxa"/>
            <w:noWrap w:val="0"/>
            <w:vAlign w:val="center"/>
          </w:tcPr>
          <w:p>
            <w:pPr>
              <w:rPr>
                <w:rFonts w:hint="eastAsia" w:ascii="宋体" w:hAnsi="宋体" w:cs="宋体"/>
                <w:color w:val="auto"/>
                <w:szCs w:val="21"/>
                <w:highlight w:val="none"/>
              </w:rPr>
            </w:pPr>
          </w:p>
        </w:tc>
        <w:tc>
          <w:tcPr>
            <w:tcW w:w="1458" w:type="dxa"/>
            <w:noWrap w:val="0"/>
            <w:tcMar>
              <w:left w:w="28" w:type="dxa"/>
              <w:right w:w="28" w:type="dxa"/>
            </w:tcMar>
            <w:vAlign w:val="center"/>
          </w:tcPr>
          <w:p>
            <w:pPr>
              <w:rPr>
                <w:rFonts w:hint="eastAsia" w:ascii="宋体" w:hAnsi="宋体" w:cs="宋体"/>
                <w:color w:val="auto"/>
                <w:szCs w:val="21"/>
                <w:highlight w:val="none"/>
              </w:rPr>
            </w:pPr>
          </w:p>
        </w:tc>
        <w:tc>
          <w:tcPr>
            <w:tcW w:w="1180" w:type="dxa"/>
            <w:noWrap w:val="0"/>
            <w:vAlign w:val="center"/>
          </w:tcPr>
          <w:p>
            <w:pPr>
              <w:rPr>
                <w:rFonts w:hint="eastAsia" w:ascii="宋体" w:hAnsi="宋体" w:cs="宋体"/>
                <w:color w:val="auto"/>
                <w:szCs w:val="21"/>
                <w:highlight w:val="none"/>
              </w:rPr>
            </w:pPr>
          </w:p>
        </w:tc>
        <w:tc>
          <w:tcPr>
            <w:tcW w:w="944"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noWrap w:val="0"/>
            <w:tcMar>
              <w:left w:w="28" w:type="dxa"/>
              <w:right w:w="28" w:type="dxa"/>
            </w:tcMar>
            <w:vAlign w:val="center"/>
          </w:tcPr>
          <w:p>
            <w:pPr>
              <w:autoSpaceDE w:val="0"/>
              <w:autoSpaceDN w:val="0"/>
              <w:adjustRightInd w:val="0"/>
              <w:ind w:right="84" w:rightChars="40"/>
              <w:jc w:val="center"/>
              <w:rPr>
                <w:rFonts w:hint="eastAsia" w:ascii="宋体" w:hAnsi="宋体" w:cs="宋体"/>
                <w:b/>
                <w:color w:val="auto"/>
                <w:szCs w:val="21"/>
                <w:highlight w:val="none"/>
              </w:rPr>
            </w:pPr>
          </w:p>
        </w:tc>
        <w:tc>
          <w:tcPr>
            <w:tcW w:w="2467" w:type="dxa"/>
            <w:noWrap w:val="0"/>
            <w:tcMar>
              <w:left w:w="28" w:type="dxa"/>
              <w:right w:w="28" w:type="dxa"/>
            </w:tcMar>
            <w:vAlign w:val="center"/>
          </w:tcPr>
          <w:p>
            <w:pPr>
              <w:jc w:val="center"/>
              <w:rPr>
                <w:rFonts w:hint="eastAsia" w:ascii="宋体" w:hAnsi="宋体" w:eastAsia="宋体" w:cs="宋体"/>
                <w:color w:val="auto"/>
                <w:sz w:val="21"/>
                <w:szCs w:val="21"/>
                <w:highlight w:val="none"/>
              </w:rPr>
            </w:pPr>
          </w:p>
        </w:tc>
        <w:tc>
          <w:tcPr>
            <w:tcW w:w="2382" w:type="dxa"/>
            <w:noWrap w:val="0"/>
            <w:vAlign w:val="center"/>
          </w:tcPr>
          <w:p>
            <w:pPr>
              <w:rPr>
                <w:rFonts w:hint="eastAsia" w:ascii="宋体" w:hAnsi="宋体" w:cs="宋体"/>
                <w:color w:val="auto"/>
                <w:szCs w:val="21"/>
                <w:highlight w:val="none"/>
              </w:rPr>
            </w:pPr>
          </w:p>
        </w:tc>
        <w:tc>
          <w:tcPr>
            <w:tcW w:w="1458" w:type="dxa"/>
            <w:noWrap w:val="0"/>
            <w:tcMar>
              <w:left w:w="28" w:type="dxa"/>
              <w:right w:w="28" w:type="dxa"/>
            </w:tcMar>
            <w:vAlign w:val="center"/>
          </w:tcPr>
          <w:p>
            <w:pPr>
              <w:rPr>
                <w:rFonts w:hint="eastAsia" w:ascii="宋体" w:hAnsi="宋体" w:cs="宋体"/>
                <w:color w:val="auto"/>
                <w:szCs w:val="21"/>
                <w:highlight w:val="none"/>
              </w:rPr>
            </w:pPr>
          </w:p>
        </w:tc>
        <w:tc>
          <w:tcPr>
            <w:tcW w:w="1180" w:type="dxa"/>
            <w:noWrap w:val="0"/>
            <w:vAlign w:val="center"/>
          </w:tcPr>
          <w:p>
            <w:pPr>
              <w:rPr>
                <w:rFonts w:hint="eastAsia" w:ascii="宋体" w:hAnsi="宋体" w:cs="宋体"/>
                <w:color w:val="auto"/>
                <w:szCs w:val="21"/>
                <w:highlight w:val="none"/>
              </w:rPr>
            </w:pPr>
          </w:p>
        </w:tc>
        <w:tc>
          <w:tcPr>
            <w:tcW w:w="944"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noWrap w:val="0"/>
            <w:tcMar>
              <w:left w:w="28" w:type="dxa"/>
              <w:right w:w="28" w:type="dxa"/>
            </w:tcMar>
            <w:vAlign w:val="center"/>
          </w:tcPr>
          <w:p>
            <w:pPr>
              <w:autoSpaceDE w:val="0"/>
              <w:autoSpaceDN w:val="0"/>
              <w:adjustRightInd w:val="0"/>
              <w:ind w:right="84" w:rightChars="40"/>
              <w:jc w:val="center"/>
              <w:rPr>
                <w:rFonts w:hint="eastAsia" w:ascii="宋体" w:hAnsi="宋体" w:eastAsia="宋体" w:cs="宋体"/>
                <w:b/>
                <w:color w:val="auto"/>
                <w:szCs w:val="21"/>
                <w:highlight w:val="none"/>
                <w:lang w:val="en-US" w:eastAsia="zh-CN"/>
              </w:rPr>
            </w:pPr>
          </w:p>
        </w:tc>
        <w:tc>
          <w:tcPr>
            <w:tcW w:w="2467" w:type="dxa"/>
            <w:noWrap w:val="0"/>
            <w:tcMar>
              <w:left w:w="28" w:type="dxa"/>
              <w:right w:w="28" w:type="dxa"/>
            </w:tcMar>
            <w:vAlign w:val="center"/>
          </w:tcPr>
          <w:p>
            <w:pPr>
              <w:jc w:val="center"/>
              <w:rPr>
                <w:rFonts w:hint="eastAsia" w:ascii="宋体" w:hAnsi="宋体" w:eastAsia="宋体" w:cs="宋体"/>
                <w:bCs/>
                <w:color w:val="auto"/>
                <w:sz w:val="21"/>
                <w:szCs w:val="21"/>
                <w:highlight w:val="none"/>
                <w:lang w:eastAsia="zh-CN"/>
              </w:rPr>
            </w:pPr>
          </w:p>
        </w:tc>
        <w:tc>
          <w:tcPr>
            <w:tcW w:w="2382" w:type="dxa"/>
            <w:noWrap w:val="0"/>
            <w:vAlign w:val="center"/>
          </w:tcPr>
          <w:p>
            <w:pPr>
              <w:rPr>
                <w:rFonts w:hint="eastAsia" w:ascii="宋体" w:hAnsi="宋体" w:cs="宋体"/>
                <w:color w:val="auto"/>
                <w:szCs w:val="21"/>
                <w:highlight w:val="none"/>
              </w:rPr>
            </w:pPr>
          </w:p>
        </w:tc>
        <w:tc>
          <w:tcPr>
            <w:tcW w:w="1458" w:type="dxa"/>
            <w:noWrap w:val="0"/>
            <w:tcMar>
              <w:left w:w="28" w:type="dxa"/>
              <w:right w:w="28" w:type="dxa"/>
            </w:tcMar>
            <w:vAlign w:val="center"/>
          </w:tcPr>
          <w:p>
            <w:pPr>
              <w:rPr>
                <w:rFonts w:hint="eastAsia" w:ascii="宋体" w:hAnsi="宋体" w:cs="宋体"/>
                <w:color w:val="auto"/>
                <w:szCs w:val="21"/>
                <w:highlight w:val="none"/>
              </w:rPr>
            </w:pPr>
          </w:p>
        </w:tc>
        <w:tc>
          <w:tcPr>
            <w:tcW w:w="1180" w:type="dxa"/>
            <w:noWrap w:val="0"/>
            <w:vAlign w:val="center"/>
          </w:tcPr>
          <w:p>
            <w:pPr>
              <w:rPr>
                <w:rFonts w:hint="eastAsia" w:ascii="宋体" w:hAnsi="宋体" w:cs="宋体"/>
                <w:color w:val="auto"/>
                <w:szCs w:val="21"/>
                <w:highlight w:val="none"/>
              </w:rPr>
            </w:pPr>
          </w:p>
        </w:tc>
        <w:tc>
          <w:tcPr>
            <w:tcW w:w="944"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noWrap w:val="0"/>
            <w:tcMar>
              <w:left w:w="28" w:type="dxa"/>
              <w:right w:w="28" w:type="dxa"/>
            </w:tcMar>
            <w:vAlign w:val="center"/>
          </w:tcPr>
          <w:p>
            <w:pPr>
              <w:autoSpaceDE w:val="0"/>
              <w:autoSpaceDN w:val="0"/>
              <w:adjustRightInd w:val="0"/>
              <w:ind w:right="84" w:rightChars="40"/>
              <w:jc w:val="center"/>
              <w:rPr>
                <w:rFonts w:hint="eastAsia" w:ascii="宋体" w:hAnsi="宋体" w:eastAsia="宋体" w:cs="宋体"/>
                <w:b/>
                <w:color w:val="auto"/>
                <w:szCs w:val="21"/>
                <w:highlight w:val="none"/>
                <w:lang w:val="en-US" w:eastAsia="zh-CN"/>
              </w:rPr>
            </w:pPr>
          </w:p>
        </w:tc>
        <w:tc>
          <w:tcPr>
            <w:tcW w:w="2467" w:type="dxa"/>
            <w:noWrap w:val="0"/>
            <w:tcMar>
              <w:left w:w="28" w:type="dxa"/>
              <w:right w:w="28" w:type="dxa"/>
            </w:tcMar>
            <w:vAlign w:val="center"/>
          </w:tcPr>
          <w:p>
            <w:pPr>
              <w:jc w:val="center"/>
              <w:rPr>
                <w:rFonts w:hint="eastAsia" w:ascii="宋体" w:hAnsi="宋体" w:eastAsia="宋体" w:cs="宋体"/>
                <w:color w:val="auto"/>
                <w:sz w:val="21"/>
                <w:szCs w:val="21"/>
                <w:highlight w:val="none"/>
              </w:rPr>
            </w:pPr>
          </w:p>
        </w:tc>
        <w:tc>
          <w:tcPr>
            <w:tcW w:w="2382" w:type="dxa"/>
            <w:noWrap w:val="0"/>
            <w:vAlign w:val="center"/>
          </w:tcPr>
          <w:p>
            <w:pPr>
              <w:rPr>
                <w:rFonts w:hint="eastAsia" w:ascii="宋体" w:hAnsi="宋体" w:cs="宋体"/>
                <w:color w:val="auto"/>
                <w:szCs w:val="21"/>
                <w:highlight w:val="none"/>
              </w:rPr>
            </w:pPr>
          </w:p>
        </w:tc>
        <w:tc>
          <w:tcPr>
            <w:tcW w:w="1458" w:type="dxa"/>
            <w:noWrap w:val="0"/>
            <w:tcMar>
              <w:left w:w="28" w:type="dxa"/>
              <w:right w:w="28" w:type="dxa"/>
            </w:tcMar>
            <w:vAlign w:val="center"/>
          </w:tcPr>
          <w:p>
            <w:pPr>
              <w:rPr>
                <w:rFonts w:hint="eastAsia" w:ascii="宋体" w:hAnsi="宋体" w:cs="宋体"/>
                <w:color w:val="auto"/>
                <w:szCs w:val="21"/>
                <w:highlight w:val="none"/>
              </w:rPr>
            </w:pPr>
          </w:p>
        </w:tc>
        <w:tc>
          <w:tcPr>
            <w:tcW w:w="1180" w:type="dxa"/>
            <w:noWrap w:val="0"/>
            <w:vAlign w:val="center"/>
          </w:tcPr>
          <w:p>
            <w:pPr>
              <w:rPr>
                <w:rFonts w:hint="eastAsia" w:ascii="宋体" w:hAnsi="宋体" w:cs="宋体"/>
                <w:color w:val="auto"/>
                <w:szCs w:val="21"/>
                <w:highlight w:val="none"/>
              </w:rPr>
            </w:pPr>
          </w:p>
        </w:tc>
        <w:tc>
          <w:tcPr>
            <w:tcW w:w="944"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noWrap w:val="0"/>
            <w:tcMar>
              <w:left w:w="28" w:type="dxa"/>
              <w:right w:w="28" w:type="dxa"/>
            </w:tcMar>
            <w:vAlign w:val="center"/>
          </w:tcPr>
          <w:p>
            <w:pPr>
              <w:autoSpaceDE w:val="0"/>
              <w:autoSpaceDN w:val="0"/>
              <w:adjustRightInd w:val="0"/>
              <w:ind w:right="84" w:rightChars="40"/>
              <w:jc w:val="center"/>
              <w:rPr>
                <w:rFonts w:hint="eastAsia" w:ascii="宋体" w:hAnsi="宋体" w:eastAsia="宋体" w:cs="宋体"/>
                <w:b/>
                <w:color w:val="auto"/>
                <w:szCs w:val="21"/>
                <w:highlight w:val="none"/>
                <w:lang w:val="en-US" w:eastAsia="zh-CN"/>
              </w:rPr>
            </w:pPr>
          </w:p>
        </w:tc>
        <w:tc>
          <w:tcPr>
            <w:tcW w:w="2467" w:type="dxa"/>
            <w:noWrap w:val="0"/>
            <w:tcMar>
              <w:left w:w="28" w:type="dxa"/>
              <w:right w:w="28" w:type="dxa"/>
            </w:tcMar>
            <w:vAlign w:val="center"/>
          </w:tcPr>
          <w:p>
            <w:pPr>
              <w:jc w:val="center"/>
              <w:rPr>
                <w:rFonts w:hint="eastAsia" w:ascii="宋体" w:hAnsi="宋体" w:eastAsia="宋体" w:cs="宋体"/>
                <w:color w:val="auto"/>
                <w:sz w:val="21"/>
                <w:szCs w:val="21"/>
                <w:highlight w:val="none"/>
              </w:rPr>
            </w:pPr>
          </w:p>
        </w:tc>
        <w:tc>
          <w:tcPr>
            <w:tcW w:w="2382" w:type="dxa"/>
            <w:noWrap w:val="0"/>
            <w:vAlign w:val="center"/>
          </w:tcPr>
          <w:p>
            <w:pPr>
              <w:rPr>
                <w:rFonts w:hint="eastAsia" w:ascii="宋体" w:hAnsi="宋体" w:cs="宋体"/>
                <w:color w:val="auto"/>
                <w:szCs w:val="21"/>
                <w:highlight w:val="none"/>
              </w:rPr>
            </w:pPr>
          </w:p>
        </w:tc>
        <w:tc>
          <w:tcPr>
            <w:tcW w:w="1458" w:type="dxa"/>
            <w:noWrap w:val="0"/>
            <w:tcMar>
              <w:left w:w="28" w:type="dxa"/>
              <w:right w:w="28" w:type="dxa"/>
            </w:tcMar>
            <w:vAlign w:val="center"/>
          </w:tcPr>
          <w:p>
            <w:pPr>
              <w:rPr>
                <w:rFonts w:hint="eastAsia" w:ascii="宋体" w:hAnsi="宋体" w:cs="宋体"/>
                <w:color w:val="auto"/>
                <w:szCs w:val="21"/>
                <w:highlight w:val="none"/>
              </w:rPr>
            </w:pPr>
          </w:p>
        </w:tc>
        <w:tc>
          <w:tcPr>
            <w:tcW w:w="1180" w:type="dxa"/>
            <w:noWrap w:val="0"/>
            <w:vAlign w:val="center"/>
          </w:tcPr>
          <w:p>
            <w:pPr>
              <w:rPr>
                <w:rFonts w:hint="eastAsia" w:ascii="宋体" w:hAnsi="宋体" w:cs="宋体"/>
                <w:color w:val="auto"/>
                <w:szCs w:val="21"/>
                <w:highlight w:val="none"/>
              </w:rPr>
            </w:pPr>
          </w:p>
        </w:tc>
        <w:tc>
          <w:tcPr>
            <w:tcW w:w="944" w:type="dxa"/>
            <w:noWrap w:val="0"/>
            <w:vAlign w:val="center"/>
          </w:tcPr>
          <w:p>
            <w:pP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noWrap w:val="0"/>
            <w:tcMar>
              <w:left w:w="28" w:type="dxa"/>
              <w:right w:w="28" w:type="dxa"/>
            </w:tcMar>
            <w:vAlign w:val="center"/>
          </w:tcPr>
          <w:p>
            <w:pPr>
              <w:autoSpaceDE w:val="0"/>
              <w:autoSpaceDN w:val="0"/>
              <w:adjustRightInd w:val="0"/>
              <w:ind w:right="84" w:rightChars="40"/>
              <w:jc w:val="center"/>
              <w:rPr>
                <w:rFonts w:hint="eastAsia" w:ascii="宋体" w:hAnsi="宋体" w:eastAsia="宋体" w:cs="宋体"/>
                <w:b/>
                <w:color w:val="auto"/>
                <w:szCs w:val="21"/>
                <w:highlight w:val="none"/>
                <w:lang w:val="en-US" w:eastAsia="zh-CN"/>
              </w:rPr>
            </w:pPr>
          </w:p>
        </w:tc>
        <w:tc>
          <w:tcPr>
            <w:tcW w:w="2467" w:type="dxa"/>
            <w:noWrap w:val="0"/>
            <w:tcMar>
              <w:left w:w="28" w:type="dxa"/>
              <w:right w:w="28" w:type="dxa"/>
            </w:tcMar>
            <w:vAlign w:val="center"/>
          </w:tcPr>
          <w:p>
            <w:pPr>
              <w:jc w:val="center"/>
              <w:rPr>
                <w:rFonts w:hint="eastAsia" w:ascii="宋体" w:hAnsi="宋体" w:eastAsia="宋体" w:cs="宋体"/>
                <w:color w:val="auto"/>
                <w:sz w:val="21"/>
                <w:szCs w:val="21"/>
                <w:highlight w:val="none"/>
              </w:rPr>
            </w:pPr>
          </w:p>
        </w:tc>
        <w:tc>
          <w:tcPr>
            <w:tcW w:w="2382" w:type="dxa"/>
            <w:noWrap w:val="0"/>
            <w:vAlign w:val="center"/>
          </w:tcPr>
          <w:p>
            <w:pPr>
              <w:rPr>
                <w:rFonts w:hint="eastAsia" w:ascii="宋体" w:hAnsi="宋体" w:cs="宋体"/>
                <w:color w:val="auto"/>
                <w:szCs w:val="21"/>
                <w:highlight w:val="none"/>
              </w:rPr>
            </w:pPr>
          </w:p>
        </w:tc>
        <w:tc>
          <w:tcPr>
            <w:tcW w:w="1458" w:type="dxa"/>
            <w:noWrap w:val="0"/>
            <w:tcMar>
              <w:left w:w="28" w:type="dxa"/>
              <w:right w:w="28" w:type="dxa"/>
            </w:tcMar>
            <w:vAlign w:val="center"/>
          </w:tcPr>
          <w:p>
            <w:pPr>
              <w:rPr>
                <w:rFonts w:hint="eastAsia" w:ascii="宋体" w:hAnsi="宋体" w:cs="宋体"/>
                <w:color w:val="auto"/>
                <w:szCs w:val="21"/>
                <w:highlight w:val="none"/>
              </w:rPr>
            </w:pPr>
          </w:p>
        </w:tc>
        <w:tc>
          <w:tcPr>
            <w:tcW w:w="1180" w:type="dxa"/>
            <w:noWrap w:val="0"/>
            <w:vAlign w:val="center"/>
          </w:tcPr>
          <w:p>
            <w:pPr>
              <w:rPr>
                <w:rFonts w:hint="eastAsia" w:ascii="宋体" w:hAnsi="宋体" w:cs="宋体"/>
                <w:color w:val="auto"/>
                <w:szCs w:val="21"/>
                <w:highlight w:val="none"/>
              </w:rPr>
            </w:pPr>
          </w:p>
        </w:tc>
        <w:tc>
          <w:tcPr>
            <w:tcW w:w="944" w:type="dxa"/>
            <w:noWrap w:val="0"/>
            <w:vAlign w:val="center"/>
          </w:tcPr>
          <w:p>
            <w:pPr>
              <w:rPr>
                <w:rFonts w:hint="eastAsia" w:ascii="宋体" w:hAnsi="宋体" w:cs="宋体"/>
                <w:color w:val="auto"/>
                <w:szCs w:val="21"/>
                <w:highlight w:val="none"/>
              </w:rPr>
            </w:pPr>
          </w:p>
        </w:tc>
      </w:tr>
    </w:tbl>
    <w:p>
      <w:pPr>
        <w:spacing w:before="158" w:beforeLines="50" w:after="158" w:afterLines="5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注：请投标人根据招标文件的技术评审表逐项响应，表格不够填写的资料可以另页。证明材料可以附后。              </w:t>
      </w:r>
    </w:p>
    <w:p>
      <w:pPr>
        <w:spacing w:before="158" w:beforeLines="50" w:after="158" w:afterLines="50" w:line="360" w:lineRule="auto"/>
        <w:rPr>
          <w:rFonts w:hint="eastAsia" w:ascii="宋体" w:hAnsi="宋体" w:cs="宋体"/>
          <w:b/>
          <w:bCs/>
          <w:color w:val="auto"/>
          <w:szCs w:val="21"/>
          <w:highlight w:val="none"/>
        </w:rPr>
      </w:pPr>
    </w:p>
    <w:p>
      <w:pPr>
        <w:spacing w:before="158" w:beforeLines="50" w:after="158" w:afterLines="50" w:line="360" w:lineRule="auto"/>
        <w:rPr>
          <w:rFonts w:hint="eastAsia" w:ascii="宋体" w:hAnsi="宋体" w:cs="宋体"/>
          <w:b/>
          <w:bCs/>
          <w:color w:val="auto"/>
          <w:szCs w:val="21"/>
          <w:highlight w:val="none"/>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587" w:name="_Toc27565"/>
      <w:bookmarkStart w:id="588" w:name="_Toc358673075"/>
      <w:bookmarkStart w:id="589" w:name="_Toc10443"/>
      <w:bookmarkStart w:id="590" w:name="_Toc519"/>
      <w:bookmarkStart w:id="591" w:name="_Toc11618"/>
      <w:bookmarkStart w:id="592" w:name="_Toc1932218667"/>
      <w:bookmarkStart w:id="593" w:name="_Toc1579226401"/>
      <w:bookmarkStart w:id="594" w:name="_Toc17183"/>
      <w:bookmarkStart w:id="595" w:name="_Toc22585"/>
      <w:bookmarkStart w:id="596" w:name="_Toc31679"/>
      <w:bookmarkStart w:id="597" w:name="_Toc702"/>
      <w:bookmarkStart w:id="598" w:name="_Toc30014"/>
      <w:bookmarkStart w:id="599" w:name="_Toc17292"/>
      <w:bookmarkStart w:id="600" w:name="_Toc34646018"/>
      <w:bookmarkStart w:id="601" w:name="_Toc10946"/>
      <w:bookmarkStart w:id="602" w:name="_Toc504657642"/>
      <w:r>
        <w:rPr>
          <w:rFonts w:hint="eastAsia" w:ascii="宋体" w:hAnsi="宋体" w:cs="宋体"/>
          <w:b/>
          <w:color w:val="auto"/>
          <w:highlight w:val="none"/>
        </w:rPr>
        <w:t>格式十一、用户需求响应表</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pPr>
        <w:pStyle w:val="5"/>
        <w:spacing w:line="360" w:lineRule="auto"/>
        <w:rPr>
          <w:rFonts w:hint="eastAsia" w:ascii="宋体" w:hAnsi="宋体" w:cs="宋体"/>
          <w:color w:val="auto"/>
          <w:highlight w:val="none"/>
        </w:rPr>
      </w:pPr>
    </w:p>
    <w:tbl>
      <w:tblPr>
        <w:tblStyle w:val="27"/>
        <w:tblW w:w="0" w:type="auto"/>
        <w:tblInd w:w="-4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30" w:type="dxa"/>
          <w:bottom w:w="0" w:type="dxa"/>
          <w:right w:w="30" w:type="dxa"/>
        </w:tblCellMar>
      </w:tblPr>
      <w:tblGrid>
        <w:gridCol w:w="701"/>
        <w:gridCol w:w="633"/>
        <w:gridCol w:w="2248"/>
        <w:gridCol w:w="665"/>
        <w:gridCol w:w="2596"/>
        <w:gridCol w:w="1124"/>
        <w:gridCol w:w="101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584" w:hRule="atLeast"/>
        </w:trPr>
        <w:tc>
          <w:tcPr>
            <w:tcW w:w="701" w:type="dxa"/>
            <w:vMerge w:val="restart"/>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序号</w:t>
            </w:r>
          </w:p>
        </w:tc>
        <w:tc>
          <w:tcPr>
            <w:tcW w:w="2881" w:type="dxa"/>
            <w:gridSpan w:val="2"/>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招标文件要求</w:t>
            </w:r>
          </w:p>
        </w:tc>
        <w:tc>
          <w:tcPr>
            <w:tcW w:w="3261" w:type="dxa"/>
            <w:gridSpan w:val="2"/>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投标文件内容</w:t>
            </w:r>
          </w:p>
        </w:tc>
        <w:tc>
          <w:tcPr>
            <w:tcW w:w="1124"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所在页码</w:t>
            </w:r>
          </w:p>
        </w:tc>
        <w:tc>
          <w:tcPr>
            <w:tcW w:w="1019"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607" w:hRule="atLeast"/>
        </w:trPr>
        <w:tc>
          <w:tcPr>
            <w:tcW w:w="701" w:type="dxa"/>
            <w:vMerge w:val="continue"/>
            <w:noWrap w:val="0"/>
            <w:vAlign w:val="top"/>
          </w:tcPr>
          <w:p>
            <w:pPr>
              <w:autoSpaceDE w:val="0"/>
              <w:autoSpaceDN w:val="0"/>
              <w:adjustRightInd w:val="0"/>
              <w:jc w:val="center"/>
              <w:rPr>
                <w:rFonts w:hint="eastAsia" w:ascii="宋体" w:hAnsi="宋体" w:cs="宋体"/>
                <w:b/>
                <w:bCs/>
                <w:color w:val="auto"/>
                <w:highlight w:val="none"/>
              </w:rPr>
            </w:pPr>
          </w:p>
        </w:tc>
        <w:tc>
          <w:tcPr>
            <w:tcW w:w="633"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条目</w:t>
            </w:r>
          </w:p>
        </w:tc>
        <w:tc>
          <w:tcPr>
            <w:tcW w:w="2248"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简要内容</w:t>
            </w:r>
          </w:p>
        </w:tc>
        <w:tc>
          <w:tcPr>
            <w:tcW w:w="665"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条目</w:t>
            </w:r>
          </w:p>
        </w:tc>
        <w:tc>
          <w:tcPr>
            <w:tcW w:w="2596"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实际响应的具体内容</w:t>
            </w:r>
          </w:p>
        </w:tc>
        <w:tc>
          <w:tcPr>
            <w:tcW w:w="1124" w:type="dxa"/>
            <w:noWrap w:val="0"/>
            <w:vAlign w:val="center"/>
          </w:tcPr>
          <w:p>
            <w:pPr>
              <w:autoSpaceDE w:val="0"/>
              <w:autoSpaceDN w:val="0"/>
              <w:adjustRightInd w:val="0"/>
              <w:jc w:val="center"/>
              <w:rPr>
                <w:rFonts w:hint="eastAsia" w:ascii="宋体" w:hAnsi="宋体" w:cs="宋体"/>
                <w:b/>
                <w:bCs/>
                <w:color w:val="auto"/>
                <w:highlight w:val="none"/>
              </w:rPr>
            </w:pPr>
          </w:p>
        </w:tc>
        <w:tc>
          <w:tcPr>
            <w:tcW w:w="1019" w:type="dxa"/>
            <w:noWrap w:val="0"/>
            <w:vAlign w:val="center"/>
          </w:tcPr>
          <w:p>
            <w:pPr>
              <w:autoSpaceDE w:val="0"/>
              <w:autoSpaceDN w:val="0"/>
              <w:adjustRightInd w:val="0"/>
              <w:jc w:val="center"/>
              <w:rPr>
                <w:rFonts w:hint="eastAsia" w:ascii="宋体" w:hAnsi="宋体" w:cs="宋体"/>
                <w:b/>
                <w:bCs/>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1</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521"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2</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3</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4</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5</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bl>
    <w:p>
      <w:pPr>
        <w:pStyle w:val="14"/>
        <w:spacing w:line="360" w:lineRule="auto"/>
        <w:rPr>
          <w:rFonts w:hint="eastAsia" w:hAnsi="宋体" w:cs="宋体"/>
          <w:color w:val="auto"/>
          <w:highlight w:val="none"/>
        </w:rPr>
      </w:pPr>
      <w:r>
        <w:rPr>
          <w:rFonts w:hint="eastAsia" w:hAnsi="宋体" w:cs="宋体"/>
          <w:color w:val="auto"/>
          <w:szCs w:val="21"/>
          <w:highlight w:val="none"/>
        </w:rPr>
        <w:t>注：1、请投标人根据招标文件第四章用户需求的内容逐项响应</w:t>
      </w:r>
      <w:r>
        <w:rPr>
          <w:rStyle w:val="43"/>
          <w:rFonts w:hint="eastAsia" w:hAnsi="宋体" w:cs="宋体"/>
          <w:b w:val="0"/>
          <w:bCs w:val="0"/>
          <w:color w:val="auto"/>
          <w:sz w:val="21"/>
          <w:szCs w:val="21"/>
          <w:highlight w:val="none"/>
        </w:rPr>
        <w:t>，内容须包括对所有承诺性事项及星标条款（如有）的描述</w:t>
      </w:r>
      <w:r>
        <w:rPr>
          <w:rFonts w:hint="eastAsia" w:hAnsi="宋体" w:cs="宋体"/>
          <w:color w:val="auto"/>
          <w:szCs w:val="21"/>
          <w:highlight w:val="none"/>
        </w:rPr>
        <w:t>，表格不够填写的资料可以另页。证明材料可以附后。</w:t>
      </w:r>
      <w:r>
        <w:rPr>
          <w:rFonts w:hint="eastAsia" w:hAnsi="宋体" w:cs="宋体"/>
          <w:color w:val="auto"/>
          <w:highlight w:val="none"/>
        </w:rPr>
        <w:t>投标人对招标文件条款如有偏离，应如实填写此表。“备注”栏可写明“完全响应”、“正偏离”或“负偏离”，并附上证明材料。</w:t>
      </w:r>
    </w:p>
    <w:p>
      <w:pPr>
        <w:pStyle w:val="14"/>
        <w:numPr>
          <w:ilvl w:val="0"/>
          <w:numId w:val="5"/>
        </w:numPr>
        <w:spacing w:line="360" w:lineRule="auto"/>
        <w:rPr>
          <w:rFonts w:hint="eastAsia" w:hAnsi="宋体" w:cs="宋体"/>
          <w:color w:val="auto"/>
          <w:highlight w:val="none"/>
        </w:rPr>
      </w:pPr>
      <w:r>
        <w:rPr>
          <w:rFonts w:hint="eastAsia" w:hAnsi="宋体" w:cs="宋体"/>
          <w:color w:val="auto"/>
          <w:highlight w:val="none"/>
        </w:rPr>
        <w:t>投标人提交空白表格或只填写部分响应内容或未提交此表的，将视为完全响应条款内容；</w:t>
      </w:r>
    </w:p>
    <w:p>
      <w:pPr>
        <w:pStyle w:val="14"/>
        <w:spacing w:line="360" w:lineRule="auto"/>
        <w:rPr>
          <w:rFonts w:hint="eastAsia" w:hAnsi="宋体" w:cs="宋体"/>
          <w:color w:val="auto"/>
          <w:szCs w:val="21"/>
          <w:highlight w:val="none"/>
        </w:rPr>
      </w:pPr>
      <w:r>
        <w:rPr>
          <w:rFonts w:hint="eastAsia" w:hAnsi="宋体" w:cs="宋体"/>
          <w:color w:val="auto"/>
          <w:highlight w:val="none"/>
        </w:rPr>
        <w:t>3、投标人未填写此表但实际上偏离招标文件要求的，视为虚假投标；评标委员会有权否决其投标，或招标人有权取消其中标资格。</w:t>
      </w:r>
    </w:p>
    <w:p>
      <w:pPr>
        <w:spacing w:line="360" w:lineRule="auto"/>
        <w:ind w:firstLine="2940" w:firstLineChars="1400"/>
        <w:rPr>
          <w:rFonts w:hint="eastAsia" w:ascii="宋体" w:hAnsi="宋体" w:cs="宋体"/>
          <w:color w:val="auto"/>
          <w:szCs w:val="21"/>
          <w:highlight w:val="none"/>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603" w:name="_Toc11230"/>
      <w:bookmarkStart w:id="604" w:name="_Toc1954403594"/>
      <w:bookmarkStart w:id="605" w:name="_Toc25518"/>
      <w:bookmarkStart w:id="606" w:name="_Toc9172"/>
      <w:bookmarkStart w:id="607" w:name="_Toc31646"/>
      <w:bookmarkStart w:id="608" w:name="_Toc23005"/>
      <w:bookmarkStart w:id="609" w:name="_Toc6922"/>
      <w:bookmarkStart w:id="610" w:name="_Toc29763"/>
      <w:bookmarkStart w:id="611" w:name="_Toc649177646"/>
      <w:bookmarkStart w:id="612" w:name="_Toc1266567248"/>
      <w:bookmarkStart w:id="613" w:name="_Toc34646019"/>
      <w:bookmarkStart w:id="614" w:name="_Toc4661"/>
      <w:bookmarkStart w:id="615" w:name="_Toc25413"/>
      <w:bookmarkStart w:id="616" w:name="_Toc26718"/>
      <w:r>
        <w:rPr>
          <w:rFonts w:hint="eastAsia" w:ascii="宋体" w:hAnsi="宋体" w:cs="宋体"/>
          <w:b/>
          <w:color w:val="auto"/>
          <w:highlight w:val="none"/>
        </w:rPr>
        <w:t>格式十二、合同响应表</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pPr>
        <w:pStyle w:val="5"/>
        <w:spacing w:line="360" w:lineRule="auto"/>
        <w:rPr>
          <w:rFonts w:hint="eastAsia" w:ascii="宋体" w:hAnsi="宋体" w:cs="宋体"/>
          <w:color w:val="auto"/>
          <w:highlight w:val="none"/>
        </w:rPr>
      </w:pPr>
    </w:p>
    <w:tbl>
      <w:tblPr>
        <w:tblStyle w:val="27"/>
        <w:tblW w:w="0" w:type="auto"/>
        <w:tblInd w:w="-4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30" w:type="dxa"/>
          <w:bottom w:w="0" w:type="dxa"/>
          <w:right w:w="30" w:type="dxa"/>
        </w:tblCellMar>
      </w:tblPr>
      <w:tblGrid>
        <w:gridCol w:w="701"/>
        <w:gridCol w:w="633"/>
        <w:gridCol w:w="2248"/>
        <w:gridCol w:w="665"/>
        <w:gridCol w:w="2596"/>
        <w:gridCol w:w="1124"/>
        <w:gridCol w:w="101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584" w:hRule="atLeast"/>
        </w:trPr>
        <w:tc>
          <w:tcPr>
            <w:tcW w:w="701" w:type="dxa"/>
            <w:vMerge w:val="restart"/>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序号</w:t>
            </w:r>
          </w:p>
        </w:tc>
        <w:tc>
          <w:tcPr>
            <w:tcW w:w="2881" w:type="dxa"/>
            <w:gridSpan w:val="2"/>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招标文件合同条款</w:t>
            </w:r>
          </w:p>
        </w:tc>
        <w:tc>
          <w:tcPr>
            <w:tcW w:w="3261" w:type="dxa"/>
            <w:gridSpan w:val="2"/>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投标人响应内容</w:t>
            </w:r>
          </w:p>
        </w:tc>
        <w:tc>
          <w:tcPr>
            <w:tcW w:w="1124"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所在页码</w:t>
            </w:r>
          </w:p>
        </w:tc>
        <w:tc>
          <w:tcPr>
            <w:tcW w:w="1019"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607" w:hRule="atLeast"/>
        </w:trPr>
        <w:tc>
          <w:tcPr>
            <w:tcW w:w="701" w:type="dxa"/>
            <w:vMerge w:val="continue"/>
            <w:noWrap w:val="0"/>
            <w:vAlign w:val="top"/>
          </w:tcPr>
          <w:p>
            <w:pPr>
              <w:autoSpaceDE w:val="0"/>
              <w:autoSpaceDN w:val="0"/>
              <w:adjustRightInd w:val="0"/>
              <w:jc w:val="center"/>
              <w:rPr>
                <w:rFonts w:hint="eastAsia" w:ascii="宋体" w:hAnsi="宋体" w:cs="宋体"/>
                <w:b/>
                <w:bCs/>
                <w:color w:val="auto"/>
                <w:highlight w:val="none"/>
              </w:rPr>
            </w:pPr>
          </w:p>
        </w:tc>
        <w:tc>
          <w:tcPr>
            <w:tcW w:w="633"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条目</w:t>
            </w:r>
          </w:p>
        </w:tc>
        <w:tc>
          <w:tcPr>
            <w:tcW w:w="2248"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简要内容</w:t>
            </w:r>
          </w:p>
        </w:tc>
        <w:tc>
          <w:tcPr>
            <w:tcW w:w="665"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条目</w:t>
            </w:r>
          </w:p>
        </w:tc>
        <w:tc>
          <w:tcPr>
            <w:tcW w:w="2596" w:type="dxa"/>
            <w:noWrap w:val="0"/>
            <w:vAlign w:val="center"/>
          </w:tcPr>
          <w:p>
            <w:pPr>
              <w:autoSpaceDE w:val="0"/>
              <w:autoSpaceDN w:val="0"/>
              <w:adjustRightInd w:val="0"/>
              <w:jc w:val="center"/>
              <w:rPr>
                <w:rFonts w:hint="eastAsia" w:ascii="宋体" w:hAnsi="宋体" w:cs="宋体"/>
                <w:b/>
                <w:bCs/>
                <w:color w:val="auto"/>
                <w:highlight w:val="none"/>
              </w:rPr>
            </w:pPr>
            <w:r>
              <w:rPr>
                <w:rFonts w:hint="eastAsia" w:ascii="宋体" w:hAnsi="宋体" w:cs="宋体"/>
                <w:b/>
                <w:bCs/>
                <w:color w:val="auto"/>
                <w:highlight w:val="none"/>
              </w:rPr>
              <w:t>实际响应的具体内容</w:t>
            </w:r>
          </w:p>
        </w:tc>
        <w:tc>
          <w:tcPr>
            <w:tcW w:w="1124" w:type="dxa"/>
            <w:noWrap w:val="0"/>
            <w:vAlign w:val="center"/>
          </w:tcPr>
          <w:p>
            <w:pPr>
              <w:autoSpaceDE w:val="0"/>
              <w:autoSpaceDN w:val="0"/>
              <w:adjustRightInd w:val="0"/>
              <w:jc w:val="center"/>
              <w:rPr>
                <w:rFonts w:hint="eastAsia" w:ascii="宋体" w:hAnsi="宋体" w:cs="宋体"/>
                <w:b/>
                <w:bCs/>
                <w:color w:val="auto"/>
                <w:highlight w:val="none"/>
              </w:rPr>
            </w:pPr>
          </w:p>
        </w:tc>
        <w:tc>
          <w:tcPr>
            <w:tcW w:w="1019" w:type="dxa"/>
            <w:noWrap w:val="0"/>
            <w:vAlign w:val="center"/>
          </w:tcPr>
          <w:p>
            <w:pPr>
              <w:autoSpaceDE w:val="0"/>
              <w:autoSpaceDN w:val="0"/>
              <w:adjustRightInd w:val="0"/>
              <w:jc w:val="center"/>
              <w:rPr>
                <w:rFonts w:hint="eastAsia" w:ascii="宋体" w:hAnsi="宋体" w:cs="宋体"/>
                <w:b/>
                <w:bCs/>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1</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521"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2</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3</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4</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5</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color w:val="auto"/>
                <w:highlight w:val="none"/>
              </w:rPr>
            </w:pPr>
            <w:r>
              <w:rPr>
                <w:rFonts w:hint="eastAsia" w:ascii="宋体" w:hAnsi="宋体" w:cs="宋体"/>
                <w:b/>
                <w:color w:val="auto"/>
                <w:szCs w:val="21"/>
                <w:highlight w:val="none"/>
              </w:rPr>
              <w:t>...</w:t>
            </w:r>
          </w:p>
        </w:tc>
        <w:tc>
          <w:tcPr>
            <w:tcW w:w="633" w:type="dxa"/>
            <w:noWrap w:val="0"/>
            <w:vAlign w:val="top"/>
          </w:tcPr>
          <w:p>
            <w:pPr>
              <w:autoSpaceDE w:val="0"/>
              <w:autoSpaceDN w:val="0"/>
              <w:adjustRightInd w:val="0"/>
              <w:jc w:val="center"/>
              <w:rPr>
                <w:rFonts w:hint="eastAsia" w:ascii="宋体" w:hAnsi="宋体" w:cs="宋体"/>
                <w:color w:val="auto"/>
                <w:highlight w:val="none"/>
              </w:rPr>
            </w:pPr>
          </w:p>
        </w:tc>
        <w:tc>
          <w:tcPr>
            <w:tcW w:w="2248" w:type="dxa"/>
            <w:noWrap w:val="0"/>
            <w:vAlign w:val="top"/>
          </w:tcPr>
          <w:p>
            <w:pPr>
              <w:autoSpaceDE w:val="0"/>
              <w:autoSpaceDN w:val="0"/>
              <w:adjustRightInd w:val="0"/>
              <w:jc w:val="center"/>
              <w:rPr>
                <w:rFonts w:hint="eastAsia" w:ascii="宋体" w:hAnsi="宋体" w:cs="宋体"/>
                <w:color w:val="auto"/>
                <w:highlight w:val="none"/>
              </w:rPr>
            </w:pPr>
          </w:p>
        </w:tc>
        <w:tc>
          <w:tcPr>
            <w:tcW w:w="665" w:type="dxa"/>
            <w:noWrap w:val="0"/>
            <w:vAlign w:val="top"/>
          </w:tcPr>
          <w:p>
            <w:pPr>
              <w:autoSpaceDE w:val="0"/>
              <w:autoSpaceDN w:val="0"/>
              <w:adjustRightInd w:val="0"/>
              <w:jc w:val="center"/>
              <w:rPr>
                <w:rFonts w:hint="eastAsia" w:ascii="宋体" w:hAnsi="宋体" w:cs="宋体"/>
                <w:color w:val="auto"/>
                <w:highlight w:val="none"/>
              </w:rPr>
            </w:pPr>
          </w:p>
        </w:tc>
        <w:tc>
          <w:tcPr>
            <w:tcW w:w="2596" w:type="dxa"/>
            <w:noWrap w:val="0"/>
            <w:vAlign w:val="top"/>
          </w:tcPr>
          <w:p>
            <w:pPr>
              <w:autoSpaceDE w:val="0"/>
              <w:autoSpaceDN w:val="0"/>
              <w:adjustRightInd w:val="0"/>
              <w:jc w:val="center"/>
              <w:rPr>
                <w:rFonts w:hint="eastAsia" w:ascii="宋体" w:hAnsi="宋体" w:cs="宋体"/>
                <w:color w:val="auto"/>
                <w:highlight w:val="none"/>
              </w:rPr>
            </w:pPr>
          </w:p>
        </w:tc>
        <w:tc>
          <w:tcPr>
            <w:tcW w:w="1124" w:type="dxa"/>
            <w:noWrap w:val="0"/>
            <w:vAlign w:val="top"/>
          </w:tcPr>
          <w:p>
            <w:pPr>
              <w:autoSpaceDE w:val="0"/>
              <w:autoSpaceDN w:val="0"/>
              <w:adjustRightInd w:val="0"/>
              <w:jc w:val="center"/>
              <w:rPr>
                <w:rFonts w:hint="eastAsia" w:ascii="宋体" w:hAnsi="宋体" w:cs="宋体"/>
                <w:color w:val="auto"/>
                <w:highlight w:val="none"/>
              </w:rPr>
            </w:pPr>
          </w:p>
        </w:tc>
        <w:tc>
          <w:tcPr>
            <w:tcW w:w="1019" w:type="dxa"/>
            <w:noWrap w:val="0"/>
            <w:vAlign w:val="top"/>
          </w:tcPr>
          <w:p>
            <w:pPr>
              <w:autoSpaceDE w:val="0"/>
              <w:autoSpaceDN w:val="0"/>
              <w:adjustRightInd w:val="0"/>
              <w:jc w:val="center"/>
              <w:rPr>
                <w:rFonts w:hint="eastAsia" w:ascii="宋体" w:hAnsi="宋体" w:cs="宋体"/>
                <w:color w:val="auto"/>
                <w:highlight w:val="none"/>
              </w:rPr>
            </w:pPr>
          </w:p>
        </w:tc>
      </w:tr>
    </w:tbl>
    <w:p>
      <w:pPr>
        <w:pStyle w:val="14"/>
        <w:spacing w:line="360" w:lineRule="auto"/>
        <w:rPr>
          <w:rFonts w:hint="eastAsia" w:hAnsi="宋体" w:cs="宋体"/>
          <w:color w:val="auto"/>
          <w:highlight w:val="none"/>
        </w:rPr>
      </w:pPr>
      <w:r>
        <w:rPr>
          <w:rFonts w:hint="eastAsia" w:hAnsi="宋体" w:cs="宋体"/>
          <w:color w:val="auto"/>
          <w:highlight w:val="none"/>
        </w:rPr>
        <w:t>注：1、</w:t>
      </w:r>
      <w:r>
        <w:rPr>
          <w:rFonts w:hint="eastAsia" w:hAnsi="宋体" w:cs="宋体"/>
          <w:color w:val="auto"/>
          <w:szCs w:val="21"/>
          <w:highlight w:val="none"/>
        </w:rPr>
        <w:t>请投标人根据招标文件第五章合同条款的内容逐项响应，表格不够填写的资料可以另页。证明材料可以附后。</w:t>
      </w:r>
      <w:r>
        <w:rPr>
          <w:rFonts w:hint="eastAsia" w:hAnsi="宋体" w:cs="宋体"/>
          <w:color w:val="auto"/>
          <w:highlight w:val="none"/>
        </w:rPr>
        <w:t>投标人对招标文件条款如有偏离，应如实填写此表。“备注”栏可写明“完全响应”、“正偏离”或“负偏离”，并附上证明材料。</w:t>
      </w:r>
    </w:p>
    <w:p>
      <w:pPr>
        <w:pStyle w:val="14"/>
        <w:spacing w:line="360" w:lineRule="auto"/>
        <w:rPr>
          <w:rFonts w:hint="eastAsia" w:hAnsi="宋体" w:cs="宋体"/>
          <w:color w:val="auto"/>
          <w:highlight w:val="none"/>
        </w:rPr>
      </w:pPr>
      <w:r>
        <w:rPr>
          <w:rFonts w:hint="eastAsia" w:hAnsi="宋体" w:cs="宋体"/>
          <w:color w:val="auto"/>
          <w:highlight w:val="none"/>
        </w:rPr>
        <w:t>2、投标人提交空白表格或只填写部分响应内容或未提交此表的，将视为完全响应条款内容；</w:t>
      </w:r>
    </w:p>
    <w:p>
      <w:pPr>
        <w:pStyle w:val="14"/>
        <w:spacing w:line="360" w:lineRule="auto"/>
        <w:rPr>
          <w:rFonts w:hint="eastAsia" w:hAnsi="宋体" w:cs="宋体"/>
          <w:b/>
          <w:bCs/>
          <w:color w:val="auto"/>
          <w:szCs w:val="21"/>
          <w:highlight w:val="none"/>
        </w:rPr>
      </w:pPr>
      <w:r>
        <w:rPr>
          <w:rFonts w:hint="eastAsia" w:hAnsi="宋体" w:cs="宋体"/>
          <w:color w:val="auto"/>
          <w:highlight w:val="none"/>
        </w:rPr>
        <w:t>3、投标人未填写此表但实际上偏离招标文件要求的，视为虚假投标；评标委员会有权否决其投标，或招标人有权取消其中标资格。</w:t>
      </w:r>
    </w:p>
    <w:p>
      <w:pPr>
        <w:spacing w:line="360" w:lineRule="auto"/>
        <w:ind w:firstLine="2940" w:firstLineChars="1400"/>
        <w:rPr>
          <w:rFonts w:hint="eastAsia" w:ascii="宋体" w:hAnsi="宋体" w:cs="宋体"/>
          <w:color w:val="auto"/>
          <w:szCs w:val="21"/>
          <w:highlight w:val="none"/>
        </w:rPr>
      </w:pPr>
    </w:p>
    <w:p>
      <w:pPr>
        <w:pStyle w:val="4"/>
        <w:pageBreakBefore/>
        <w:spacing w:before="158" w:beforeLines="50" w:after="158" w:afterLines="50" w:line="360" w:lineRule="auto"/>
        <w:ind w:left="0"/>
        <w:jc w:val="center"/>
        <w:rPr>
          <w:rFonts w:ascii="宋体" w:hAnsi="宋体" w:cs="宋体"/>
          <w:b/>
          <w:color w:val="auto"/>
          <w:highlight w:val="none"/>
        </w:rPr>
      </w:pPr>
      <w:bookmarkStart w:id="617" w:name="_Toc688"/>
      <w:bookmarkStart w:id="618" w:name="_Toc1413114499"/>
      <w:bookmarkStart w:id="619" w:name="_Toc744827452"/>
      <w:bookmarkStart w:id="620" w:name="_Toc14649"/>
      <w:bookmarkStart w:id="621" w:name="_Toc778137117"/>
      <w:bookmarkStart w:id="622" w:name="_Toc12149"/>
      <w:bookmarkStart w:id="623" w:name="_Toc1500"/>
      <w:bookmarkStart w:id="624" w:name="_Toc17729"/>
      <w:bookmarkStart w:id="625" w:name="_Toc504657644"/>
      <w:bookmarkStart w:id="626" w:name="_Toc2407"/>
      <w:bookmarkStart w:id="627" w:name="_Toc1296"/>
      <w:bookmarkStart w:id="628" w:name="_Toc18466"/>
      <w:bookmarkStart w:id="629" w:name="_Toc10900"/>
      <w:bookmarkStart w:id="630" w:name="_Toc17794"/>
      <w:bookmarkStart w:id="631" w:name="_Toc25182"/>
      <w:bookmarkStart w:id="632" w:name="_Toc8949"/>
      <w:bookmarkStart w:id="633" w:name="_Toc21782"/>
      <w:bookmarkStart w:id="634" w:name="_Toc34646020"/>
      <w:r>
        <w:rPr>
          <w:rFonts w:hint="eastAsia" w:ascii="宋体" w:hAnsi="宋体" w:cs="宋体"/>
          <w:b/>
          <w:color w:val="auto"/>
          <w:highlight w:val="none"/>
        </w:rPr>
        <w:t>格式十三、投标人异议/投诉承诺及程序指引</w:t>
      </w:r>
      <w:bookmarkEnd w:id="617"/>
      <w:bookmarkEnd w:id="618"/>
      <w:bookmarkEnd w:id="619"/>
      <w:bookmarkEnd w:id="620"/>
      <w:bookmarkEnd w:id="621"/>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指引所称“异议”是指参与采购供应商有证据或材料证明采购人在采购过程中有失公平或公正，而向采购人提出的疑问或请求。“投诉”是指提出异议的供应商没有得到采购人的答复或对答复不满意而向采购人的投诉受理部门提起的申诉。</w:t>
      </w:r>
    </w:p>
    <w:p>
      <w:pPr>
        <w:spacing w:line="360" w:lineRule="auto"/>
        <w:ind w:firstLine="421" w:firstLineChars="200"/>
        <w:rPr>
          <w:rFonts w:ascii="宋体" w:hAnsi="宋体" w:cs="宋体"/>
          <w:color w:val="auto"/>
          <w:szCs w:val="21"/>
          <w:highlight w:val="none"/>
        </w:rPr>
      </w:pPr>
      <w:r>
        <w:rPr>
          <w:rFonts w:hint="eastAsia" w:ascii="宋体" w:hAnsi="宋体" w:cs="宋体"/>
          <w:b/>
          <w:bCs/>
          <w:color w:val="auto"/>
          <w:szCs w:val="21"/>
          <w:highlight w:val="none"/>
        </w:rPr>
        <w:t>一、提出主体</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 提出异议/投诉的主体（下称“提出人”）必须为参与具体采购项目的供应商。</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 提出异议/投诉须实名制,否则视为无效，不予受理。</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 投诉按照先异议、后投诉的顺序，未经异议的事项不接受投诉。异议/投诉实行“谁主张、谁举证”原则，提出人应当明确提出异议/投诉的事项及请求，并提供必要的证明材料和法律、法规、事实根据，不得进行虚假、恶意的异议/投诉，否则所提异议/投诉无效。</w:t>
      </w:r>
    </w:p>
    <w:p>
      <w:pPr>
        <w:spacing w:line="360" w:lineRule="auto"/>
        <w:ind w:firstLine="421" w:firstLineChars="200"/>
        <w:rPr>
          <w:rFonts w:ascii="宋体" w:hAnsi="宋体" w:cs="宋体"/>
          <w:b/>
          <w:bCs/>
          <w:color w:val="auto"/>
          <w:szCs w:val="21"/>
          <w:highlight w:val="none"/>
        </w:rPr>
      </w:pPr>
      <w:r>
        <w:rPr>
          <w:rFonts w:hint="eastAsia" w:ascii="宋体" w:hAnsi="宋体" w:cs="宋体"/>
          <w:b/>
          <w:bCs/>
          <w:color w:val="auto"/>
          <w:szCs w:val="21"/>
          <w:highlight w:val="none"/>
        </w:rPr>
        <w:t>二、提出期限</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提出人</w:t>
      </w:r>
      <w:r>
        <w:rPr>
          <w:rFonts w:hint="eastAsia" w:ascii="宋体" w:hAnsi="宋体" w:cs="宋体"/>
          <w:color w:val="auto"/>
          <w:highlight w:val="none"/>
        </w:rPr>
        <w:t>认为公告及资格预审文件、采购文件、评审结果等使自己的合法权益受到损害的，可在知道或者应该知道其权益受到损害之日起并在有效期内，按照文件提供的异议渠道及异议指引提供纸质异议材料进行异议。对异议答复不满意的，可在收到异议答复之日起，在有效期内提起投诉，纸质材料可在有效期内当面递交，也可通过邮递送达。超过有效期的异议</w:t>
      </w:r>
      <w:r>
        <w:rPr>
          <w:rFonts w:hint="eastAsia" w:ascii="宋体" w:hAnsi="宋体" w:cs="宋体"/>
          <w:color w:val="auto"/>
          <w:szCs w:val="21"/>
          <w:highlight w:val="none"/>
        </w:rPr>
        <w:t>/</w:t>
      </w:r>
      <w:r>
        <w:rPr>
          <w:rFonts w:hint="eastAsia" w:ascii="宋体" w:hAnsi="宋体" w:cs="宋体"/>
          <w:color w:val="auto"/>
          <w:highlight w:val="none"/>
        </w:rPr>
        <w:t>投诉无效，有效期具体约定如下：</w:t>
      </w:r>
    </w:p>
    <w:p>
      <w:pPr>
        <w:spacing w:line="360" w:lineRule="auto"/>
        <w:ind w:firstLine="420" w:firstLineChars="200"/>
        <w:rPr>
          <w:rFonts w:ascii="宋体" w:hAnsi="宋体" w:cs="宋体"/>
          <w:color w:val="auto"/>
          <w:highlight w:val="none"/>
        </w:rPr>
      </w:pPr>
      <w:r>
        <w:rPr>
          <w:rFonts w:hint="eastAsia" w:ascii="宋体" w:hAnsi="宋体" w:cs="宋体"/>
          <w:color w:val="auto"/>
          <w:szCs w:val="21"/>
          <w:highlight w:val="none"/>
        </w:rPr>
        <w:t>2.1 采购公告发布及资格预审阶段。提出人认为资格预审文件有明显倾向性或不合理条款的，可在截止提交资格预审申请文件48小时前提出异议；对异议答复不满意或受理人</w:t>
      </w:r>
      <w:r>
        <w:rPr>
          <w:rFonts w:hint="eastAsia" w:ascii="宋体" w:hAnsi="宋体" w:cs="宋体"/>
          <w:color w:val="auto"/>
          <w:highlight w:val="none"/>
        </w:rPr>
        <w:t>未在规定期限内进行答复</w:t>
      </w:r>
      <w:r>
        <w:rPr>
          <w:rFonts w:hint="eastAsia" w:ascii="宋体" w:hAnsi="宋体" w:cs="宋体"/>
          <w:color w:val="auto"/>
          <w:szCs w:val="21"/>
          <w:highlight w:val="none"/>
        </w:rPr>
        <w:t>的，可在收到异议答复之日</w:t>
      </w:r>
      <w:r>
        <w:rPr>
          <w:rFonts w:hint="eastAsia" w:ascii="宋体" w:hAnsi="宋体" w:cs="宋体"/>
          <w:color w:val="auto"/>
          <w:highlight w:val="none"/>
        </w:rPr>
        <w:t>或处理期限届满之日</w:t>
      </w:r>
      <w:r>
        <w:rPr>
          <w:rFonts w:hint="eastAsia" w:ascii="宋体" w:hAnsi="宋体" w:cs="宋体"/>
          <w:color w:val="auto"/>
          <w:szCs w:val="21"/>
          <w:highlight w:val="none"/>
        </w:rPr>
        <w:t>起2个工作日内提起投诉。</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 采购文件发布阶段。提出人认为采购方发布的采购文件不合理、有失公平或倾向性条款的，招标采购项目应在获取文件截止时间后48小时内提出异议；非招标采购项目应在截止递交响应文件（竞价文件）24小时前提出异议；对异议答复不满意或受理人</w:t>
      </w:r>
      <w:r>
        <w:rPr>
          <w:rFonts w:hint="eastAsia" w:ascii="宋体" w:hAnsi="宋体" w:cs="宋体"/>
          <w:color w:val="auto"/>
          <w:highlight w:val="none"/>
        </w:rPr>
        <w:t>未在规定期限内进行答复</w:t>
      </w:r>
      <w:r>
        <w:rPr>
          <w:rFonts w:hint="eastAsia" w:ascii="宋体" w:hAnsi="宋体" w:cs="宋体"/>
          <w:color w:val="auto"/>
          <w:szCs w:val="21"/>
          <w:highlight w:val="none"/>
        </w:rPr>
        <w:t>的，可在收到异议答复之日</w:t>
      </w:r>
      <w:r>
        <w:rPr>
          <w:rFonts w:hint="eastAsia" w:ascii="宋体" w:hAnsi="宋体" w:cs="宋体"/>
          <w:color w:val="auto"/>
          <w:highlight w:val="none"/>
        </w:rPr>
        <w:t>或处理期限届满之日</w:t>
      </w:r>
      <w:r>
        <w:rPr>
          <w:rFonts w:hint="eastAsia" w:ascii="宋体" w:hAnsi="宋体" w:cs="宋体"/>
          <w:color w:val="auto"/>
          <w:szCs w:val="21"/>
          <w:highlight w:val="none"/>
        </w:rPr>
        <w:t>起2个工作日内提起投诉。</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2.3 采购评审结果公示阶段。提出人认为评审过程或采购结果有问题，可以在评审结果公示期内提出异议；对异议答复不满意或受理人</w:t>
      </w:r>
      <w:r>
        <w:rPr>
          <w:rFonts w:hint="eastAsia" w:ascii="宋体" w:hAnsi="宋体" w:cs="宋体"/>
          <w:color w:val="auto"/>
          <w:highlight w:val="none"/>
        </w:rPr>
        <w:t>未在规定期限内进行答复</w:t>
      </w:r>
      <w:r>
        <w:rPr>
          <w:rFonts w:hint="eastAsia" w:ascii="宋体" w:hAnsi="宋体" w:cs="宋体"/>
          <w:color w:val="auto"/>
          <w:szCs w:val="21"/>
          <w:highlight w:val="none"/>
        </w:rPr>
        <w:t>的，可在收到异议答复之日</w:t>
      </w:r>
      <w:r>
        <w:rPr>
          <w:rFonts w:hint="eastAsia" w:ascii="宋体" w:hAnsi="宋体" w:cs="宋体"/>
          <w:color w:val="auto"/>
          <w:highlight w:val="none"/>
        </w:rPr>
        <w:t>或处理期限届满之日</w:t>
      </w:r>
      <w:r>
        <w:rPr>
          <w:rFonts w:hint="eastAsia" w:ascii="宋体" w:hAnsi="宋体" w:cs="宋体"/>
          <w:color w:val="auto"/>
          <w:szCs w:val="21"/>
          <w:highlight w:val="none"/>
        </w:rPr>
        <w:t>起2个工作日内提起投诉。</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异议/投诉时间环节不可逆，即在采购流程进行到下一阶段，不能对上一阶段已经通过的结果并超过时间节点的事项提出异议/投诉。</w:t>
      </w:r>
    </w:p>
    <w:p>
      <w:pPr>
        <w:spacing w:line="360" w:lineRule="auto"/>
        <w:ind w:firstLine="421" w:firstLineChars="200"/>
        <w:rPr>
          <w:rFonts w:ascii="宋体" w:hAnsi="宋体" w:cs="宋体"/>
          <w:b/>
          <w:bCs/>
          <w:color w:val="auto"/>
          <w:szCs w:val="21"/>
          <w:highlight w:val="none"/>
        </w:rPr>
      </w:pPr>
      <w:r>
        <w:rPr>
          <w:rFonts w:hint="eastAsia" w:ascii="宋体" w:hAnsi="宋体" w:cs="宋体"/>
          <w:b/>
          <w:bCs/>
          <w:color w:val="auto"/>
          <w:szCs w:val="21"/>
          <w:highlight w:val="none"/>
        </w:rPr>
        <w:t>三、提交材料</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 提出人</w:t>
      </w:r>
      <w:r>
        <w:rPr>
          <w:rFonts w:hint="eastAsia" w:ascii="宋体" w:hAnsi="宋体" w:cs="宋体"/>
          <w:color w:val="auto"/>
          <w:highlight w:val="none"/>
        </w:rPr>
        <w:t>对采购项目提出异议</w:t>
      </w:r>
      <w:r>
        <w:rPr>
          <w:rFonts w:hint="eastAsia" w:ascii="宋体" w:hAnsi="宋体" w:cs="宋体"/>
          <w:color w:val="auto"/>
          <w:szCs w:val="21"/>
          <w:highlight w:val="none"/>
        </w:rPr>
        <w:t>/</w:t>
      </w:r>
      <w:r>
        <w:rPr>
          <w:rFonts w:hint="eastAsia" w:ascii="宋体" w:hAnsi="宋体" w:cs="宋体"/>
          <w:color w:val="auto"/>
          <w:highlight w:val="none"/>
        </w:rPr>
        <w:t>投诉，应制作纸质异议函</w:t>
      </w:r>
      <w:r>
        <w:rPr>
          <w:rFonts w:hint="eastAsia" w:ascii="宋体" w:hAnsi="宋体" w:cs="宋体"/>
          <w:color w:val="auto"/>
          <w:szCs w:val="21"/>
          <w:highlight w:val="none"/>
        </w:rPr>
        <w:t>/</w:t>
      </w:r>
      <w:r>
        <w:rPr>
          <w:rFonts w:hint="eastAsia" w:ascii="宋体" w:hAnsi="宋体" w:cs="宋体"/>
          <w:color w:val="auto"/>
          <w:highlight w:val="none"/>
        </w:rPr>
        <w:t>投诉函，由法定代表人签署本人姓名（或印盖本人姓名章）并加盖单位公章后，异议函应将</w:t>
      </w:r>
      <w:r>
        <w:rPr>
          <w:rFonts w:hint="eastAsia" w:ascii="宋体" w:hAnsi="宋体" w:cs="宋体"/>
          <w:color w:val="auto"/>
          <w:szCs w:val="21"/>
          <w:highlight w:val="none"/>
        </w:rPr>
        <w:t>原件邮寄至招标代理机构；投诉函应将原件邮寄至投诉受理部门。</w:t>
      </w:r>
      <w:r>
        <w:rPr>
          <w:rFonts w:hint="eastAsia" w:ascii="宋体" w:hAnsi="宋体" w:cs="宋体"/>
          <w:color w:val="auto"/>
          <w:highlight w:val="none"/>
        </w:rPr>
        <w:t>异议函</w:t>
      </w:r>
      <w:r>
        <w:rPr>
          <w:rFonts w:hint="eastAsia" w:ascii="宋体" w:hAnsi="宋体" w:cs="宋体"/>
          <w:color w:val="auto"/>
          <w:szCs w:val="21"/>
          <w:highlight w:val="none"/>
        </w:rPr>
        <w:t>/</w:t>
      </w:r>
      <w:r>
        <w:rPr>
          <w:rFonts w:hint="eastAsia" w:ascii="宋体" w:hAnsi="宋体" w:cs="宋体"/>
          <w:color w:val="auto"/>
          <w:highlight w:val="none"/>
        </w:rPr>
        <w:t>投诉函</w:t>
      </w:r>
      <w:r>
        <w:rPr>
          <w:rFonts w:hint="eastAsia" w:ascii="宋体" w:hAnsi="宋体" w:cs="宋体"/>
          <w:color w:val="auto"/>
          <w:szCs w:val="21"/>
          <w:highlight w:val="none"/>
        </w:rPr>
        <w:t>应包括下列主要内容：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a) 提出人名称、地址、邮政编码、有效联系人和联系方式（手机、座机、传真、电子邮箱地址）；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b) 被异议/投诉人及与异议/投诉事项有关的当事人全称；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c) 异议/投诉涉及的采购项目的名称和编号；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d) 异议/投诉的基本情况及具体事项，包括但不限于请求及主张、事实、理由和法律依据等；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e) 有效、合法的线索和证据材料；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f) 署名。提出人为法人的，应由法定代表人签字并加盖公章，并提供工商营业执照复印件；非法人组织或个人提出异议的，异议函/投诉函须分别由其主要负责人或者提出人本人签字，并附上有效身份证明复印件；</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g) 提出异议/投诉的日期。</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h) 投诉的，应提供之前的异议和异议答复情况及相关材料；</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i) 外文异议函/投诉函应当同时提供中文译本，解释材料以中文译本为准；</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j) 其它需要说明的内容。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 一件异议函/投诉函只能对一个招标项目提出异议/投诉，提出人需要对两个（含）以上项目提出异议/投诉的，应当分别提交异议函/投诉函。 </w:t>
      </w:r>
    </w:p>
    <w:p>
      <w:pPr>
        <w:spacing w:line="360" w:lineRule="auto"/>
        <w:rPr>
          <w:rFonts w:ascii="宋体" w:hAnsi="宋体" w:cs="宋体"/>
          <w:color w:val="auto"/>
          <w:szCs w:val="21"/>
          <w:highlight w:val="none"/>
        </w:rPr>
      </w:pPr>
      <w:r>
        <w:rPr>
          <w:rFonts w:hint="eastAsia" w:ascii="宋体" w:hAnsi="宋体" w:cs="宋体"/>
          <w:color w:val="auto"/>
          <w:szCs w:val="21"/>
          <w:highlight w:val="none"/>
        </w:rPr>
        <w:t>　　3.3 提出人需要修改、补充异议函/投诉函的，应当在异议/投诉有效期内提交修改或补充资料。 </w:t>
      </w:r>
    </w:p>
    <w:p>
      <w:pPr>
        <w:numPr>
          <w:ilvl w:val="0"/>
          <w:numId w:val="6"/>
        </w:numPr>
        <w:spacing w:line="360" w:lineRule="auto"/>
        <w:ind w:firstLine="421" w:firstLineChars="200"/>
        <w:rPr>
          <w:rFonts w:ascii="宋体" w:hAnsi="宋体" w:cs="宋体"/>
          <w:b/>
          <w:bCs/>
          <w:color w:val="auto"/>
          <w:szCs w:val="21"/>
          <w:highlight w:val="none"/>
        </w:rPr>
      </w:pPr>
      <w:r>
        <w:rPr>
          <w:rFonts w:hint="eastAsia" w:ascii="宋体" w:hAnsi="宋体" w:cs="宋体"/>
          <w:b/>
          <w:bCs/>
          <w:color w:val="auto"/>
          <w:szCs w:val="21"/>
          <w:highlight w:val="none"/>
        </w:rPr>
        <w:t>受理</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4.1 采购人为异议的受理和处理主体；投诉受理部门为投诉的受理和处理主体。</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4.2 采购人或投诉受理部门收到提出人纸质材料后，对异议/投诉内容进行审阅。符合受理条件的，告知提出人已受理并正在处理；不符合受理条件的，</w:t>
      </w:r>
      <w:r>
        <w:rPr>
          <w:rFonts w:hint="eastAsia" w:ascii="宋体" w:hAnsi="宋体" w:cs="宋体"/>
          <w:color w:val="auto"/>
          <w:highlight w:val="none"/>
        </w:rPr>
        <w:t>应书面</w:t>
      </w:r>
      <w:r>
        <w:rPr>
          <w:rFonts w:hint="eastAsia" w:ascii="宋体" w:hAnsi="宋体" w:cs="宋体"/>
          <w:color w:val="auto"/>
          <w:szCs w:val="21"/>
          <w:highlight w:val="none"/>
        </w:rPr>
        <w:t>告知提出人不予受理。</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3</w:t>
      </w:r>
      <w:r>
        <w:rPr>
          <w:rFonts w:hint="eastAsia" w:ascii="宋体" w:hAnsi="宋体" w:cs="宋体"/>
          <w:color w:val="auto"/>
          <w:szCs w:val="21"/>
          <w:highlight w:val="none"/>
        </w:rPr>
        <w:t xml:space="preserve"> 有下列情形之一的异议/投诉不予受理：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 提出人不是已参与本采购项目的供应商；</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b) 未在异议/投诉有效期内提出的；</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c) 异议</w:t>
      </w:r>
      <w:r>
        <w:rPr>
          <w:rFonts w:hint="eastAsia" w:ascii="宋体" w:hAnsi="宋体" w:cs="宋体"/>
          <w:color w:val="auto"/>
          <w:highlight w:val="none"/>
        </w:rPr>
        <w:t>函</w:t>
      </w:r>
      <w:r>
        <w:rPr>
          <w:rFonts w:hint="eastAsia" w:ascii="宋体" w:hAnsi="宋体" w:cs="宋体"/>
          <w:color w:val="auto"/>
          <w:szCs w:val="21"/>
          <w:highlight w:val="none"/>
        </w:rPr>
        <w:t>/投诉函</w:t>
      </w:r>
      <w:r>
        <w:rPr>
          <w:rFonts w:hint="eastAsia" w:ascii="宋体" w:hAnsi="宋体" w:cs="宋体"/>
          <w:color w:val="auto"/>
          <w:highlight w:val="none"/>
        </w:rPr>
        <w:t>未按第三条第3.1款第f)项署名的</w:t>
      </w:r>
      <w:r>
        <w:rPr>
          <w:rFonts w:hint="eastAsia" w:ascii="宋体" w:hAnsi="宋体" w:cs="宋体"/>
          <w:color w:val="auto"/>
          <w:szCs w:val="21"/>
          <w:highlight w:val="none"/>
        </w:rPr>
        <w:t xml:space="preserve">；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d) 一件异议函/投诉函同时针对多个采购项目提出异议/投诉的；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e) 异议/投诉已经处理并答复，提出人在异议/投诉有效期内就同一事项又重新提起异议/投诉，且未提供新的有效证据的；</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f）未经异议程序的事项直接提出投诉的；</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g) 其它不符合受理条件情形的。</w:t>
      </w:r>
    </w:p>
    <w:p>
      <w:pPr>
        <w:spacing w:line="360" w:lineRule="auto"/>
        <w:ind w:firstLine="421" w:firstLineChars="200"/>
        <w:rPr>
          <w:rFonts w:ascii="宋体" w:hAnsi="宋体" w:cs="宋体"/>
          <w:color w:val="auto"/>
          <w:szCs w:val="21"/>
          <w:highlight w:val="none"/>
        </w:rPr>
      </w:pPr>
      <w:r>
        <w:rPr>
          <w:rFonts w:hint="eastAsia" w:ascii="宋体" w:hAnsi="宋体" w:cs="宋体"/>
          <w:b/>
          <w:bCs/>
          <w:color w:val="auto"/>
          <w:szCs w:val="21"/>
          <w:highlight w:val="none"/>
        </w:rPr>
        <w:t>五、处理</w:t>
      </w:r>
    </w:p>
    <w:p>
      <w:pPr>
        <w:spacing w:line="360" w:lineRule="auto"/>
        <w:ind w:firstLine="420" w:firstLineChars="200"/>
        <w:rPr>
          <w:rFonts w:ascii="宋体" w:hAnsi="宋体" w:cs="宋体"/>
          <w:color w:val="auto"/>
          <w:highlight w:val="none"/>
        </w:rPr>
      </w:pPr>
      <w:r>
        <w:rPr>
          <w:rFonts w:ascii="宋体" w:hAnsi="宋体" w:cs="宋体"/>
          <w:color w:val="auto"/>
          <w:szCs w:val="21"/>
          <w:highlight w:val="none"/>
        </w:rPr>
        <w:t>5.1</w:t>
      </w:r>
      <w:r>
        <w:rPr>
          <w:rFonts w:hint="eastAsia" w:ascii="宋体" w:hAnsi="宋体" w:cs="宋体"/>
          <w:color w:val="auto"/>
          <w:highlight w:val="none"/>
        </w:rPr>
        <w:t>经异议复核，有下列情形之一的，驳回异议：</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a) 缺乏事实、法律依据或证据材料不合法、不充分的；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b) 捏造事实、提供虚假材料的；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c) 其他根据相关法律法规应当予以驳回的情形。 </w:t>
      </w:r>
    </w:p>
    <w:p>
      <w:pPr>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 xml:space="preserve">5.2 </w:t>
      </w:r>
      <w:r>
        <w:rPr>
          <w:rFonts w:hint="eastAsia" w:ascii="宋体" w:hAnsi="宋体" w:cs="宋体"/>
          <w:color w:val="auto"/>
          <w:szCs w:val="21"/>
          <w:highlight w:val="none"/>
        </w:rPr>
        <w:t>投诉缺乏事实依据或虚假、恶意投诉的，驳回投诉。</w:t>
      </w:r>
    </w:p>
    <w:p>
      <w:pPr>
        <w:spacing w:line="360" w:lineRule="auto"/>
        <w:ind w:firstLine="420" w:firstLineChars="200"/>
        <w:rPr>
          <w:rFonts w:ascii="宋体" w:hAnsi="宋体" w:cs="宋体"/>
          <w:color w:val="auto"/>
          <w:highlight w:val="none"/>
        </w:rPr>
      </w:pPr>
      <w:r>
        <w:rPr>
          <w:rFonts w:hint="eastAsia" w:ascii="宋体" w:hAnsi="宋体" w:cs="宋体"/>
          <w:color w:val="auto"/>
          <w:szCs w:val="21"/>
          <w:highlight w:val="none"/>
        </w:rPr>
        <w:t>5.</w:t>
      </w:r>
      <w:r>
        <w:rPr>
          <w:rFonts w:ascii="宋体" w:hAnsi="宋体" w:cs="宋体"/>
          <w:color w:val="auto"/>
          <w:szCs w:val="21"/>
          <w:highlight w:val="none"/>
        </w:rPr>
        <w:t>3</w:t>
      </w:r>
      <w:r>
        <w:rPr>
          <w:rFonts w:hint="eastAsia" w:ascii="宋体" w:hAnsi="宋体" w:cs="宋体"/>
          <w:color w:val="auto"/>
          <w:szCs w:val="21"/>
          <w:highlight w:val="none"/>
        </w:rPr>
        <w:t xml:space="preserve"> 异议/投诉处理完成后，采购人或投诉受理部门出具</w:t>
      </w:r>
      <w:r>
        <w:rPr>
          <w:rFonts w:hint="eastAsia" w:ascii="宋体" w:hAnsi="宋体" w:cs="宋体"/>
          <w:color w:val="auto"/>
          <w:highlight w:val="none"/>
        </w:rPr>
        <w:t>《异议处理结果通知书》或《投诉处理决定书》，扫描后以电子邮件发送提出人，纸质版由采购人</w:t>
      </w:r>
      <w:r>
        <w:rPr>
          <w:rFonts w:hint="eastAsia" w:ascii="宋体" w:hAnsi="宋体" w:cs="宋体"/>
          <w:color w:val="auto"/>
          <w:szCs w:val="21"/>
          <w:highlight w:val="none"/>
        </w:rPr>
        <w:t>或投诉受理部门</w:t>
      </w:r>
      <w:r>
        <w:rPr>
          <w:rFonts w:hint="eastAsia" w:ascii="宋体" w:hAnsi="宋体" w:cs="宋体"/>
          <w:color w:val="auto"/>
          <w:highlight w:val="none"/>
        </w:rPr>
        <w:t>留存备查。</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4</w:t>
      </w:r>
      <w:r>
        <w:rPr>
          <w:rFonts w:hint="eastAsia" w:ascii="宋体" w:hAnsi="宋体" w:cs="宋体"/>
          <w:color w:val="auto"/>
          <w:szCs w:val="21"/>
          <w:highlight w:val="none"/>
        </w:rPr>
        <w:t xml:space="preserve"> 异议/投诉处理过程中，采购人或投诉受理部门可以组织相关当事人进行沟通和说明。处理异议/投诉事项原则上采取书面审查的办法，采购人或投诉受理部门认为有必要时，可以进行调查取证，也可以组织提出人和被异议/投诉人进行当面质证。。提出人拒绝配合调查的，按自动撤回异议/投诉处理；被异议/投诉人不提交相关证据、依据和其他有关材料的，视同放弃说明权利、认可异议/投诉事项。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5</w:t>
      </w:r>
      <w:r>
        <w:rPr>
          <w:rFonts w:hint="eastAsia" w:ascii="宋体" w:hAnsi="宋体" w:cs="宋体"/>
          <w:color w:val="auto"/>
          <w:szCs w:val="21"/>
          <w:highlight w:val="none"/>
        </w:rPr>
        <w:t xml:space="preserve"> 异议/投诉处理过程中，相关当事人应当配合异议/投诉处理工作，遵守异议复核及投诉处理秩序纪律，如实反映情况，并提供异议/投诉所需要的相关材料。 </w:t>
      </w:r>
    </w:p>
    <w:p>
      <w:pPr>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5.6</w:t>
      </w:r>
      <w:r>
        <w:rPr>
          <w:rFonts w:hint="eastAsia" w:ascii="宋体" w:hAnsi="宋体" w:cs="宋体"/>
          <w:color w:val="auto"/>
          <w:szCs w:val="21"/>
          <w:highlight w:val="none"/>
        </w:rPr>
        <w:t xml:space="preserve"> 处理投诉事项期间，投诉受理部门可视具体情况书面通知被异议/投诉人暂停采购活动，暂停时间最长不超过</w:t>
      </w:r>
      <w:r>
        <w:rPr>
          <w:rFonts w:ascii="宋体" w:hAnsi="宋体" w:cs="宋体"/>
          <w:color w:val="auto"/>
          <w:szCs w:val="21"/>
          <w:highlight w:val="none"/>
        </w:rPr>
        <w:t>30</w:t>
      </w:r>
      <w:r>
        <w:rPr>
          <w:rFonts w:hint="eastAsia" w:ascii="宋体" w:hAnsi="宋体" w:cs="宋体"/>
          <w:color w:val="auto"/>
          <w:szCs w:val="21"/>
          <w:highlight w:val="none"/>
        </w:rPr>
        <w:t>个工作日。被异议/投诉人收到通知后应立即暂停采购活动，在暂停期限结束前或者投诉受理部门发出恢复采购活动通知前，不得进行该项采购活动。</w:t>
      </w:r>
      <w:r>
        <w:rPr>
          <w:rFonts w:ascii="宋体" w:hAnsi="宋体" w:cs="宋体"/>
          <w:color w:val="auto"/>
          <w:szCs w:val="21"/>
          <w:highlight w:val="none"/>
        </w:rPr>
        <w:t xml:space="preserve"> </w:t>
      </w:r>
    </w:p>
    <w:p>
      <w:pPr>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 xml:space="preserve">5.7 </w:t>
      </w:r>
      <w:r>
        <w:rPr>
          <w:rFonts w:hint="eastAsia" w:ascii="宋体" w:hAnsi="宋体" w:cs="宋体"/>
          <w:color w:val="auto"/>
          <w:szCs w:val="21"/>
          <w:highlight w:val="none"/>
        </w:rPr>
        <w:t>异议处理过程中，提出人要求撤回异议的，应当以书面方式提交异议撤销函，由法定代表人签署本人姓名（或印盖本人姓名章）并加盖单位公章。采购人收到异议撤销函后，有权视具体情况决定是否终止异议处理工作。</w:t>
      </w:r>
    </w:p>
    <w:p>
      <w:pPr>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 xml:space="preserve">5.8 </w:t>
      </w:r>
      <w:r>
        <w:rPr>
          <w:rFonts w:hint="eastAsia" w:ascii="宋体" w:hAnsi="宋体" w:cs="宋体"/>
          <w:color w:val="auto"/>
          <w:szCs w:val="21"/>
          <w:highlight w:val="none"/>
        </w:rPr>
        <w:t>提出人撤回投诉的，按终止投诉处理。</w:t>
      </w:r>
    </w:p>
    <w:p>
      <w:pPr>
        <w:spacing w:line="360" w:lineRule="auto"/>
        <w:ind w:firstLine="420" w:firstLineChars="200"/>
        <w:rPr>
          <w:rFonts w:ascii="宋体" w:hAnsi="宋体" w:cs="宋体"/>
          <w:color w:val="auto"/>
          <w:highlight w:val="none"/>
        </w:rPr>
      </w:pPr>
      <w:r>
        <w:rPr>
          <w:rFonts w:hint="eastAsia" w:ascii="宋体" w:hAnsi="宋体" w:cs="宋体"/>
          <w:color w:val="auto"/>
          <w:szCs w:val="21"/>
          <w:highlight w:val="none"/>
        </w:rPr>
        <w:t>5.</w:t>
      </w:r>
      <w:r>
        <w:rPr>
          <w:rFonts w:ascii="宋体" w:hAnsi="宋体" w:cs="宋体"/>
          <w:color w:val="auto"/>
          <w:szCs w:val="21"/>
          <w:highlight w:val="none"/>
        </w:rPr>
        <w:t>9</w:t>
      </w:r>
      <w:r>
        <w:rPr>
          <w:rFonts w:hint="eastAsia" w:ascii="宋体" w:hAnsi="宋体" w:cs="宋体"/>
          <w:color w:val="auto"/>
          <w:szCs w:val="21"/>
          <w:highlight w:val="none"/>
        </w:rPr>
        <w:t xml:space="preserve"> 采购项目在异议/投诉处理期间作为流标处理的，按终止异议/投诉处理。</w:t>
      </w:r>
      <w:r>
        <w:rPr>
          <w:rFonts w:hint="eastAsia" w:ascii="宋体" w:hAnsi="宋体" w:cs="宋体"/>
          <w:color w:val="auto"/>
          <w:highlight w:val="none"/>
        </w:rPr>
        <w:t xml:space="preserve"> </w:t>
      </w:r>
    </w:p>
    <w:p>
      <w:pPr>
        <w:numPr>
          <w:ilvl w:val="0"/>
          <w:numId w:val="7"/>
        </w:numPr>
        <w:spacing w:line="360" w:lineRule="auto"/>
        <w:ind w:firstLine="421" w:firstLineChars="200"/>
        <w:rPr>
          <w:rFonts w:ascii="宋体" w:hAnsi="宋体" w:cs="宋体"/>
          <w:b/>
          <w:bCs/>
          <w:color w:val="auto"/>
          <w:szCs w:val="21"/>
          <w:highlight w:val="none"/>
        </w:rPr>
      </w:pPr>
      <w:r>
        <w:rPr>
          <w:rFonts w:hint="eastAsia" w:ascii="宋体" w:hAnsi="宋体" w:cs="宋体"/>
          <w:b/>
          <w:bCs/>
          <w:color w:val="auto"/>
          <w:szCs w:val="21"/>
          <w:highlight w:val="none"/>
        </w:rPr>
        <w:t>行为记录</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 提出人有不良行为的，采购人有权将其列入限制交易供应商名单。</w:t>
      </w:r>
    </w:p>
    <w:p>
      <w:pPr>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 xml:space="preserve">6.2 </w:t>
      </w:r>
      <w:r>
        <w:rPr>
          <w:rFonts w:hint="eastAsia" w:ascii="宋体" w:hAnsi="宋体" w:cs="宋体"/>
          <w:color w:val="auto"/>
          <w:szCs w:val="21"/>
          <w:highlight w:val="none"/>
        </w:rPr>
        <w:t xml:space="preserve">提出人提出异议或投诉时，有如下情形的，属于不良行为：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 提出人无故不接收《异议处理结果通知书》</w:t>
      </w:r>
      <w:r>
        <w:rPr>
          <w:rFonts w:hint="eastAsia" w:ascii="宋体" w:hAnsi="宋体" w:cs="宋体"/>
          <w:color w:val="auto"/>
          <w:highlight w:val="none"/>
        </w:rPr>
        <w:t>或《投诉处理决定书》</w:t>
      </w:r>
      <w:r>
        <w:rPr>
          <w:rFonts w:hint="eastAsia" w:ascii="宋体" w:hAnsi="宋体" w:cs="宋体"/>
          <w:color w:val="auto"/>
          <w:szCs w:val="21"/>
          <w:highlight w:val="none"/>
        </w:rPr>
        <w:t xml:space="preserve">的；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b) 捏造事实或提供虚假信息或材料的；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c) 拒绝提供异议/投诉处理所需相关材料的； </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d) 一年内3次以上投诉均查无实据的；</w:t>
      </w:r>
    </w:p>
    <w:p>
      <w:pPr>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e</w:t>
      </w:r>
      <w:r>
        <w:rPr>
          <w:rFonts w:hint="eastAsia" w:ascii="宋体" w:hAnsi="宋体" w:cs="宋体"/>
          <w:color w:val="auto"/>
          <w:szCs w:val="21"/>
          <w:highlight w:val="none"/>
        </w:rPr>
        <w:t>)</w:t>
      </w:r>
      <w:r>
        <w:rPr>
          <w:rFonts w:ascii="宋体" w:hAnsi="宋体" w:cs="宋体"/>
          <w:color w:val="auto"/>
          <w:szCs w:val="21"/>
          <w:highlight w:val="none"/>
        </w:rPr>
        <w:t xml:space="preserve"> </w:t>
      </w:r>
      <w:r>
        <w:rPr>
          <w:rFonts w:hint="eastAsia" w:ascii="宋体" w:hAnsi="宋体" w:cs="宋体"/>
          <w:color w:val="auto"/>
          <w:szCs w:val="21"/>
          <w:highlight w:val="none"/>
        </w:rPr>
        <w:t xml:space="preserve">不按本承诺及程序指引进行异议/投诉，造成严重后果的。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f) 其它不配合异议/投诉处理工作的行为。 </w:t>
      </w:r>
    </w:p>
    <w:p>
      <w:pPr>
        <w:numPr>
          <w:ilvl w:val="0"/>
          <w:numId w:val="7"/>
        </w:numPr>
        <w:spacing w:line="360" w:lineRule="auto"/>
        <w:ind w:firstLine="421" w:firstLineChars="200"/>
        <w:rPr>
          <w:rFonts w:ascii="宋体" w:hAnsi="宋体" w:cs="宋体"/>
          <w:b/>
          <w:bCs/>
          <w:color w:val="auto"/>
          <w:szCs w:val="21"/>
          <w:highlight w:val="none"/>
        </w:rPr>
      </w:pPr>
      <w:r>
        <w:rPr>
          <w:rFonts w:hint="eastAsia" w:ascii="宋体" w:hAnsi="宋体" w:cs="宋体"/>
          <w:b/>
          <w:bCs/>
          <w:color w:val="auto"/>
          <w:szCs w:val="21"/>
          <w:highlight w:val="none"/>
        </w:rPr>
        <w:t>费用承担</w:t>
      </w:r>
    </w:p>
    <w:p>
      <w:pPr>
        <w:widowControl/>
        <w:spacing w:line="360" w:lineRule="auto"/>
        <w:ind w:firstLine="420" w:firstLineChars="200"/>
        <w:rPr>
          <w:rFonts w:ascii="宋体" w:hAnsi="宋体" w:cs="宋体"/>
          <w:b/>
          <w:bCs/>
          <w:color w:val="auto"/>
          <w:highlight w:val="none"/>
        </w:rPr>
      </w:pPr>
      <w:r>
        <w:rPr>
          <w:rFonts w:hint="eastAsia" w:ascii="宋体" w:hAnsi="宋体" w:cs="宋体"/>
          <w:color w:val="auto"/>
          <w:szCs w:val="21"/>
          <w:highlight w:val="none"/>
        </w:rPr>
        <w:t>采购人或投诉受理部门</w:t>
      </w:r>
      <w:r>
        <w:rPr>
          <w:rFonts w:hint="eastAsia" w:ascii="宋体" w:hAnsi="宋体" w:cs="宋体"/>
          <w:color w:val="auto"/>
          <w:highlight w:val="none"/>
        </w:rPr>
        <w:t>受理、处理异议/投诉不会向提出人和被异议/投诉人收取任何费用，</w:t>
      </w:r>
      <w:r>
        <w:rPr>
          <w:rFonts w:hint="eastAsia" w:ascii="宋体" w:hAnsi="宋体" w:cs="宋体"/>
          <w:b/>
          <w:bCs/>
          <w:color w:val="auto"/>
          <w:highlight w:val="none"/>
        </w:rPr>
        <w:t>但因处理投诉发生的检测、鉴定费用，应当按照“谁过错谁负担”的原则由过错方负担；提出人和被异议/投诉人都有过错的，由双方合理分担。</w:t>
      </w:r>
      <w:r>
        <w:rPr>
          <w:rFonts w:ascii="宋体" w:hAnsi="宋体" w:cs="宋体"/>
          <w:b/>
          <w:bCs/>
          <w:color w:val="auto"/>
          <w:highlight w:val="none"/>
        </w:rPr>
        <w:t xml:space="preserve"> </w:t>
      </w:r>
    </w:p>
    <w:p>
      <w:pPr>
        <w:numPr>
          <w:ilvl w:val="0"/>
          <w:numId w:val="7"/>
        </w:numPr>
        <w:spacing w:line="360" w:lineRule="auto"/>
        <w:ind w:firstLine="421" w:firstLineChars="200"/>
        <w:rPr>
          <w:rFonts w:ascii="宋体" w:hAnsi="宋体" w:cs="宋体"/>
          <w:b/>
          <w:bCs/>
          <w:color w:val="auto"/>
          <w:szCs w:val="21"/>
          <w:highlight w:val="none"/>
        </w:rPr>
      </w:pPr>
      <w:r>
        <w:rPr>
          <w:rFonts w:hint="eastAsia" w:ascii="宋体" w:hAnsi="宋体" w:cs="宋体"/>
          <w:b/>
          <w:bCs/>
          <w:color w:val="auto"/>
          <w:szCs w:val="21"/>
          <w:highlight w:val="none"/>
        </w:rPr>
        <w:t>保密责任</w:t>
      </w:r>
    </w:p>
    <w:p>
      <w:pPr>
        <w:spacing w:line="360" w:lineRule="auto"/>
        <w:ind w:firstLine="420" w:firstLineChars="200"/>
        <w:rPr>
          <w:rFonts w:ascii="宋体" w:hAnsi="宋体" w:cs="宋体"/>
          <w:color w:val="auto"/>
          <w:szCs w:val="21"/>
          <w:highlight w:val="none"/>
        </w:rPr>
      </w:pPr>
      <w:r>
        <w:rPr>
          <w:rFonts w:hint="eastAsia" w:ascii="宋体" w:hAnsi="宋体" w:cs="宋体"/>
          <w:color w:val="auto"/>
          <w:highlight w:val="none"/>
        </w:rPr>
        <w:t>对在异议/投诉处理过程中知悉的商业秘密及个人隐私等，处理过程中的各方当事人均应严格保密并遵守采购相关保密规定。</w:t>
      </w:r>
    </w:p>
    <w:tbl>
      <w:tblPr>
        <w:tblStyle w:val="27"/>
        <w:tblpPr w:leftFromText="180" w:rightFromText="180" w:vertAnchor="text" w:horzAnchor="page" w:tblpX="2172" w:tblpY="24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0" w:type="dxa"/>
            <w:noWrap w:val="0"/>
            <w:vAlign w:val="top"/>
          </w:tcPr>
          <w:p>
            <w:pPr>
              <w:widowControl/>
              <w:spacing w:line="460" w:lineRule="exact"/>
              <w:ind w:left="315" w:hanging="315" w:hangingChars="150"/>
              <w:rPr>
                <w:rFonts w:hint="eastAsia"/>
                <w:color w:val="auto"/>
                <w:highlight w:val="none"/>
              </w:rPr>
            </w:pPr>
            <w:r>
              <w:rPr>
                <w:rFonts w:hint="eastAsia"/>
                <w:color w:val="auto"/>
                <w:highlight w:val="none"/>
              </w:rPr>
              <w:t>异议材料唯一受理地址：【】</w:t>
            </w:r>
          </w:p>
          <w:p>
            <w:pPr>
              <w:widowControl/>
              <w:spacing w:line="460" w:lineRule="exact"/>
              <w:ind w:left="315" w:hanging="315" w:hangingChars="150"/>
              <w:rPr>
                <w:rFonts w:hint="eastAsia"/>
                <w:color w:val="auto"/>
                <w:highlight w:val="none"/>
              </w:rPr>
            </w:pPr>
            <w:r>
              <w:rPr>
                <w:rFonts w:hint="eastAsia"/>
                <w:color w:val="auto"/>
                <w:highlight w:val="none"/>
              </w:rPr>
              <w:t>联系人：【】</w:t>
            </w:r>
          </w:p>
          <w:p>
            <w:pPr>
              <w:widowControl/>
              <w:spacing w:line="460" w:lineRule="exact"/>
              <w:ind w:left="315" w:hanging="315" w:hangingChars="150"/>
              <w:rPr>
                <w:rFonts w:hint="eastAsia"/>
                <w:color w:val="auto"/>
                <w:highlight w:val="none"/>
              </w:rPr>
            </w:pPr>
            <w:r>
              <w:rPr>
                <w:rFonts w:hint="eastAsia"/>
                <w:color w:val="auto"/>
                <w:highlight w:val="none"/>
              </w:rPr>
              <w:t>联系电话：020-【】</w:t>
            </w:r>
          </w:p>
          <w:p>
            <w:pPr>
              <w:widowControl/>
              <w:spacing w:before="158" w:beforeLines="50" w:after="158" w:afterLines="50" w:line="460" w:lineRule="exact"/>
              <w:rPr>
                <w:rFonts w:hint="eastAsia"/>
                <w:color w:val="auto"/>
                <w:highlight w:val="none"/>
              </w:rPr>
            </w:pPr>
            <w:r>
              <w:rPr>
                <w:rFonts w:hint="eastAsia"/>
                <w:color w:val="auto"/>
                <w:highlight w:val="none"/>
              </w:rPr>
              <w:t>如投标人对异议回复结果不满意，或认为本次采购活动违反法律、法规或规章制度的，可在收到异议回复2个工作日内通过以下途径进行实名投诉：</w:t>
            </w:r>
          </w:p>
          <w:p>
            <w:pPr>
              <w:widowControl/>
              <w:spacing w:line="360" w:lineRule="auto"/>
              <w:ind w:left="315" w:hanging="315" w:hangingChars="150"/>
              <w:rPr>
                <w:color w:val="auto"/>
                <w:highlight w:val="none"/>
              </w:rPr>
            </w:pPr>
            <w:r>
              <w:rPr>
                <w:rFonts w:hint="eastAsia"/>
                <w:color w:val="auto"/>
                <w:highlight w:val="none"/>
              </w:rPr>
              <w:t>投诉受理部门：</w:t>
            </w:r>
            <w:r>
              <w:rPr>
                <w:rFonts w:hint="eastAsia" w:ascii="宋体" w:hAnsi="宋体" w:cs="宋体"/>
                <w:color w:val="auto"/>
                <w:szCs w:val="21"/>
                <w:highlight w:val="none"/>
                <w:shd w:val="clear" w:color="auto" w:fill="FFFFFF"/>
              </w:rPr>
              <w:t>中国南方航空集团有限公司采购管理部业务管理部（法律合规部）</w:t>
            </w:r>
          </w:p>
          <w:p>
            <w:pPr>
              <w:spacing w:line="460" w:lineRule="exact"/>
              <w:rPr>
                <w:rFonts w:hint="eastAsia"/>
                <w:color w:val="auto"/>
                <w:highlight w:val="none"/>
              </w:rPr>
            </w:pPr>
            <w:r>
              <w:rPr>
                <w:rFonts w:hint="eastAsia"/>
                <w:color w:val="auto"/>
                <w:highlight w:val="none"/>
              </w:rPr>
              <w:t>联 系 地 址 ：</w:t>
            </w:r>
            <w:r>
              <w:rPr>
                <w:rFonts w:hint="eastAsia" w:ascii="宋体" w:hAnsi="宋体" w:cs="宋体"/>
                <w:color w:val="auto"/>
                <w:szCs w:val="21"/>
                <w:highlight w:val="none"/>
                <w:shd w:val="clear" w:color="auto" w:fill="FFFFFF"/>
              </w:rPr>
              <w:t>广州市白云区机场路272号</w:t>
            </w:r>
          </w:p>
          <w:p>
            <w:pPr>
              <w:widowControl/>
              <w:spacing w:line="360" w:lineRule="auto"/>
              <w:ind w:left="315" w:hanging="315" w:hangingChars="150"/>
              <w:rPr>
                <w:rFonts w:hint="eastAsia"/>
                <w:color w:val="auto"/>
                <w:highlight w:val="none"/>
              </w:rPr>
            </w:pPr>
            <w:r>
              <w:rPr>
                <w:rFonts w:hint="eastAsia"/>
                <w:color w:val="auto"/>
                <w:highlight w:val="none"/>
              </w:rPr>
              <w:t>联   系  人 ：</w:t>
            </w:r>
            <w:r>
              <w:rPr>
                <w:rFonts w:hint="eastAsia" w:ascii="宋体" w:hAnsi="宋体" w:cs="宋体"/>
                <w:color w:val="auto"/>
                <w:szCs w:val="21"/>
                <w:highlight w:val="none"/>
                <w:shd w:val="clear" w:color="auto" w:fill="FFFFFF"/>
              </w:rPr>
              <w:t>胡女士</w:t>
            </w:r>
          </w:p>
          <w:p>
            <w:pPr>
              <w:pStyle w:val="20"/>
              <w:rPr>
                <w:color w:val="auto"/>
                <w:highlight w:val="none"/>
              </w:rPr>
            </w:pPr>
            <w:r>
              <w:rPr>
                <w:rFonts w:hint="eastAsia"/>
                <w:color w:val="auto"/>
                <w:highlight w:val="none"/>
              </w:rPr>
              <w:t>联 系 电 话 ：</w:t>
            </w:r>
            <w:r>
              <w:rPr>
                <w:rFonts w:hint="eastAsia" w:ascii="宋体" w:hAnsi="宋体" w:cs="宋体"/>
                <w:color w:val="auto"/>
                <w:szCs w:val="21"/>
                <w:highlight w:val="none"/>
                <w:shd w:val="clear" w:color="auto" w:fill="FFFFFF"/>
              </w:rPr>
              <w:t>020-86127707</w:t>
            </w:r>
          </w:p>
        </w:tc>
      </w:tr>
    </w:tbl>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本公司（投标人）已知晓并愿意遵守以上异议</w:t>
      </w:r>
      <w:r>
        <w:rPr>
          <w:rFonts w:hint="eastAsia" w:ascii="宋体" w:hAnsi="宋体" w:cs="宋体"/>
          <w:color w:val="auto"/>
          <w:highlight w:val="none"/>
        </w:rPr>
        <w:t>/投诉</w:t>
      </w:r>
      <w:r>
        <w:rPr>
          <w:rFonts w:hint="eastAsia" w:ascii="宋体" w:hAnsi="宋体" w:cs="宋体"/>
          <w:color w:val="auto"/>
          <w:szCs w:val="21"/>
          <w:highlight w:val="none"/>
        </w:rPr>
        <w:t>的程序及相关规定。承诺在本次招标活动中，如有本指引所述不良行为造成的损失、不良后果及法律责任，一律由本公司（投标人）承担。</w:t>
      </w:r>
    </w:p>
    <w:p>
      <w:pPr>
        <w:spacing w:line="360" w:lineRule="auto"/>
        <w:ind w:firstLine="420" w:firstLineChars="200"/>
        <w:rPr>
          <w:rFonts w:hint="eastAsia" w:ascii="宋体" w:hAnsi="宋体" w:cs="宋体"/>
          <w:color w:val="auto"/>
          <w:szCs w:val="21"/>
          <w:highlight w:val="none"/>
        </w:rPr>
      </w:pPr>
    </w:p>
    <w:p>
      <w:pPr>
        <w:spacing w:line="360" w:lineRule="auto"/>
        <w:ind w:firstLine="3990" w:firstLineChars="1900"/>
        <w:rPr>
          <w:rFonts w:ascii="宋体" w:hAnsi="宋体" w:cs="宋体"/>
          <w:color w:val="auto"/>
          <w:szCs w:val="21"/>
          <w:highlight w:val="none"/>
          <w:u w:val="single"/>
        </w:rPr>
      </w:pPr>
      <w:r>
        <w:rPr>
          <w:rFonts w:hint="eastAsia" w:ascii="宋体" w:hAnsi="宋体" w:cs="宋体"/>
          <w:color w:val="auto"/>
          <w:szCs w:val="21"/>
          <w:highlight w:val="none"/>
        </w:rPr>
        <w:t>投 标 人（单位公章）：</w:t>
      </w:r>
      <w:r>
        <w:rPr>
          <w:rFonts w:hint="eastAsia" w:ascii="宋体" w:hAnsi="宋体" w:cs="宋体"/>
          <w:color w:val="auto"/>
          <w:szCs w:val="21"/>
          <w:highlight w:val="none"/>
          <w:u w:val="single"/>
        </w:rPr>
        <w:t xml:space="preserve">               </w:t>
      </w:r>
    </w:p>
    <w:p>
      <w:pPr>
        <w:ind w:firstLine="3990" w:firstLineChars="1900"/>
        <w:rPr>
          <w:color w:val="auto"/>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bookmarkEnd w:id="622"/>
    <w:bookmarkEnd w:id="623"/>
    <w:bookmarkEnd w:id="624"/>
    <w:bookmarkEnd w:id="625"/>
    <w:bookmarkEnd w:id="626"/>
    <w:bookmarkEnd w:id="627"/>
    <w:bookmarkEnd w:id="628"/>
    <w:bookmarkEnd w:id="629"/>
    <w:bookmarkEnd w:id="630"/>
    <w:bookmarkEnd w:id="631"/>
    <w:bookmarkEnd w:id="632"/>
    <w:bookmarkEnd w:id="633"/>
    <w:bookmarkEnd w:id="634"/>
    <w:p>
      <w:pPr>
        <w:pStyle w:val="4"/>
        <w:pageBreakBefore/>
        <w:spacing w:before="158" w:beforeLines="50" w:after="158" w:afterLines="50" w:line="360" w:lineRule="auto"/>
        <w:ind w:left="0"/>
        <w:jc w:val="center"/>
        <w:rPr>
          <w:rFonts w:hint="eastAsia" w:ascii="宋体" w:hAnsi="宋体" w:cs="宋体"/>
          <w:b/>
          <w:color w:val="auto"/>
          <w:highlight w:val="none"/>
        </w:rPr>
      </w:pPr>
      <w:bookmarkStart w:id="635" w:name="_Toc9725"/>
      <w:bookmarkStart w:id="636" w:name="_Toc15524"/>
      <w:bookmarkStart w:id="637" w:name="_Toc1237946353"/>
      <w:bookmarkStart w:id="638" w:name="_Toc21454"/>
      <w:bookmarkStart w:id="639" w:name="_Toc34646021"/>
      <w:bookmarkStart w:id="640" w:name="_Toc20926"/>
      <w:bookmarkStart w:id="641" w:name="_Toc1551994494"/>
      <w:bookmarkStart w:id="642" w:name="_Toc1259940607"/>
      <w:bookmarkStart w:id="643" w:name="_Toc20186"/>
      <w:bookmarkStart w:id="644" w:name="_Toc19391"/>
      <w:bookmarkStart w:id="645" w:name="_Toc504657645"/>
      <w:bookmarkStart w:id="646" w:name="_Toc29409"/>
      <w:bookmarkStart w:id="647" w:name="_Toc6415"/>
      <w:bookmarkStart w:id="648" w:name="_Toc25733"/>
      <w:bookmarkStart w:id="649" w:name="_Toc8558"/>
      <w:bookmarkStart w:id="650" w:name="_Toc31286"/>
      <w:r>
        <w:rPr>
          <w:rFonts w:hint="eastAsia" w:ascii="宋体" w:hAnsi="宋体" w:cs="宋体"/>
          <w:b/>
          <w:color w:val="auto"/>
          <w:highlight w:val="none"/>
        </w:rPr>
        <w:t>格式十四、限制交易供应商名单制度告知书</w:t>
      </w:r>
      <w:bookmarkEnd w:id="635"/>
      <w:bookmarkEnd w:id="636"/>
      <w:bookmarkEnd w:id="637"/>
      <w:bookmarkEnd w:id="638"/>
      <w:bookmarkEnd w:id="639"/>
      <w:bookmarkEnd w:id="640"/>
      <w:bookmarkEnd w:id="641"/>
      <w:bookmarkEnd w:id="642"/>
    </w:p>
    <w:bookmarkEnd w:id="643"/>
    <w:bookmarkEnd w:id="644"/>
    <w:bookmarkEnd w:id="645"/>
    <w:bookmarkEnd w:id="646"/>
    <w:bookmarkEnd w:id="647"/>
    <w:bookmarkEnd w:id="648"/>
    <w:bookmarkEnd w:id="649"/>
    <w:bookmarkEnd w:id="650"/>
    <w:p>
      <w:pPr>
        <w:widowControl/>
        <w:spacing w:line="500" w:lineRule="exact"/>
        <w:ind w:left="315" w:hanging="315" w:hangingChars="1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各投标人：</w:t>
      </w:r>
    </w:p>
    <w:p>
      <w:pPr>
        <w:spacing w:line="500" w:lineRule="exact"/>
        <w:ind w:firstLine="421"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一、供应商发生下列情况之一，列入Ⅰ级限制交易供应商，限制准入期为1年：</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采购活动中供应商相互串通或者与采购人及采购相关方串通(包括但不限于相互协商报价等实质性内容，约定中选人，约定部分供应商放弃参加采购或者中选，按照同一集团、协会、商会等组织要求协同投标，为谋取中选或者排斥特定供应商而采取联合行动，非法获知标底或评审委员会成员信息等)，因供应商围标/串标行为影响最终中标价，可能导致南航损失100万元（不含）以下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2、因产品（或服务）质量不符合标准，或延期交货，或供应商服务人员未按合同要求及时到位、技术指导不到位或售后服务不到位，给南航造成严重不良影响或较大损失且被追究责任的；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3、没有按照承诺供应承诺品牌、承诺参数的元器件或原材料行为被责任追究的；或提供的产品服务经验收不合格，经过整改后仍不合格且造成严重不良影响或较大损失的；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无正当理由，拒绝或不配合检查，且经相关部门认定造成严重不良影响的或影响工作推进的。包括不限于未按相关部门要求配合调查或访谈的；未按要求提供项目响应文件资料的原件查验；拒绝接受生产设备设施、人员资质查验；拒不答复公司的查验或检查要求等情况；</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5、供应商注册、入库文件资料经查实弄虚作假的；或供应商在项目响应文件资料经查实弄虚作假，情节轻微，对项目评审结果未造成较大影响的；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6、违约转包、分包合同货物情节较轻，占采购量少于30%的；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7、采购领导小组认定为Ⅰ级不良行为的其他情况。</w:t>
      </w:r>
    </w:p>
    <w:p>
      <w:pPr>
        <w:spacing w:line="500" w:lineRule="exact"/>
        <w:ind w:firstLine="421"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二、供应商发生下列情况之一，列入Ⅱ级限制交易供应商，限制准入期为2年：</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1、在采购活动中供应商相互串通或者与采购人及采购相关方串通，因供应商围标/串标行为影响最终中标价，可能导致南航损失100万元（含）以上，200万元（不含）以下的；  </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2、通过与采购人员、评审人员等串通、谋取项目成交，情节轻微的；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虚假、恶意投诉、异议，且经相关部门认定造成不良影响的；虚假、恶意投诉、异议行为包括：提供虚假材料；3年内3次（含）以上不按公司规定程序进行投诉、异议，且投诉、异议事项均无效；3年内3次（含）以上投诉、异议查无实据的；投诉、异议事项已查实且合理答复后，投诉、异议人仍针对同一问题反复3次（含）以上投诉、异议；投诉、异议人拒不配合进行有关调查；</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接到中标或成交通知书后拒绝签署合同，或单方面要求放弃中标资格；或签署合同后，单方面要求终止、解除合同；或在履行合同期间出现纠纷，不进行协商，恶意诉讼或虚假诉讼，经相关单位认定造成不良影响的；或供应商未按合同约定履行，经合同主管单位认定为情节严重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5、违约转包、分包合同货物情节严重，占采购量大于30%（含）少于50%的；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6、采购领导小组认定的Ⅱ级不良行为的其他情况。</w:t>
      </w:r>
    </w:p>
    <w:p>
      <w:pPr>
        <w:spacing w:line="500" w:lineRule="exact"/>
        <w:ind w:firstLine="421" w:firstLineChars="200"/>
        <w:rPr>
          <w:rFonts w:hint="eastAsia" w:ascii="宋体" w:hAnsi="宋体" w:cs="宋体"/>
          <w:color w:val="auto"/>
          <w:szCs w:val="21"/>
          <w:highlight w:val="none"/>
        </w:rPr>
      </w:pPr>
      <w:r>
        <w:rPr>
          <w:rFonts w:hint="eastAsia" w:ascii="宋体" w:hAnsi="宋体" w:cs="宋体"/>
          <w:b/>
          <w:bCs/>
          <w:color w:val="auto"/>
          <w:szCs w:val="21"/>
          <w:highlight w:val="none"/>
        </w:rPr>
        <w:t>三、供应商发生下列情况之一，列入Ⅲ级限制交易供应商，限制准入期为3年：</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1、在采购活动中供应商相互串通或者与采购人及采购相关方串通，因供应商围标/串标行为影响最终中标价，可能导致南航损失200万元（含）以上的；或参与采购项目活动中再次发生围标/串标行为的；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通过与采购人员、评审人员等串通、谋取项目成交，情节严重的；或因供应商为谋求不正当利益，在参与公司采购活动中发生“围猎”、行贿、权力寻租、利益输送等违法行为，造成南航相关人员受到党纪处分、政务处分或公司处分等的；</w:t>
      </w:r>
    </w:p>
    <w:p>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3、项目响应文件资料关键资料（如财务状况、业务资质、合同业绩、发票、产品检测报告等）经查实弄虚作假的；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4、违约转包、分包合同货物情节比较严重，占采购量大于50%（含）的；</w:t>
      </w: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5、采购领导小组认定的Ⅲ级不良行为的其他情况。</w:t>
      </w:r>
    </w:p>
    <w:p>
      <w:pPr>
        <w:spacing w:line="500" w:lineRule="exact"/>
        <w:ind w:firstLine="421" w:firstLineChars="200"/>
        <w:rPr>
          <w:rFonts w:hint="eastAsia" w:ascii="宋体" w:hAnsi="宋体" w:cs="宋体"/>
          <w:color w:val="auto"/>
          <w:szCs w:val="21"/>
          <w:highlight w:val="none"/>
        </w:rPr>
      </w:pPr>
      <w:r>
        <w:rPr>
          <w:rFonts w:hint="eastAsia" w:ascii="宋体" w:hAnsi="宋体" w:cs="宋体"/>
          <w:b/>
          <w:bCs/>
          <w:color w:val="auto"/>
          <w:szCs w:val="21"/>
          <w:highlight w:val="none"/>
        </w:rPr>
        <w:t>四、供应商发生下列情况之一，列入永久限制交易供应商：</w:t>
      </w:r>
    </w:p>
    <w:p>
      <w:pPr>
        <w:spacing w:line="500" w:lineRule="exact"/>
        <w:ind w:firstLine="420" w:firstLineChars="200"/>
        <w:rPr>
          <w:rFonts w:hint="eastAsia"/>
          <w:color w:val="auto"/>
          <w:highlight w:val="none"/>
        </w:rPr>
      </w:pPr>
      <w:r>
        <w:rPr>
          <w:rFonts w:hint="eastAsia" w:ascii="宋体" w:hAnsi="宋体" w:cs="宋体"/>
          <w:color w:val="auto"/>
          <w:szCs w:val="21"/>
          <w:highlight w:val="none"/>
        </w:rPr>
        <w:t>供应商为谋求不正当利益，在参与公司采购活动中发生“围猎”、行贿、权力寻租、利益输送等违法行为，且相关证据材料证实其行为与供应商谋取中标、交易机会或竞争优势相关，造成恶劣影响的，按照受贿行贿一起查原则，行贿人不得与南航再发生业务往来，行贿人所属单位列为永久限制交易供应商，禁止其参加公司所有采购项目。</w:t>
      </w:r>
    </w:p>
    <w:p>
      <w:pPr>
        <w:spacing w:line="500" w:lineRule="exact"/>
        <w:ind w:firstLine="421" w:firstLineChars="200"/>
        <w:rPr>
          <w:rFonts w:ascii="宋体" w:hAnsi="宋体" w:cs="宋体"/>
          <w:b/>
          <w:bCs/>
          <w:color w:val="auto"/>
          <w:szCs w:val="21"/>
          <w:highlight w:val="none"/>
        </w:rPr>
      </w:pPr>
      <w:r>
        <w:rPr>
          <w:rFonts w:hint="eastAsia" w:ascii="宋体" w:hAnsi="宋体" w:cs="宋体"/>
          <w:b/>
          <w:bCs/>
          <w:color w:val="auto"/>
          <w:szCs w:val="21"/>
          <w:highlight w:val="none"/>
        </w:rPr>
        <w:t>已被列入限制交易供应商名单的供应商在限制期内不允许参加南航集团范围（中国南方航空集团有限公司及下属各分、子公司或相关控股公司）内所有采购项目。若供应商存在上述违违法、违规、违反投标过程中各项要求和约定的行为被列入限制交易供应商的，中标（成交）通知书发出前取消中标（成交）资格；中标（成交）通知书已发出的，中标（成交）通知书自动失效且自始无效，供应商无权要求招标人和招标代理机构赔偿损失；已经签订或已在履行的中国南方航空集团有限公司及下属各分、子公司或相关控股公司采购项目合同（或协议），因供应商存在违法、违规、违反投保过程中各项要求和约定的行为被列入限制交易供应商，中国南方航空集团有限公司及下属各分、子公司或相关控股公司可以解除合同并保留追究供应商给中国南方航空集团有限公司及下属各分、子公司或相关控股公司造成的损失和其他相关责任的权利。投标人应保证廉洁、诚信参与项目投标竞标并对此负责，承担因违法、违规、违反投保过程中各项要求和约定所造成的一切后果（包括但不限于：取消中标资格、不予退还投标保证金、解除合同、承担违约责任等）。</w:t>
      </w:r>
    </w:p>
    <w:p>
      <w:pPr>
        <w:widowControl/>
        <w:spacing w:line="360" w:lineRule="auto"/>
        <w:ind w:firstLine="421" w:firstLineChars="150"/>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本投标人已经知悉以上内容，并同意接受相关制度约束。</w:t>
      </w:r>
    </w:p>
    <w:p>
      <w:pPr>
        <w:spacing w:line="360" w:lineRule="auto"/>
        <w:ind w:firstLine="2940" w:firstLineChars="1400"/>
        <w:rPr>
          <w:rFonts w:hint="eastAsia" w:ascii="宋体" w:hAnsi="宋体" w:cs="宋体"/>
          <w:color w:val="auto"/>
          <w:szCs w:val="21"/>
          <w:highlight w:val="none"/>
        </w:rPr>
      </w:pPr>
    </w:p>
    <w:p>
      <w:pPr>
        <w:spacing w:line="360" w:lineRule="auto"/>
        <w:ind w:firstLine="2940" w:firstLineChars="1400"/>
        <w:rPr>
          <w:rFonts w:hint="eastAsia" w:ascii="宋体" w:hAnsi="宋体" w:cs="宋体"/>
          <w:color w:val="auto"/>
          <w:szCs w:val="21"/>
          <w:highlight w:val="none"/>
          <w:u w:val="single"/>
        </w:rPr>
      </w:pPr>
      <w:r>
        <w:rPr>
          <w:rFonts w:hint="eastAsia" w:ascii="宋体" w:hAnsi="宋体" w:cs="宋体"/>
          <w:color w:val="auto"/>
          <w:szCs w:val="21"/>
          <w:highlight w:val="none"/>
        </w:rPr>
        <w:t>投 标 人（单位公章）：</w:t>
      </w:r>
      <w:r>
        <w:rPr>
          <w:rFonts w:hint="eastAsia" w:ascii="宋体" w:hAnsi="宋体" w:cs="宋体"/>
          <w:color w:val="auto"/>
          <w:szCs w:val="21"/>
          <w:highlight w:val="none"/>
          <w:u w:val="single"/>
        </w:rPr>
        <w:t xml:space="preserve">               </w:t>
      </w:r>
    </w:p>
    <w:p>
      <w:pPr>
        <w:spacing w:line="360" w:lineRule="auto"/>
        <w:ind w:firstLine="2940" w:firstLineChars="1400"/>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tabs>
          <w:tab w:val="left" w:pos="557"/>
        </w:tabs>
        <w:spacing w:line="360" w:lineRule="auto"/>
        <w:rPr>
          <w:rFonts w:hint="eastAsia" w:ascii="宋体" w:hAnsi="宋体" w:cs="宋体"/>
          <w:color w:val="auto"/>
          <w:szCs w:val="21"/>
          <w:highlight w:val="none"/>
        </w:rPr>
      </w:pPr>
      <w:r>
        <w:rPr>
          <w:rFonts w:hint="eastAsia" w:ascii="宋体" w:hAnsi="宋体" w:cs="宋体"/>
          <w:color w:val="auto"/>
          <w:szCs w:val="21"/>
          <w:highlight w:val="none"/>
        </w:rPr>
        <w:tab/>
      </w:r>
    </w:p>
    <w:p>
      <w:pPr>
        <w:tabs>
          <w:tab w:val="left" w:pos="557"/>
        </w:tabs>
        <w:spacing w:line="360" w:lineRule="auto"/>
        <w:rPr>
          <w:rFonts w:hint="eastAsia" w:ascii="宋体" w:hAnsi="宋体" w:cs="宋体"/>
          <w:color w:val="auto"/>
          <w:szCs w:val="21"/>
          <w:highlight w:val="none"/>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651" w:name="_Toc19284"/>
      <w:bookmarkStart w:id="652" w:name="_Toc9867"/>
      <w:bookmarkStart w:id="653" w:name="_Toc1784"/>
      <w:bookmarkStart w:id="654" w:name="_Toc504657646"/>
      <w:bookmarkStart w:id="655" w:name="_Toc26701"/>
      <w:bookmarkStart w:id="656" w:name="_Toc12620"/>
      <w:bookmarkStart w:id="657" w:name="_Toc1277"/>
      <w:bookmarkStart w:id="658" w:name="_Toc9200"/>
      <w:bookmarkStart w:id="659" w:name="_Toc1875987747"/>
      <w:bookmarkStart w:id="660" w:name="_Toc18490"/>
      <w:bookmarkStart w:id="661" w:name="_Toc31385"/>
      <w:bookmarkStart w:id="662" w:name="_Toc31660"/>
      <w:bookmarkStart w:id="663" w:name="_Toc2050933176"/>
      <w:bookmarkStart w:id="664" w:name="_Toc1662179685"/>
      <w:bookmarkStart w:id="665" w:name="_Toc34646022"/>
      <w:bookmarkStart w:id="666" w:name="_Toc7599"/>
      <w:r>
        <w:rPr>
          <w:rFonts w:hint="eastAsia" w:ascii="宋体" w:hAnsi="宋体" w:cs="宋体"/>
          <w:b/>
          <w:color w:val="auto"/>
          <w:highlight w:val="none"/>
        </w:rPr>
        <w:t>格式十五、投标人廉洁承诺书</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我公司参与</w:t>
      </w:r>
      <w:r>
        <w:rPr>
          <w:rFonts w:hint="eastAsia" w:ascii="宋体" w:hAnsi="宋体" w:cs="宋体"/>
          <w:b/>
          <w:color w:val="auto"/>
          <w:szCs w:val="21"/>
          <w:highlight w:val="none"/>
          <w:u w:val="single"/>
        </w:rPr>
        <w:t xml:space="preserve">   [项目名称]、[</w:t>
      </w:r>
      <w:r>
        <w:rPr>
          <w:rFonts w:hint="eastAsia" w:ascii="宋体" w:hAnsi="宋体" w:cs="宋体"/>
          <w:b/>
          <w:color w:val="auto"/>
          <w:szCs w:val="21"/>
          <w:highlight w:val="none"/>
          <w:u w:val="single"/>
          <w:lang w:val="en-US" w:eastAsia="zh-CN"/>
        </w:rPr>
        <w:t>项目</w:t>
      </w:r>
      <w:r>
        <w:rPr>
          <w:rFonts w:hint="eastAsia" w:ascii="宋体" w:hAnsi="宋体" w:cs="宋体"/>
          <w:b/>
          <w:color w:val="auto"/>
          <w:szCs w:val="21"/>
          <w:highlight w:val="none"/>
          <w:u w:val="single"/>
        </w:rPr>
        <w:t xml:space="preserve">编号]   </w:t>
      </w:r>
      <w:r>
        <w:rPr>
          <w:rFonts w:hint="eastAsia" w:ascii="宋体" w:hAnsi="宋体" w:cs="宋体"/>
          <w:color w:val="auto"/>
          <w:szCs w:val="21"/>
          <w:highlight w:val="none"/>
        </w:rPr>
        <w:t>项目，根据《中华人民共和国招投标法》，遵循公开、公平、公正和诚实信用的原则，承诺如下：</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一、不向招标代理机构、采购方、评标委员会人员赠送礼品、宴请以及安排旅游、健身、娱乐等活动；</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二、不向上述人员赠送礼金、有价证券、支付凭证；支付、报销应由其负担的费用、票据；提供财物或其它财产性权利；</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三、不与上述人员串通、勾结，泄露商业秘密，干扰公平竞争；</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四、不隐瞒真实情况，提交虚假资质、资信、财务证明等材料；</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五、不与其他投标人相互勾结、串通，通过串标、围标等不正当手段排挤其他竞争者。 </w:t>
      </w:r>
    </w:p>
    <w:p>
      <w:pPr>
        <w:tabs>
          <w:tab w:val="left" w:pos="557"/>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违反上述承诺，我单位自愿接受包括但不限于取消入围供应商资格、中标资格以及终止合同、列入限制交易供应商名单等处理措施，并赔偿招标采购单位全部损失及承担相应的法律责任。任何第三方因我单位违反以上承诺而向招标采购单位索赔或主张权利的，所有责任及后果均由我单位独自承担。</w:t>
      </w:r>
    </w:p>
    <w:p>
      <w:pPr>
        <w:tabs>
          <w:tab w:val="left" w:pos="557"/>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  </w:t>
      </w:r>
    </w:p>
    <w:p>
      <w:pPr>
        <w:tabs>
          <w:tab w:val="left" w:pos="557"/>
        </w:tabs>
        <w:spacing w:line="360" w:lineRule="auto"/>
        <w:ind w:firstLine="420" w:firstLineChars="200"/>
        <w:rPr>
          <w:rFonts w:hint="eastAsia" w:ascii="宋体" w:hAnsi="宋体" w:cs="宋体"/>
          <w:color w:val="auto"/>
          <w:szCs w:val="21"/>
          <w:highlight w:val="none"/>
        </w:rPr>
      </w:pPr>
    </w:p>
    <w:p>
      <w:pPr>
        <w:spacing w:line="360" w:lineRule="auto"/>
        <w:ind w:firstLine="2940" w:firstLineChars="1400"/>
        <w:rPr>
          <w:rFonts w:hint="eastAsia" w:ascii="宋体" w:hAnsi="宋体" w:cs="宋体"/>
          <w:color w:val="auto"/>
          <w:szCs w:val="21"/>
          <w:highlight w:val="none"/>
          <w:u w:val="single"/>
        </w:rPr>
      </w:pPr>
      <w:r>
        <w:rPr>
          <w:rFonts w:hint="eastAsia" w:ascii="宋体" w:hAnsi="宋体" w:cs="宋体"/>
          <w:color w:val="auto"/>
          <w:szCs w:val="21"/>
          <w:highlight w:val="none"/>
        </w:rPr>
        <w:t>投 标 人（单位公章）：</w:t>
      </w:r>
      <w:r>
        <w:rPr>
          <w:rFonts w:hint="eastAsia" w:ascii="宋体" w:hAnsi="宋体" w:cs="宋体"/>
          <w:color w:val="auto"/>
          <w:szCs w:val="21"/>
          <w:highlight w:val="none"/>
          <w:u w:val="single"/>
        </w:rPr>
        <w:t xml:space="preserve">               </w:t>
      </w:r>
    </w:p>
    <w:p>
      <w:pPr>
        <w:spacing w:line="360" w:lineRule="auto"/>
        <w:ind w:firstLine="2940" w:firstLineChars="1400"/>
        <w:rPr>
          <w:rFonts w:hint="eastAsia" w:ascii="宋体" w:hAnsi="宋体" w:cs="宋体"/>
          <w:color w:val="auto"/>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360" w:lineRule="auto"/>
        <w:rPr>
          <w:rFonts w:hint="eastAsia" w:ascii="宋体" w:hAnsi="宋体" w:cs="宋体"/>
          <w:b/>
          <w:color w:val="auto"/>
          <w:highlight w:val="none"/>
        </w:rPr>
      </w:pPr>
    </w:p>
    <w:p>
      <w:pPr>
        <w:spacing w:line="360" w:lineRule="auto"/>
        <w:rPr>
          <w:rFonts w:hint="eastAsia" w:ascii="宋体" w:hAnsi="宋体" w:cs="宋体"/>
          <w:b/>
          <w:color w:val="auto"/>
          <w:sz w:val="28"/>
          <w:highlight w:val="none"/>
        </w:rPr>
      </w:pPr>
    </w:p>
    <w:p>
      <w:pPr>
        <w:spacing w:line="360" w:lineRule="auto"/>
        <w:rPr>
          <w:rFonts w:hint="eastAsia" w:ascii="宋体" w:hAnsi="宋体" w:cs="宋体"/>
          <w:b/>
          <w:color w:val="auto"/>
          <w:highlight w:val="none"/>
        </w:rPr>
      </w:pPr>
    </w:p>
    <w:p>
      <w:pPr>
        <w:spacing w:line="360" w:lineRule="auto"/>
        <w:rPr>
          <w:rFonts w:hint="eastAsia" w:ascii="宋体" w:hAnsi="宋体" w:cs="宋体"/>
          <w:b/>
          <w:color w:val="auto"/>
          <w:highlight w:val="none"/>
        </w:rPr>
      </w:pPr>
    </w:p>
    <w:p>
      <w:pPr>
        <w:spacing w:line="360" w:lineRule="auto"/>
        <w:rPr>
          <w:rFonts w:hint="eastAsia" w:ascii="宋体" w:hAnsi="宋体" w:cs="宋体"/>
          <w:b/>
          <w:color w:val="auto"/>
          <w:sz w:val="28"/>
          <w:highlight w:val="none"/>
        </w:rPr>
      </w:pPr>
    </w:p>
    <w:p>
      <w:pPr>
        <w:pStyle w:val="5"/>
        <w:spacing w:line="360" w:lineRule="auto"/>
        <w:ind w:firstLine="562"/>
        <w:rPr>
          <w:rFonts w:hint="eastAsia" w:ascii="宋体" w:hAnsi="宋体" w:cs="宋体"/>
          <w:b/>
          <w:color w:val="auto"/>
          <w:sz w:val="28"/>
          <w:highlight w:val="none"/>
        </w:rPr>
      </w:pPr>
    </w:p>
    <w:p>
      <w:pPr>
        <w:spacing w:before="158" w:beforeLines="50" w:after="158" w:afterLines="50" w:line="360" w:lineRule="auto"/>
        <w:ind w:firstLine="3933" w:firstLineChars="1900"/>
        <w:rPr>
          <w:rFonts w:hint="eastAsia" w:ascii="宋体" w:hAnsi="宋体" w:cs="宋体"/>
          <w:color w:val="auto"/>
          <w:w w:val="99"/>
          <w:szCs w:val="21"/>
          <w:highlight w:val="none"/>
        </w:rPr>
      </w:pPr>
    </w:p>
    <w:p>
      <w:pPr>
        <w:pStyle w:val="20"/>
        <w:rPr>
          <w:rFonts w:hint="eastAsia" w:ascii="宋体" w:hAnsi="宋体" w:cs="宋体"/>
          <w:color w:val="auto"/>
          <w:w w:val="99"/>
          <w:szCs w:val="21"/>
          <w:highlight w:val="none"/>
        </w:rPr>
      </w:pPr>
    </w:p>
    <w:p>
      <w:pPr>
        <w:tabs>
          <w:tab w:val="left" w:pos="1273"/>
        </w:tabs>
        <w:bidi w:val="0"/>
        <w:jc w:val="left"/>
        <w:rPr>
          <w:rFonts w:hint="eastAsia" w:eastAsia="宋体"/>
          <w:color w:val="auto"/>
          <w:highlight w:val="none"/>
          <w:lang w:eastAsia="zh-CN"/>
        </w:rPr>
      </w:pPr>
    </w:p>
    <w:p>
      <w:pPr>
        <w:pStyle w:val="4"/>
        <w:pageBreakBefore/>
        <w:spacing w:before="158" w:beforeLines="50" w:after="158" w:afterLines="50" w:line="360" w:lineRule="auto"/>
        <w:ind w:left="0"/>
        <w:jc w:val="center"/>
        <w:rPr>
          <w:rFonts w:hint="eastAsia" w:ascii="宋体" w:hAnsi="宋体" w:cs="宋体"/>
          <w:b/>
          <w:color w:val="auto"/>
          <w:highlight w:val="none"/>
        </w:rPr>
      </w:pPr>
      <w:bookmarkStart w:id="667" w:name="_Toc473434143"/>
      <w:bookmarkStart w:id="668" w:name="_Toc1868443076"/>
      <w:bookmarkStart w:id="669" w:name="_Toc11508"/>
      <w:bookmarkStart w:id="670" w:name="_Toc26754"/>
      <w:bookmarkStart w:id="671" w:name="_Toc18970"/>
      <w:bookmarkStart w:id="672" w:name="_Toc71279161"/>
      <w:bookmarkStart w:id="673" w:name="_Toc667568847"/>
      <w:bookmarkStart w:id="674" w:name="_Toc34646023"/>
      <w:r>
        <w:rPr>
          <w:rFonts w:hint="eastAsia" w:ascii="宋体" w:hAnsi="宋体" w:cs="宋体"/>
          <w:b/>
          <w:color w:val="auto"/>
          <w:highlight w:val="none"/>
        </w:rPr>
        <w:t>格式十六、采购项目样品寄存承诺函</w:t>
      </w:r>
      <w:bookmarkEnd w:id="667"/>
      <w:bookmarkEnd w:id="668"/>
      <w:bookmarkEnd w:id="669"/>
      <w:bookmarkEnd w:id="670"/>
      <w:bookmarkEnd w:id="671"/>
      <w:bookmarkEnd w:id="672"/>
      <w:bookmarkEnd w:id="673"/>
      <w:bookmarkEnd w:id="674"/>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中国南航集团进出口贸易有限公司：</w:t>
      </w:r>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我单位是</w:t>
      </w:r>
      <w:r>
        <w:rPr>
          <w:rFonts w:hint="eastAsia" w:ascii="宋体" w:hAnsi="宋体" w:cs="宋体"/>
          <w:bCs/>
          <w:color w:val="auto"/>
          <w:szCs w:val="21"/>
          <w:highlight w:val="none"/>
          <w:u w:val="single"/>
        </w:rPr>
        <w:t xml:space="preserve">    （供应商全称）      </w:t>
      </w:r>
      <w:r>
        <w:rPr>
          <w:rFonts w:hint="eastAsia" w:ascii="宋体" w:hAnsi="宋体" w:cs="宋体"/>
          <w:bCs/>
          <w:color w:val="auto"/>
          <w:szCs w:val="21"/>
          <w:highlight w:val="none"/>
        </w:rPr>
        <w:t>，在贵单位参加项目编号为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，项目名称为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的采购项目， 现我单位就该项目样品相关事宜承诺如下：</w:t>
      </w:r>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一、我单位将于该项目采购结果公告在中国南方航空采购招标网（http://csbidding.csair.com）发布结束之日起5个工作日内将所递交样品撤离贵单位样品存放区（采购文件有其他规定或中标后采购人另行通知的除外）；</w:t>
      </w:r>
    </w:p>
    <w:p>
      <w:pPr>
        <w:spacing w:line="360" w:lineRule="auto"/>
        <w:ind w:firstLine="420" w:firstLineChars="200"/>
        <w:rPr>
          <w:rFonts w:hint="eastAsia" w:ascii="宋体" w:hAnsi="宋体" w:cs="宋体"/>
          <w:bCs/>
          <w:i w:val="0"/>
          <w:iCs w:val="0"/>
          <w:color w:val="auto"/>
          <w:szCs w:val="21"/>
          <w:highlight w:val="none"/>
        </w:rPr>
      </w:pPr>
      <w:r>
        <w:rPr>
          <w:rFonts w:hint="eastAsia" w:ascii="宋体" w:hAnsi="宋体" w:cs="宋体"/>
          <w:bCs/>
          <w:color w:val="auto"/>
          <w:szCs w:val="21"/>
          <w:highlight w:val="none"/>
        </w:rPr>
        <w:t>二、若我单位在该项目中未中标（成交），则我单位将于中标（成交）结果公告后5个工作日内将所递交样品撤离贵单位样品存放区，样品撤离方式是（</w:t>
      </w:r>
      <w:r>
        <w:rPr>
          <w:rFonts w:hint="eastAsia" w:ascii="宋体" w:hAnsi="宋体" w:cs="宋体"/>
          <w:bCs/>
          <w:color w:val="auto"/>
          <w:szCs w:val="21"/>
          <w:highlight w:val="none"/>
        </w:rPr>
        <w:sym w:font="Wingdings 2" w:char="00A3"/>
      </w:r>
      <w:r>
        <w:rPr>
          <w:rFonts w:hint="eastAsia" w:ascii="宋体" w:hAnsi="宋体" w:cs="宋体"/>
          <w:bCs/>
          <w:color w:val="auto"/>
          <w:szCs w:val="21"/>
          <w:highlight w:val="none"/>
        </w:rPr>
        <w:t xml:space="preserve">自行取回  </w:t>
      </w:r>
      <w:r>
        <w:rPr>
          <w:rFonts w:hint="eastAsia" w:ascii="宋体" w:hAnsi="宋体" w:cs="宋体"/>
          <w:bCs/>
          <w:color w:val="auto"/>
          <w:szCs w:val="21"/>
          <w:highlight w:val="none"/>
        </w:rPr>
        <w:sym w:font="Wingdings 2" w:char="00A3"/>
      </w:r>
      <w:r>
        <w:rPr>
          <w:rFonts w:hint="eastAsia" w:ascii="宋体" w:hAnsi="宋体" w:cs="宋体"/>
          <w:bCs/>
          <w:color w:val="auto"/>
          <w:szCs w:val="21"/>
          <w:highlight w:val="none"/>
        </w:rPr>
        <w:t>邮寄到付，邮寄地址及联系人、电话：</w:t>
      </w:r>
      <w:r>
        <w:rPr>
          <w:rFonts w:hint="eastAsia" w:ascii="宋体" w:hAnsi="宋体" w:cs="宋体"/>
          <w:bCs/>
          <w:i w:val="0"/>
          <w:iCs w:val="0"/>
          <w:color w:val="auto"/>
          <w:szCs w:val="21"/>
          <w:highlight w:val="none"/>
          <w:u w:val="single"/>
        </w:rPr>
        <w:t>（请填地址、联系人、电话）</w:t>
      </w:r>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三、若我单位逾期未按规定撤离样品或提供的邮寄相关信息无效的，贵单位有权视为我单位放弃该样品的所有权及与之相关的一切权益，我单位同意贵单位对之做出任意处置。</w:t>
      </w:r>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特此承诺！</w:t>
      </w:r>
    </w:p>
    <w:p>
      <w:pPr>
        <w:spacing w:line="360" w:lineRule="auto"/>
        <w:ind w:firstLine="420" w:firstLineChars="200"/>
        <w:rPr>
          <w:rFonts w:hint="eastAsia" w:ascii="宋体" w:hAnsi="宋体" w:cs="宋体"/>
          <w:bCs/>
          <w:color w:val="auto"/>
          <w:szCs w:val="21"/>
          <w:highlight w:val="none"/>
        </w:rPr>
      </w:pPr>
    </w:p>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投 标 人（单位公章）：</w:t>
      </w:r>
    </w:p>
    <w:p>
      <w:pPr>
        <w:spacing w:line="360" w:lineRule="auto"/>
        <w:rPr>
          <w:rFonts w:hint="eastAsia" w:ascii="宋体" w:hAnsi="宋体" w:cs="宋体"/>
          <w:bCs/>
          <w:color w:val="auto"/>
          <w:szCs w:val="21"/>
          <w:highlight w:val="none"/>
        </w:rPr>
      </w:pP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联系电话：</w:t>
      </w:r>
    </w:p>
    <w:p>
      <w:pPr>
        <w:spacing w:line="360" w:lineRule="auto"/>
        <w:rPr>
          <w:rFonts w:hint="eastAsia" w:ascii="宋体" w:hAnsi="宋体" w:cs="宋体"/>
          <w:bCs/>
          <w:color w:val="auto"/>
          <w:szCs w:val="21"/>
          <w:highlight w:val="none"/>
        </w:rPr>
      </w:pP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年  月   日</w:t>
      </w:r>
    </w:p>
    <w:p>
      <w:pPr>
        <w:spacing w:line="360" w:lineRule="auto"/>
        <w:ind w:left="360" w:right="360" w:firstLine="3570" w:firstLineChars="1700"/>
        <w:rPr>
          <w:rFonts w:hint="eastAsia" w:ascii="宋体" w:hAnsi="宋体" w:cs="宋体"/>
          <w:color w:val="auto"/>
          <w:szCs w:val="21"/>
          <w:highlight w:val="none"/>
        </w:rPr>
      </w:pPr>
      <w:r>
        <w:rPr>
          <w:rFonts w:hint="eastAsia" w:ascii="宋体" w:hAnsi="宋体" w:cs="宋体"/>
          <w:color w:val="auto"/>
          <w:szCs w:val="21"/>
          <w:highlight w:val="none"/>
        </w:rPr>
        <w:t xml:space="preserve">    </w:t>
      </w:r>
    </w:p>
    <w:p>
      <w:pPr>
        <w:pStyle w:val="20"/>
        <w:rPr>
          <w:rFonts w:hint="eastAsia" w:ascii="宋体" w:hAnsi="宋体" w:cs="宋体"/>
          <w:color w:val="auto"/>
          <w:szCs w:val="21"/>
          <w:highlight w:val="none"/>
        </w:rPr>
      </w:pPr>
    </w:p>
    <w:p>
      <w:pPr>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rPr>
          <w:rFonts w:hint="eastAsia" w:ascii="宋体" w:hAnsi="宋体" w:cs="宋体"/>
          <w:color w:val="auto"/>
          <w:szCs w:val="21"/>
          <w:highlight w:val="none"/>
        </w:rPr>
      </w:pPr>
    </w:p>
    <w:p>
      <w:pPr>
        <w:pageBreakBefore/>
        <w:spacing w:line="360" w:lineRule="auto"/>
        <w:jc w:val="center"/>
        <w:rPr>
          <w:rFonts w:hint="eastAsia" w:ascii="宋体" w:hAnsi="宋体" w:cs="宋体"/>
          <w:b/>
          <w:bCs/>
          <w:color w:val="auto"/>
          <w:sz w:val="32"/>
          <w:szCs w:val="32"/>
          <w:highlight w:val="none"/>
        </w:rPr>
      </w:pPr>
      <w:bookmarkStart w:id="675" w:name="_Toc1774761503"/>
      <w:bookmarkStart w:id="676" w:name="_Toc10131"/>
      <w:bookmarkStart w:id="677" w:name="_Toc424920111"/>
      <w:bookmarkStart w:id="678" w:name="_Toc34646024"/>
      <w:bookmarkStart w:id="679" w:name="_Toc17358"/>
      <w:bookmarkStart w:id="680" w:name="_Toc18855"/>
      <w:bookmarkStart w:id="681" w:name="_Toc681259720"/>
      <w:r>
        <w:rPr>
          <w:rStyle w:val="44"/>
          <w:rFonts w:hint="eastAsia" w:ascii="宋体" w:hAnsi="宋体" w:cs="宋体"/>
          <w:b/>
          <w:bCs/>
          <w:color w:val="auto"/>
          <w:highlight w:val="none"/>
        </w:rPr>
        <w:t>格式十七、采购项目样品清单</w:t>
      </w:r>
      <w:bookmarkEnd w:id="675"/>
      <w:bookmarkEnd w:id="676"/>
      <w:bookmarkEnd w:id="677"/>
      <w:bookmarkEnd w:id="678"/>
      <w:bookmarkEnd w:id="679"/>
      <w:bookmarkEnd w:id="680"/>
      <w:bookmarkEnd w:id="681"/>
    </w:p>
    <w:tbl>
      <w:tblPr>
        <w:tblStyle w:val="27"/>
        <w:tblpPr w:leftFromText="180" w:rightFromText="180" w:vertAnchor="text" w:horzAnchor="page" w:tblpX="1983" w:tblpY="632"/>
        <w:tblOverlap w:val="never"/>
        <w:tblW w:w="0" w:type="auto"/>
        <w:tblInd w:w="0" w:type="dxa"/>
        <w:tblLayout w:type="fixed"/>
        <w:tblCellMar>
          <w:top w:w="0" w:type="dxa"/>
          <w:left w:w="0" w:type="dxa"/>
          <w:bottom w:w="0" w:type="dxa"/>
          <w:right w:w="0" w:type="dxa"/>
        </w:tblCellMar>
      </w:tblPr>
      <w:tblGrid>
        <w:gridCol w:w="2255"/>
        <w:gridCol w:w="1947"/>
        <w:gridCol w:w="1963"/>
        <w:gridCol w:w="2116"/>
      </w:tblGrid>
      <w:tr>
        <w:tblPrEx>
          <w:tblCellMar>
            <w:top w:w="0" w:type="dxa"/>
            <w:left w:w="0" w:type="dxa"/>
            <w:bottom w:w="0" w:type="dxa"/>
            <w:right w:w="0" w:type="dxa"/>
          </w:tblCellMar>
        </w:tblPrEx>
        <w:trPr>
          <w:trHeight w:val="90" w:hRule="atLeast"/>
        </w:trPr>
        <w:tc>
          <w:tcPr>
            <w:tcW w:w="2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360" w:lineRule="auto"/>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项目名称及编号</w:t>
            </w:r>
          </w:p>
        </w:tc>
        <w:tc>
          <w:tcPr>
            <w:tcW w:w="6026"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（此栏供应商填写）</w:t>
            </w:r>
          </w:p>
        </w:tc>
      </w:tr>
      <w:tr>
        <w:tblPrEx>
          <w:tblCellMar>
            <w:top w:w="0" w:type="dxa"/>
            <w:left w:w="0" w:type="dxa"/>
            <w:bottom w:w="0" w:type="dxa"/>
            <w:right w:w="0" w:type="dxa"/>
          </w:tblCellMar>
        </w:tblPrEx>
        <w:trPr>
          <w:trHeight w:val="920" w:hRule="atLeast"/>
        </w:trPr>
        <w:tc>
          <w:tcPr>
            <w:tcW w:w="2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napToGrid w:val="0"/>
              <w:spacing w:line="360" w:lineRule="auto"/>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供应商名称及联系人</w:t>
            </w:r>
            <w:r>
              <w:rPr>
                <w:rStyle w:val="46"/>
                <w:rFonts w:hint="default" w:ascii="宋体" w:hAnsi="宋体" w:eastAsia="宋体" w:cs="宋体"/>
                <w:color w:val="auto"/>
                <w:sz w:val="21"/>
                <w:szCs w:val="21"/>
                <w:highlight w:val="none"/>
                <w:lang w:bidi="ar"/>
              </w:rPr>
              <w:br w:type="textWrapping"/>
            </w:r>
            <w:r>
              <w:rPr>
                <w:rStyle w:val="47"/>
                <w:rFonts w:hint="default" w:ascii="宋体" w:hAnsi="宋体" w:eastAsia="宋体" w:cs="宋体"/>
                <w:i w:val="0"/>
                <w:color w:val="auto"/>
                <w:sz w:val="21"/>
                <w:szCs w:val="21"/>
                <w:highlight w:val="none"/>
                <w:lang w:bidi="ar"/>
              </w:rPr>
              <w:t>（盲评项目不填）</w:t>
            </w:r>
          </w:p>
        </w:tc>
        <w:tc>
          <w:tcPr>
            <w:tcW w:w="6026"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（此栏供应商填写）</w:t>
            </w:r>
          </w:p>
        </w:tc>
      </w:tr>
      <w:tr>
        <w:tblPrEx>
          <w:tblCellMar>
            <w:top w:w="0" w:type="dxa"/>
            <w:left w:w="0" w:type="dxa"/>
            <w:bottom w:w="0" w:type="dxa"/>
            <w:right w:w="0" w:type="dxa"/>
          </w:tblCellMar>
        </w:tblPrEx>
        <w:trPr>
          <w:trHeight w:val="474" w:hRule="atLeast"/>
        </w:trPr>
        <w:tc>
          <w:tcPr>
            <w:tcW w:w="2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napToGrid w:val="0"/>
              <w:spacing w:line="360" w:lineRule="auto"/>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联系地址及方式</w:t>
            </w:r>
          </w:p>
        </w:tc>
        <w:tc>
          <w:tcPr>
            <w:tcW w:w="6026"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（此栏供应商填写）</w:t>
            </w:r>
          </w:p>
        </w:tc>
      </w:tr>
      <w:tr>
        <w:tblPrEx>
          <w:tblCellMar>
            <w:top w:w="0" w:type="dxa"/>
            <w:left w:w="0" w:type="dxa"/>
            <w:bottom w:w="0" w:type="dxa"/>
            <w:right w:w="0" w:type="dxa"/>
          </w:tblCellMar>
        </w:tblPrEx>
        <w:trPr>
          <w:trHeight w:val="592" w:hRule="atLeast"/>
        </w:trPr>
        <w:tc>
          <w:tcPr>
            <w:tcW w:w="2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napToGrid w:val="0"/>
              <w:spacing w:line="360" w:lineRule="auto"/>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提交时间</w:t>
            </w:r>
          </w:p>
        </w:tc>
        <w:tc>
          <w:tcPr>
            <w:tcW w:w="6026"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（此栏供应商填写）</w:t>
            </w:r>
          </w:p>
        </w:tc>
      </w:tr>
      <w:tr>
        <w:tblPrEx>
          <w:tblCellMar>
            <w:top w:w="0" w:type="dxa"/>
            <w:left w:w="0" w:type="dxa"/>
            <w:bottom w:w="0" w:type="dxa"/>
            <w:right w:w="0" w:type="dxa"/>
          </w:tblCellMar>
        </w:tblPrEx>
        <w:trPr>
          <w:trHeight w:val="1270" w:hRule="atLeast"/>
        </w:trPr>
        <w:tc>
          <w:tcPr>
            <w:tcW w:w="2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napToGrid w:val="0"/>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样品名称</w:t>
            </w:r>
          </w:p>
          <w:p>
            <w:pPr>
              <w:widowControl/>
              <w:snapToGrid w:val="0"/>
              <w:spacing w:line="360" w:lineRule="auto"/>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（由供应商根据实际样品名称填写）</w:t>
            </w:r>
          </w:p>
        </w:tc>
        <w:tc>
          <w:tcPr>
            <w:tcW w:w="19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360" w:lineRule="auto"/>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（样品1）</w:t>
            </w:r>
          </w:p>
        </w:tc>
        <w:tc>
          <w:tcPr>
            <w:tcW w:w="196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360" w:lineRule="auto"/>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（样品2）</w:t>
            </w:r>
          </w:p>
        </w:tc>
        <w:tc>
          <w:tcPr>
            <w:tcW w:w="21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360" w:lineRule="auto"/>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（样品3）</w:t>
            </w:r>
          </w:p>
        </w:tc>
      </w:tr>
      <w:tr>
        <w:tblPrEx>
          <w:tblCellMar>
            <w:top w:w="0" w:type="dxa"/>
            <w:left w:w="0" w:type="dxa"/>
            <w:bottom w:w="0" w:type="dxa"/>
            <w:right w:w="0" w:type="dxa"/>
          </w:tblCellMar>
        </w:tblPrEx>
        <w:trPr>
          <w:trHeight w:val="1220" w:hRule="atLeast"/>
        </w:trPr>
        <w:tc>
          <w:tcPr>
            <w:tcW w:w="2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napToGrid w:val="0"/>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样品数量</w:t>
            </w:r>
          </w:p>
          <w:p>
            <w:pPr>
              <w:widowControl/>
              <w:snapToGrid w:val="0"/>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（由供应商填写）</w:t>
            </w:r>
          </w:p>
        </w:tc>
        <w:tc>
          <w:tcPr>
            <w:tcW w:w="1947" w:type="dxa"/>
            <w:tcBorders>
              <w:top w:val="single" w:color="000000" w:sz="4" w:space="0"/>
              <w:left w:val="single" w:color="000000" w:sz="4" w:space="0"/>
              <w:right w:val="single" w:color="000000" w:sz="4" w:space="0"/>
            </w:tcBorders>
            <w:noWrap w:val="0"/>
            <w:tcMar>
              <w:top w:w="15" w:type="dxa"/>
              <w:left w:w="15" w:type="dxa"/>
              <w:right w:w="15" w:type="dxa"/>
            </w:tcMar>
            <w:vAlign w:val="center"/>
          </w:tcPr>
          <w:p>
            <w:pPr>
              <w:spacing w:line="360" w:lineRule="auto"/>
              <w:rPr>
                <w:rFonts w:hint="eastAsia" w:ascii="宋体" w:hAnsi="宋体" w:cs="宋体"/>
                <w:color w:val="auto"/>
                <w:szCs w:val="21"/>
                <w:highlight w:val="none"/>
              </w:rPr>
            </w:pPr>
          </w:p>
        </w:tc>
        <w:tc>
          <w:tcPr>
            <w:tcW w:w="1963" w:type="dxa"/>
            <w:tcBorders>
              <w:top w:val="single" w:color="000000" w:sz="4" w:space="0"/>
              <w:left w:val="single" w:color="000000" w:sz="4" w:space="0"/>
              <w:right w:val="single" w:color="000000" w:sz="4" w:space="0"/>
            </w:tcBorders>
            <w:noWrap w:val="0"/>
            <w:tcMar>
              <w:top w:w="15" w:type="dxa"/>
              <w:left w:w="15" w:type="dxa"/>
              <w:right w:w="15" w:type="dxa"/>
            </w:tcMar>
            <w:vAlign w:val="center"/>
          </w:tcPr>
          <w:p>
            <w:pPr>
              <w:spacing w:line="360" w:lineRule="auto"/>
              <w:rPr>
                <w:rFonts w:hint="eastAsia" w:ascii="宋体" w:hAnsi="宋体" w:cs="宋体"/>
                <w:color w:val="auto"/>
                <w:szCs w:val="21"/>
                <w:highlight w:val="none"/>
              </w:rPr>
            </w:pPr>
          </w:p>
        </w:tc>
        <w:tc>
          <w:tcPr>
            <w:tcW w:w="21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rPr>
                <w:rFonts w:hint="eastAsia" w:ascii="宋体" w:hAnsi="宋体" w:cs="宋体"/>
                <w:color w:val="auto"/>
                <w:szCs w:val="21"/>
                <w:highlight w:val="none"/>
              </w:rPr>
            </w:pPr>
          </w:p>
        </w:tc>
      </w:tr>
      <w:tr>
        <w:tblPrEx>
          <w:tblCellMar>
            <w:top w:w="0" w:type="dxa"/>
            <w:left w:w="0" w:type="dxa"/>
            <w:bottom w:w="0" w:type="dxa"/>
            <w:right w:w="0" w:type="dxa"/>
          </w:tblCellMar>
        </w:tblPrEx>
        <w:trPr>
          <w:trHeight w:val="1078" w:hRule="atLeast"/>
        </w:trPr>
        <w:tc>
          <w:tcPr>
            <w:tcW w:w="2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napToGrid w:val="0"/>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样品规格型号</w:t>
            </w:r>
          </w:p>
          <w:p>
            <w:pPr>
              <w:widowControl/>
              <w:snapToGrid w:val="0"/>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（由供应商填写）</w:t>
            </w:r>
          </w:p>
        </w:tc>
        <w:tc>
          <w:tcPr>
            <w:tcW w:w="19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360" w:lineRule="auto"/>
              <w:jc w:val="center"/>
              <w:textAlignment w:val="center"/>
              <w:rPr>
                <w:rFonts w:hint="eastAsia" w:ascii="宋体" w:hAnsi="宋体" w:cs="宋体"/>
                <w:color w:val="auto"/>
                <w:szCs w:val="21"/>
                <w:highlight w:val="none"/>
              </w:rPr>
            </w:pPr>
          </w:p>
        </w:tc>
        <w:tc>
          <w:tcPr>
            <w:tcW w:w="196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360" w:lineRule="auto"/>
              <w:jc w:val="center"/>
              <w:textAlignment w:val="center"/>
              <w:rPr>
                <w:rFonts w:hint="eastAsia" w:ascii="宋体" w:hAnsi="宋体" w:cs="宋体"/>
                <w:color w:val="auto"/>
                <w:szCs w:val="21"/>
                <w:highlight w:val="none"/>
              </w:rPr>
            </w:pPr>
          </w:p>
        </w:tc>
        <w:tc>
          <w:tcPr>
            <w:tcW w:w="21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360" w:lineRule="auto"/>
              <w:jc w:val="center"/>
              <w:textAlignment w:val="center"/>
              <w:rPr>
                <w:rFonts w:hint="eastAsia" w:ascii="宋体" w:hAnsi="宋体" w:cs="宋体"/>
                <w:color w:val="auto"/>
                <w:szCs w:val="21"/>
                <w:highlight w:val="none"/>
              </w:rPr>
            </w:pPr>
          </w:p>
        </w:tc>
      </w:tr>
      <w:tr>
        <w:tblPrEx>
          <w:tblCellMar>
            <w:top w:w="0" w:type="dxa"/>
            <w:left w:w="0" w:type="dxa"/>
            <w:bottom w:w="0" w:type="dxa"/>
            <w:right w:w="0" w:type="dxa"/>
          </w:tblCellMar>
        </w:tblPrEx>
        <w:trPr>
          <w:trHeight w:val="1121" w:hRule="atLeast"/>
        </w:trPr>
        <w:tc>
          <w:tcPr>
            <w:tcW w:w="2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napToGrid w:val="0"/>
              <w:spacing w:line="360" w:lineRule="auto"/>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供应商单位盖章</w:t>
            </w:r>
          </w:p>
        </w:tc>
        <w:tc>
          <w:tcPr>
            <w:tcW w:w="6026"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pPr>
              <w:widowControl/>
              <w:spacing w:line="360" w:lineRule="auto"/>
              <w:jc w:val="left"/>
              <w:textAlignment w:val="bottom"/>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           日期：</w:t>
            </w:r>
          </w:p>
        </w:tc>
      </w:tr>
      <w:tr>
        <w:tblPrEx>
          <w:tblCellMar>
            <w:top w:w="0" w:type="dxa"/>
            <w:left w:w="0" w:type="dxa"/>
            <w:bottom w:w="0" w:type="dxa"/>
            <w:right w:w="0" w:type="dxa"/>
          </w:tblCellMar>
        </w:tblPrEx>
        <w:trPr>
          <w:trHeight w:val="1001" w:hRule="atLeast"/>
        </w:trPr>
        <w:tc>
          <w:tcPr>
            <w:tcW w:w="8281"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360" w:lineRule="auto"/>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注：1、该表格随样品一同递交；2、供应商放弃取回样品时，样品处置由采购人根据南航《采购项目样品管理办法》执行。</w:t>
            </w:r>
          </w:p>
        </w:tc>
      </w:tr>
    </w:tbl>
    <w:p>
      <w:pPr>
        <w:spacing w:line="360" w:lineRule="auto"/>
        <w:rPr>
          <w:rFonts w:hint="eastAsia" w:ascii="宋体" w:hAnsi="宋体" w:cs="宋体"/>
          <w:b/>
          <w:bCs/>
          <w:color w:val="auto"/>
          <w:kern w:val="0"/>
          <w:sz w:val="32"/>
          <w:szCs w:val="32"/>
          <w:highlight w:val="none"/>
          <w:lang w:bidi="ar"/>
        </w:rPr>
      </w:pPr>
    </w:p>
    <w:p>
      <w:pPr>
        <w:spacing w:before="158" w:beforeLines="50" w:after="158" w:afterLines="50" w:line="360" w:lineRule="auto"/>
        <w:ind w:firstLine="3933" w:firstLineChars="1900"/>
        <w:rPr>
          <w:rFonts w:hint="eastAsia" w:ascii="宋体" w:hAnsi="宋体" w:cs="宋体"/>
          <w:color w:val="auto"/>
          <w:w w:val="99"/>
          <w:szCs w:val="21"/>
          <w:highlight w:val="none"/>
        </w:rPr>
      </w:pPr>
    </w:p>
    <w:p>
      <w:pPr>
        <w:spacing w:before="158" w:beforeLines="50" w:after="158" w:afterLines="50" w:line="360" w:lineRule="auto"/>
        <w:ind w:firstLine="3933" w:firstLineChars="1900"/>
        <w:rPr>
          <w:rFonts w:hint="eastAsia" w:ascii="宋体" w:hAnsi="宋体" w:cs="宋体"/>
          <w:color w:val="auto"/>
          <w:w w:val="99"/>
          <w:szCs w:val="21"/>
          <w:highlight w:val="none"/>
        </w:rPr>
      </w:pPr>
    </w:p>
    <w:p>
      <w:pPr>
        <w:spacing w:before="158" w:beforeLines="50" w:after="158" w:afterLines="50" w:line="360" w:lineRule="auto"/>
        <w:ind w:firstLine="3933" w:firstLineChars="1900"/>
        <w:rPr>
          <w:rFonts w:hint="eastAsia" w:ascii="宋体" w:hAnsi="宋体" w:cs="宋体"/>
          <w:color w:val="auto"/>
          <w:w w:val="99"/>
          <w:szCs w:val="21"/>
          <w:highlight w:val="none"/>
        </w:rPr>
      </w:pPr>
    </w:p>
    <w:p>
      <w:pPr>
        <w:spacing w:before="158" w:beforeLines="50" w:after="158" w:afterLines="50" w:line="360" w:lineRule="auto"/>
        <w:ind w:firstLine="3933" w:firstLineChars="1900"/>
        <w:rPr>
          <w:rFonts w:hint="eastAsia" w:ascii="宋体" w:hAnsi="宋体" w:cs="宋体"/>
          <w:color w:val="auto"/>
          <w:w w:val="99"/>
          <w:szCs w:val="21"/>
          <w:highlight w:val="none"/>
        </w:rPr>
      </w:pPr>
    </w:p>
    <w:p>
      <w:pPr>
        <w:spacing w:before="158" w:beforeLines="50" w:after="158" w:afterLines="50" w:line="360" w:lineRule="auto"/>
        <w:ind w:firstLine="3933" w:firstLineChars="1900"/>
        <w:rPr>
          <w:rFonts w:hint="eastAsia" w:ascii="宋体" w:hAnsi="宋体" w:cs="宋体"/>
          <w:color w:val="auto"/>
          <w:w w:val="99"/>
          <w:szCs w:val="21"/>
          <w:highlight w:val="none"/>
        </w:rPr>
      </w:pPr>
    </w:p>
    <w:p>
      <w:pPr>
        <w:spacing w:line="360" w:lineRule="auto"/>
        <w:ind w:right="360"/>
        <w:rPr>
          <w:rFonts w:hint="eastAsia" w:ascii="宋体" w:hAnsi="宋体" w:cs="宋体"/>
          <w:color w:val="auto"/>
          <w:szCs w:val="21"/>
          <w:highlight w:val="none"/>
        </w:rPr>
      </w:pPr>
      <w:r>
        <w:rPr>
          <w:rFonts w:hint="eastAsia" w:ascii="宋体" w:hAnsi="宋体" w:cs="宋体"/>
          <w:color w:val="auto"/>
          <w:w w:val="99"/>
          <w:szCs w:val="21"/>
          <w:highlight w:val="none"/>
          <w:u w:val="single"/>
        </w:rPr>
        <w:t xml:space="preserve"> </w:t>
      </w:r>
      <w:r>
        <w:rPr>
          <w:rFonts w:hint="eastAsia" w:ascii="宋体" w:hAnsi="宋体" w:cs="宋体"/>
          <w:color w:val="auto"/>
          <w:szCs w:val="21"/>
          <w:highlight w:val="none"/>
        </w:rPr>
        <w:t xml:space="preserve">    </w:t>
      </w:r>
    </w:p>
    <w:p>
      <w:pPr>
        <w:rPr>
          <w:rFonts w:hint="eastAsia"/>
        </w:rPr>
      </w:pPr>
    </w:p>
    <w:sectPr>
      <w:pgSz w:w="11906" w:h="16838"/>
      <w:pgMar w:top="1440" w:right="1519" w:bottom="1440" w:left="1519" w:header="851" w:footer="992" w:gutter="0"/>
      <w:pgNumType w:fmt="decimal"/>
      <w:cols w:space="720" w:num="1"/>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6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方正楷体_GBK">
    <w:panose1 w:val="02000000000000000000"/>
    <w:charset w:val="86"/>
    <w:family w:val="auto"/>
    <w:pitch w:val="default"/>
    <w:sig w:usb0="00000001" w:usb1="08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方正仿宋_GBK">
    <w:panose1 w:val="02000000000000000000"/>
    <w:charset w:val="86"/>
    <w:family w:val="auto"/>
    <w:pitch w:val="default"/>
    <w:sig w:usb0="00000001" w:usb1="08000000" w:usb2="00000000" w:usb3="00000000" w:csb0="00040000" w:csb1="00000000"/>
  </w:font>
  <w:font w:name="FZFSK--GBK1-0">
    <w:altName w:val="文泉驿微米黑"/>
    <w:panose1 w:val="00000000000000000000"/>
    <w:charset w:val="00"/>
    <w:family w:val="auto"/>
    <w:pitch w:val="default"/>
    <w:sig w:usb0="00000000" w:usb1="00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 w:name="仿宋">
    <w:altName w:val="方正仿宋_GBK"/>
    <w:panose1 w:val="02010609060101010101"/>
    <w:charset w:val="00"/>
    <w:family w:val="modern"/>
    <w:pitch w:val="default"/>
    <w:sig w:usb0="00000000" w:usb1="00000000" w:usb2="00000016" w:usb3="00000000" w:csb0="00040001" w:csb1="00000000"/>
  </w:font>
  <w:font w:name="仿宋_GB2312">
    <w:altName w:val="方正仿宋_GBK"/>
    <w:panose1 w:val="02010609030101010101"/>
    <w:charset w:val="00"/>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华文中宋">
    <w:altName w:val="汉仪中宋简"/>
    <w:panose1 w:val="02010600040101010101"/>
    <w:charset w:val="00"/>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华文仿宋">
    <w:altName w:val="汉仪仿宋简"/>
    <w:panose1 w:val="02010600040101010101"/>
    <w:charset w:val="00"/>
    <w:family w:val="auto"/>
    <w:pitch w:val="default"/>
    <w:sig w:usb0="00000000" w:usb1="00000000" w:usb2="00000000" w:usb3="00000000" w:csb0="0004009F" w:csb1="DFD70000"/>
  </w:font>
  <w:font w:name="汉仪仿宋简">
    <w:panose1 w:val="02010600000101010101"/>
    <w:charset w:val="86"/>
    <w:family w:val="auto"/>
    <w:pitch w:val="default"/>
    <w:sig w:usb0="00000001" w:usb1="080E0800" w:usb2="00000002" w:usb3="00000000" w:csb0="00040000" w:csb1="00000000"/>
  </w:font>
  <w:font w:name="方正黑体_GBK">
    <w:panose1 w:val="02000000000000000000"/>
    <w:charset w:val="86"/>
    <w:family w:val="auto"/>
    <w:pitch w:val="default"/>
    <w:sig w:usb0="00000001" w:usb1="08000000" w:usb2="00000000" w:usb3="00000000" w:csb0="00040000" w:csb1="00000000"/>
  </w:font>
  <w:font w:name="Arial">
    <w:altName w:val="Nimbus Roman No9 L"/>
    <w:panose1 w:val="00000000000000000000"/>
    <w:charset w:val="00"/>
    <w:family w:val="auto"/>
    <w:pitch w:val="default"/>
    <w:sig w:usb0="00000000" w:usb1="00000000" w:usb2="00000000" w:usb3="00000000" w:csb0="00000000" w:csb1="00000000"/>
  </w:font>
  <w:font w:name="仿宋">
    <w:altName w:val="方正仿宋_GBK"/>
    <w:panose1 w:val="02010609060101010101"/>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">
              <v:fill on="f" focussize="0,0"/>
              <v:stroke on="f" weight="1.2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">
              <v:fill on="f" focussize="0,0"/>
              <v:stroke on="f" weight="1.25pt"/>
              <v:imagedata o:title=""/>
              <o:lock v:ext="edit" aspectratio="f"/>
              <v:textbox inset="0mm,0mm,0mm,0mm" style="mso-fit-shape-to-text:t;">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">
              <v:fill on="f" focussize="0,0"/>
              <v:stroke on="f" weight="1.25pt"/>
              <v:imagedata o:title=""/>
              <o:lock v:ext="edit" aspectratio="f"/>
              <v:textbox inset="0mm,0mm,0mm,0mm" style="mso-fit-shape-to-text:t;">
                <w:txbxContent>
                  <w:p>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C9979B"/>
    <w:multiLevelType w:val="singleLevel"/>
    <w:tmpl w:val="5BC9979B"/>
    <w:lvl w:ilvl="0" w:tentative="0">
      <w:start w:val="4"/>
      <w:numFmt w:val="chineseCounting"/>
      <w:suff w:val="nothing"/>
      <w:lvlText w:val="%1、"/>
      <w:lvlJc w:val="left"/>
    </w:lvl>
  </w:abstractNum>
  <w:abstractNum w:abstractNumId="1">
    <w:nsid w:val="5BC99C4C"/>
    <w:multiLevelType w:val="singleLevel"/>
    <w:tmpl w:val="5BC99C4C"/>
    <w:lvl w:ilvl="0" w:tentative="0">
      <w:start w:val="6"/>
      <w:numFmt w:val="chineseCounting"/>
      <w:suff w:val="nothing"/>
      <w:lvlText w:val="%1、"/>
      <w:lvlJc w:val="left"/>
    </w:lvl>
  </w:abstractNum>
  <w:abstractNum w:abstractNumId="2">
    <w:nsid w:val="5BF364B3"/>
    <w:multiLevelType w:val="singleLevel"/>
    <w:tmpl w:val="5BF364B3"/>
    <w:lvl w:ilvl="0" w:tentative="0">
      <w:start w:val="1"/>
      <w:numFmt w:val="chineseCounting"/>
      <w:suff w:val="nothing"/>
      <w:lvlText w:val="（%1）"/>
      <w:lvlJc w:val="left"/>
    </w:lvl>
  </w:abstractNum>
  <w:abstractNum w:abstractNumId="3">
    <w:nsid w:val="5BF365BA"/>
    <w:multiLevelType w:val="singleLevel"/>
    <w:tmpl w:val="5BF365BA"/>
    <w:lvl w:ilvl="0" w:tentative="0">
      <w:start w:val="1"/>
      <w:numFmt w:val="decimal"/>
      <w:suff w:val="nothing"/>
      <w:lvlText w:val="%1、"/>
      <w:lvlJc w:val="left"/>
    </w:lvl>
  </w:abstractNum>
  <w:abstractNum w:abstractNumId="4">
    <w:nsid w:val="5BF36CF4"/>
    <w:multiLevelType w:val="singleLevel"/>
    <w:tmpl w:val="5BF36CF4"/>
    <w:lvl w:ilvl="0" w:tentative="0">
      <w:start w:val="1"/>
      <w:numFmt w:val="decimal"/>
      <w:suff w:val="nothing"/>
      <w:lvlText w:val="%1、"/>
      <w:lvlJc w:val="left"/>
    </w:lvl>
  </w:abstractNum>
  <w:abstractNum w:abstractNumId="5">
    <w:nsid w:val="5D7F5047"/>
    <w:multiLevelType w:val="singleLevel"/>
    <w:tmpl w:val="5D7F5047"/>
    <w:lvl w:ilvl="0" w:tentative="0">
      <w:start w:val="2"/>
      <w:numFmt w:val="chineseCounting"/>
      <w:suff w:val="space"/>
      <w:lvlText w:val="第%1章"/>
      <w:lvlJc w:val="left"/>
    </w:lvl>
  </w:abstractNum>
  <w:abstractNum w:abstractNumId="6">
    <w:nsid w:val="5F17AF76"/>
    <w:multiLevelType w:val="singleLevel"/>
    <w:tmpl w:val="5F17AF76"/>
    <w:lvl w:ilvl="0" w:tentative="0">
      <w:start w:val="2"/>
      <w:numFmt w:val="decimal"/>
      <w:suff w:val="nothing"/>
      <w:lvlText w:val="%1、"/>
      <w:lvlJc w:val="left"/>
    </w:lvl>
  </w:abstractNum>
  <w:num w:numId="1">
    <w:abstractNumId w:val="5"/>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8"/>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jNjNhYzgxNzVkOGYyMjFjNTRhMTkxNWQ4MzkzNjMifQ=="/>
  </w:docVars>
  <w:rsids>
    <w:rsidRoot w:val="00172A27"/>
    <w:rsid w:val="000017FD"/>
    <w:rsid w:val="00006699"/>
    <w:rsid w:val="00011D89"/>
    <w:rsid w:val="00012D2F"/>
    <w:rsid w:val="000146BD"/>
    <w:rsid w:val="0001471D"/>
    <w:rsid w:val="0002004A"/>
    <w:rsid w:val="0002092D"/>
    <w:rsid w:val="00023E6F"/>
    <w:rsid w:val="00024BFB"/>
    <w:rsid w:val="00024DA5"/>
    <w:rsid w:val="00026900"/>
    <w:rsid w:val="0003007C"/>
    <w:rsid w:val="00030DC3"/>
    <w:rsid w:val="000416E6"/>
    <w:rsid w:val="00041F50"/>
    <w:rsid w:val="000433D9"/>
    <w:rsid w:val="000503A4"/>
    <w:rsid w:val="00051EDC"/>
    <w:rsid w:val="000532F7"/>
    <w:rsid w:val="000555D2"/>
    <w:rsid w:val="00055C76"/>
    <w:rsid w:val="000579C3"/>
    <w:rsid w:val="0006478E"/>
    <w:rsid w:val="00066B9B"/>
    <w:rsid w:val="00075C4E"/>
    <w:rsid w:val="00081366"/>
    <w:rsid w:val="00081F9C"/>
    <w:rsid w:val="0009257B"/>
    <w:rsid w:val="000927DB"/>
    <w:rsid w:val="00095683"/>
    <w:rsid w:val="00097A35"/>
    <w:rsid w:val="000A0C5C"/>
    <w:rsid w:val="000A203E"/>
    <w:rsid w:val="000A3B68"/>
    <w:rsid w:val="000A580A"/>
    <w:rsid w:val="000B0B63"/>
    <w:rsid w:val="000B2C90"/>
    <w:rsid w:val="000C1FA6"/>
    <w:rsid w:val="000C4FD0"/>
    <w:rsid w:val="000C68A1"/>
    <w:rsid w:val="000D0474"/>
    <w:rsid w:val="000D1324"/>
    <w:rsid w:val="000D33E4"/>
    <w:rsid w:val="000E0423"/>
    <w:rsid w:val="000E0816"/>
    <w:rsid w:val="000E0950"/>
    <w:rsid w:val="000E14A9"/>
    <w:rsid w:val="000E39FA"/>
    <w:rsid w:val="000E5CE5"/>
    <w:rsid w:val="000E64FB"/>
    <w:rsid w:val="000E7570"/>
    <w:rsid w:val="000E7684"/>
    <w:rsid w:val="000E7D85"/>
    <w:rsid w:val="000F2501"/>
    <w:rsid w:val="000F6E23"/>
    <w:rsid w:val="00102A6C"/>
    <w:rsid w:val="00110AD2"/>
    <w:rsid w:val="00113EAC"/>
    <w:rsid w:val="0011469C"/>
    <w:rsid w:val="00127C97"/>
    <w:rsid w:val="0013356F"/>
    <w:rsid w:val="00133BBF"/>
    <w:rsid w:val="001376C0"/>
    <w:rsid w:val="00143BFB"/>
    <w:rsid w:val="001531BD"/>
    <w:rsid w:val="001568B1"/>
    <w:rsid w:val="001616CC"/>
    <w:rsid w:val="00162D73"/>
    <w:rsid w:val="00171663"/>
    <w:rsid w:val="00177532"/>
    <w:rsid w:val="00183F3F"/>
    <w:rsid w:val="00195F9C"/>
    <w:rsid w:val="001A3DAB"/>
    <w:rsid w:val="001A55A6"/>
    <w:rsid w:val="001B1566"/>
    <w:rsid w:val="001C5A9E"/>
    <w:rsid w:val="001C5BF2"/>
    <w:rsid w:val="001C72B6"/>
    <w:rsid w:val="001C76DB"/>
    <w:rsid w:val="001D3437"/>
    <w:rsid w:val="001D4086"/>
    <w:rsid w:val="001D7505"/>
    <w:rsid w:val="001F1984"/>
    <w:rsid w:val="001F52F1"/>
    <w:rsid w:val="001F593A"/>
    <w:rsid w:val="00200417"/>
    <w:rsid w:val="002022AF"/>
    <w:rsid w:val="0020671A"/>
    <w:rsid w:val="002145D4"/>
    <w:rsid w:val="00223DFA"/>
    <w:rsid w:val="00224AEB"/>
    <w:rsid w:val="00227E6F"/>
    <w:rsid w:val="0023282A"/>
    <w:rsid w:val="0023420B"/>
    <w:rsid w:val="002348F4"/>
    <w:rsid w:val="00235E56"/>
    <w:rsid w:val="00254283"/>
    <w:rsid w:val="00255F89"/>
    <w:rsid w:val="00256A45"/>
    <w:rsid w:val="00263772"/>
    <w:rsid w:val="00264C03"/>
    <w:rsid w:val="00273E7C"/>
    <w:rsid w:val="00274EB8"/>
    <w:rsid w:val="00275FB3"/>
    <w:rsid w:val="00282A5A"/>
    <w:rsid w:val="002837CC"/>
    <w:rsid w:val="00285BCB"/>
    <w:rsid w:val="002A176E"/>
    <w:rsid w:val="002A4F00"/>
    <w:rsid w:val="002B6178"/>
    <w:rsid w:val="002C2BEA"/>
    <w:rsid w:val="002D0E76"/>
    <w:rsid w:val="002D4DDB"/>
    <w:rsid w:val="002E5797"/>
    <w:rsid w:val="002F1094"/>
    <w:rsid w:val="002F1520"/>
    <w:rsid w:val="002F43DF"/>
    <w:rsid w:val="002F4C9F"/>
    <w:rsid w:val="002F537A"/>
    <w:rsid w:val="002F59E9"/>
    <w:rsid w:val="00306977"/>
    <w:rsid w:val="00306C70"/>
    <w:rsid w:val="00307E8E"/>
    <w:rsid w:val="00311A18"/>
    <w:rsid w:val="00312721"/>
    <w:rsid w:val="00316D56"/>
    <w:rsid w:val="00320631"/>
    <w:rsid w:val="003266A7"/>
    <w:rsid w:val="00326B19"/>
    <w:rsid w:val="00326E5F"/>
    <w:rsid w:val="00330A0F"/>
    <w:rsid w:val="003330DB"/>
    <w:rsid w:val="00344013"/>
    <w:rsid w:val="003467EC"/>
    <w:rsid w:val="00351D9C"/>
    <w:rsid w:val="00356540"/>
    <w:rsid w:val="00360D2B"/>
    <w:rsid w:val="003623AD"/>
    <w:rsid w:val="00364013"/>
    <w:rsid w:val="00376083"/>
    <w:rsid w:val="003764CF"/>
    <w:rsid w:val="00377268"/>
    <w:rsid w:val="00382563"/>
    <w:rsid w:val="003827B6"/>
    <w:rsid w:val="00390EF9"/>
    <w:rsid w:val="00391D47"/>
    <w:rsid w:val="00392B09"/>
    <w:rsid w:val="00392F86"/>
    <w:rsid w:val="00394AC4"/>
    <w:rsid w:val="003977F1"/>
    <w:rsid w:val="003A7E0A"/>
    <w:rsid w:val="003B3115"/>
    <w:rsid w:val="003B4847"/>
    <w:rsid w:val="003B5934"/>
    <w:rsid w:val="003B7BA3"/>
    <w:rsid w:val="003C1C4F"/>
    <w:rsid w:val="003C2A08"/>
    <w:rsid w:val="003C47B6"/>
    <w:rsid w:val="003D153A"/>
    <w:rsid w:val="003D1D76"/>
    <w:rsid w:val="003D2478"/>
    <w:rsid w:val="003E2765"/>
    <w:rsid w:val="003E2ADE"/>
    <w:rsid w:val="003E48F7"/>
    <w:rsid w:val="003E6ED5"/>
    <w:rsid w:val="00400CE1"/>
    <w:rsid w:val="00402F12"/>
    <w:rsid w:val="0040374B"/>
    <w:rsid w:val="00404746"/>
    <w:rsid w:val="00406745"/>
    <w:rsid w:val="00406E95"/>
    <w:rsid w:val="00407B0D"/>
    <w:rsid w:val="00420421"/>
    <w:rsid w:val="00421C35"/>
    <w:rsid w:val="004230A5"/>
    <w:rsid w:val="00426CF6"/>
    <w:rsid w:val="00427BF0"/>
    <w:rsid w:val="00431D9A"/>
    <w:rsid w:val="0043382F"/>
    <w:rsid w:val="00433DA6"/>
    <w:rsid w:val="00434E05"/>
    <w:rsid w:val="00437071"/>
    <w:rsid w:val="00442A8E"/>
    <w:rsid w:val="00452E71"/>
    <w:rsid w:val="0045574C"/>
    <w:rsid w:val="00462B67"/>
    <w:rsid w:val="00463538"/>
    <w:rsid w:val="0046560B"/>
    <w:rsid w:val="00465818"/>
    <w:rsid w:val="00465969"/>
    <w:rsid w:val="004664A0"/>
    <w:rsid w:val="00466AEC"/>
    <w:rsid w:val="00466F60"/>
    <w:rsid w:val="004751AE"/>
    <w:rsid w:val="0048520E"/>
    <w:rsid w:val="0048573A"/>
    <w:rsid w:val="0049408F"/>
    <w:rsid w:val="00494FEF"/>
    <w:rsid w:val="004A58D0"/>
    <w:rsid w:val="004B5532"/>
    <w:rsid w:val="004B6B14"/>
    <w:rsid w:val="004C01A5"/>
    <w:rsid w:val="004C314B"/>
    <w:rsid w:val="004C51AB"/>
    <w:rsid w:val="004C7145"/>
    <w:rsid w:val="004E011F"/>
    <w:rsid w:val="004E7D3B"/>
    <w:rsid w:val="004F58B7"/>
    <w:rsid w:val="005000E4"/>
    <w:rsid w:val="00511AE4"/>
    <w:rsid w:val="00514DC1"/>
    <w:rsid w:val="00516764"/>
    <w:rsid w:val="00516BA1"/>
    <w:rsid w:val="00516C7D"/>
    <w:rsid w:val="00522153"/>
    <w:rsid w:val="00524546"/>
    <w:rsid w:val="00530779"/>
    <w:rsid w:val="005348F5"/>
    <w:rsid w:val="00536A17"/>
    <w:rsid w:val="0053787C"/>
    <w:rsid w:val="005514FB"/>
    <w:rsid w:val="005564E2"/>
    <w:rsid w:val="00557DEE"/>
    <w:rsid w:val="005606A2"/>
    <w:rsid w:val="005647F3"/>
    <w:rsid w:val="005832B8"/>
    <w:rsid w:val="005903BF"/>
    <w:rsid w:val="0059522D"/>
    <w:rsid w:val="005A23D5"/>
    <w:rsid w:val="005B0F84"/>
    <w:rsid w:val="005B289B"/>
    <w:rsid w:val="005B376A"/>
    <w:rsid w:val="005B3FA4"/>
    <w:rsid w:val="005B530B"/>
    <w:rsid w:val="005B7F33"/>
    <w:rsid w:val="005C25ED"/>
    <w:rsid w:val="005C685B"/>
    <w:rsid w:val="005D0C5A"/>
    <w:rsid w:val="005D1FC5"/>
    <w:rsid w:val="005D6454"/>
    <w:rsid w:val="005E3B8A"/>
    <w:rsid w:val="005E4227"/>
    <w:rsid w:val="005E58FE"/>
    <w:rsid w:val="005F3FE6"/>
    <w:rsid w:val="00601C25"/>
    <w:rsid w:val="00606F12"/>
    <w:rsid w:val="0061523F"/>
    <w:rsid w:val="00617C57"/>
    <w:rsid w:val="00625A10"/>
    <w:rsid w:val="006303C3"/>
    <w:rsid w:val="006323F3"/>
    <w:rsid w:val="00632EC7"/>
    <w:rsid w:val="006368C7"/>
    <w:rsid w:val="00643E93"/>
    <w:rsid w:val="00644EE0"/>
    <w:rsid w:val="00650AA3"/>
    <w:rsid w:val="0065697B"/>
    <w:rsid w:val="00660EA8"/>
    <w:rsid w:val="0066175C"/>
    <w:rsid w:val="00672EB3"/>
    <w:rsid w:val="0068173B"/>
    <w:rsid w:val="00682DD3"/>
    <w:rsid w:val="00686EA5"/>
    <w:rsid w:val="006956F7"/>
    <w:rsid w:val="006969FE"/>
    <w:rsid w:val="006A077D"/>
    <w:rsid w:val="006A07A7"/>
    <w:rsid w:val="006A3569"/>
    <w:rsid w:val="006A4562"/>
    <w:rsid w:val="006A6EEB"/>
    <w:rsid w:val="006B304B"/>
    <w:rsid w:val="006B38A0"/>
    <w:rsid w:val="006C090B"/>
    <w:rsid w:val="006C1C8F"/>
    <w:rsid w:val="006C287E"/>
    <w:rsid w:val="006C30FF"/>
    <w:rsid w:val="006D0CB6"/>
    <w:rsid w:val="006D1F06"/>
    <w:rsid w:val="006F3BB1"/>
    <w:rsid w:val="00706251"/>
    <w:rsid w:val="00706945"/>
    <w:rsid w:val="00713D81"/>
    <w:rsid w:val="00716A54"/>
    <w:rsid w:val="00731001"/>
    <w:rsid w:val="00733CF8"/>
    <w:rsid w:val="00734257"/>
    <w:rsid w:val="0073626D"/>
    <w:rsid w:val="0074581F"/>
    <w:rsid w:val="00746849"/>
    <w:rsid w:val="00750B32"/>
    <w:rsid w:val="00756E17"/>
    <w:rsid w:val="00757C38"/>
    <w:rsid w:val="00763664"/>
    <w:rsid w:val="00764947"/>
    <w:rsid w:val="00767EF5"/>
    <w:rsid w:val="007705B2"/>
    <w:rsid w:val="00773351"/>
    <w:rsid w:val="0077511D"/>
    <w:rsid w:val="00780CE5"/>
    <w:rsid w:val="0078362D"/>
    <w:rsid w:val="007863F0"/>
    <w:rsid w:val="007969DD"/>
    <w:rsid w:val="007A0DD2"/>
    <w:rsid w:val="007A5BF0"/>
    <w:rsid w:val="007B3B1A"/>
    <w:rsid w:val="007B50D5"/>
    <w:rsid w:val="007B58D2"/>
    <w:rsid w:val="007B5E5F"/>
    <w:rsid w:val="007B79B1"/>
    <w:rsid w:val="007C1C85"/>
    <w:rsid w:val="007C62C4"/>
    <w:rsid w:val="007E3051"/>
    <w:rsid w:val="007E4F21"/>
    <w:rsid w:val="007F585A"/>
    <w:rsid w:val="007F6CA8"/>
    <w:rsid w:val="00800616"/>
    <w:rsid w:val="00800D59"/>
    <w:rsid w:val="008024C0"/>
    <w:rsid w:val="00805416"/>
    <w:rsid w:val="00806F4F"/>
    <w:rsid w:val="0081158C"/>
    <w:rsid w:val="00812BBB"/>
    <w:rsid w:val="00814552"/>
    <w:rsid w:val="008173D6"/>
    <w:rsid w:val="008237C3"/>
    <w:rsid w:val="00824827"/>
    <w:rsid w:val="00826489"/>
    <w:rsid w:val="00826C51"/>
    <w:rsid w:val="00834B38"/>
    <w:rsid w:val="008372E6"/>
    <w:rsid w:val="00844439"/>
    <w:rsid w:val="00844DF4"/>
    <w:rsid w:val="00865329"/>
    <w:rsid w:val="00882681"/>
    <w:rsid w:val="00895642"/>
    <w:rsid w:val="00897CEA"/>
    <w:rsid w:val="008A04DD"/>
    <w:rsid w:val="008A1ABF"/>
    <w:rsid w:val="008A63CB"/>
    <w:rsid w:val="008A68B5"/>
    <w:rsid w:val="008A6FF6"/>
    <w:rsid w:val="008C1221"/>
    <w:rsid w:val="008C46B3"/>
    <w:rsid w:val="008C4A5B"/>
    <w:rsid w:val="008D0B81"/>
    <w:rsid w:val="008D64B2"/>
    <w:rsid w:val="008D7B94"/>
    <w:rsid w:val="008E08E9"/>
    <w:rsid w:val="008E1B17"/>
    <w:rsid w:val="008E2E13"/>
    <w:rsid w:val="008F35D3"/>
    <w:rsid w:val="00900245"/>
    <w:rsid w:val="00902E17"/>
    <w:rsid w:val="009105C9"/>
    <w:rsid w:val="0093311C"/>
    <w:rsid w:val="00933D9A"/>
    <w:rsid w:val="009356B9"/>
    <w:rsid w:val="0094302E"/>
    <w:rsid w:val="00947E51"/>
    <w:rsid w:val="00953114"/>
    <w:rsid w:val="009534CD"/>
    <w:rsid w:val="00960613"/>
    <w:rsid w:val="0096138C"/>
    <w:rsid w:val="009619FC"/>
    <w:rsid w:val="00962E8C"/>
    <w:rsid w:val="009646FF"/>
    <w:rsid w:val="00970586"/>
    <w:rsid w:val="00977F12"/>
    <w:rsid w:val="00980265"/>
    <w:rsid w:val="00991377"/>
    <w:rsid w:val="00992C74"/>
    <w:rsid w:val="00993421"/>
    <w:rsid w:val="009A0D12"/>
    <w:rsid w:val="009A1A3B"/>
    <w:rsid w:val="009B1D35"/>
    <w:rsid w:val="009B3FD1"/>
    <w:rsid w:val="009B7138"/>
    <w:rsid w:val="009C02AA"/>
    <w:rsid w:val="009D1BBE"/>
    <w:rsid w:val="009D1E40"/>
    <w:rsid w:val="009D4EEF"/>
    <w:rsid w:val="009D640E"/>
    <w:rsid w:val="009D6DFD"/>
    <w:rsid w:val="009E3A0B"/>
    <w:rsid w:val="009E7C33"/>
    <w:rsid w:val="009F1308"/>
    <w:rsid w:val="009F2976"/>
    <w:rsid w:val="009F54D3"/>
    <w:rsid w:val="009F57AD"/>
    <w:rsid w:val="00A1141F"/>
    <w:rsid w:val="00A11903"/>
    <w:rsid w:val="00A163F3"/>
    <w:rsid w:val="00A17B62"/>
    <w:rsid w:val="00A20BF4"/>
    <w:rsid w:val="00A24006"/>
    <w:rsid w:val="00A32002"/>
    <w:rsid w:val="00A41580"/>
    <w:rsid w:val="00A429B1"/>
    <w:rsid w:val="00A43EAF"/>
    <w:rsid w:val="00A46422"/>
    <w:rsid w:val="00A508ED"/>
    <w:rsid w:val="00A5520C"/>
    <w:rsid w:val="00A56B03"/>
    <w:rsid w:val="00A57A71"/>
    <w:rsid w:val="00A60019"/>
    <w:rsid w:val="00A8348E"/>
    <w:rsid w:val="00A85FFF"/>
    <w:rsid w:val="00A87E40"/>
    <w:rsid w:val="00A92A17"/>
    <w:rsid w:val="00AA0153"/>
    <w:rsid w:val="00AA0378"/>
    <w:rsid w:val="00AA16F1"/>
    <w:rsid w:val="00AB1367"/>
    <w:rsid w:val="00AC06F7"/>
    <w:rsid w:val="00AC0D74"/>
    <w:rsid w:val="00AD4EFF"/>
    <w:rsid w:val="00AD61DE"/>
    <w:rsid w:val="00AE5BE9"/>
    <w:rsid w:val="00AF05CF"/>
    <w:rsid w:val="00AF6032"/>
    <w:rsid w:val="00B12AB3"/>
    <w:rsid w:val="00B26516"/>
    <w:rsid w:val="00B27DD8"/>
    <w:rsid w:val="00B328B3"/>
    <w:rsid w:val="00B34EBF"/>
    <w:rsid w:val="00B40394"/>
    <w:rsid w:val="00B43C27"/>
    <w:rsid w:val="00B45C6D"/>
    <w:rsid w:val="00B504B6"/>
    <w:rsid w:val="00B56A6A"/>
    <w:rsid w:val="00B56B67"/>
    <w:rsid w:val="00B60F61"/>
    <w:rsid w:val="00B62EE8"/>
    <w:rsid w:val="00B65767"/>
    <w:rsid w:val="00B7000E"/>
    <w:rsid w:val="00B7654C"/>
    <w:rsid w:val="00B810BF"/>
    <w:rsid w:val="00B95901"/>
    <w:rsid w:val="00BA4607"/>
    <w:rsid w:val="00BA52B1"/>
    <w:rsid w:val="00BB32C3"/>
    <w:rsid w:val="00BC4732"/>
    <w:rsid w:val="00BD0234"/>
    <w:rsid w:val="00BD0B48"/>
    <w:rsid w:val="00BD1988"/>
    <w:rsid w:val="00BD30F2"/>
    <w:rsid w:val="00BD4205"/>
    <w:rsid w:val="00BD68F0"/>
    <w:rsid w:val="00BE18B8"/>
    <w:rsid w:val="00BE1AEF"/>
    <w:rsid w:val="00BF4D93"/>
    <w:rsid w:val="00C01DB7"/>
    <w:rsid w:val="00C06078"/>
    <w:rsid w:val="00C0677F"/>
    <w:rsid w:val="00C52647"/>
    <w:rsid w:val="00C569C1"/>
    <w:rsid w:val="00C601A0"/>
    <w:rsid w:val="00C61137"/>
    <w:rsid w:val="00C62A9B"/>
    <w:rsid w:val="00C64A3F"/>
    <w:rsid w:val="00C667F7"/>
    <w:rsid w:val="00C8640A"/>
    <w:rsid w:val="00C906BB"/>
    <w:rsid w:val="00C97F36"/>
    <w:rsid w:val="00CA6A01"/>
    <w:rsid w:val="00CA6A25"/>
    <w:rsid w:val="00CB0B23"/>
    <w:rsid w:val="00CB3842"/>
    <w:rsid w:val="00CB38ED"/>
    <w:rsid w:val="00CB42A9"/>
    <w:rsid w:val="00CB7F63"/>
    <w:rsid w:val="00CC0132"/>
    <w:rsid w:val="00CC0A3F"/>
    <w:rsid w:val="00CC65C2"/>
    <w:rsid w:val="00CD071A"/>
    <w:rsid w:val="00CD08B4"/>
    <w:rsid w:val="00CD1AAB"/>
    <w:rsid w:val="00CD575E"/>
    <w:rsid w:val="00CE0CAF"/>
    <w:rsid w:val="00CE0CDC"/>
    <w:rsid w:val="00CE4D5F"/>
    <w:rsid w:val="00CF6E94"/>
    <w:rsid w:val="00D067E0"/>
    <w:rsid w:val="00D0758C"/>
    <w:rsid w:val="00D10B90"/>
    <w:rsid w:val="00D24549"/>
    <w:rsid w:val="00D246FE"/>
    <w:rsid w:val="00D27571"/>
    <w:rsid w:val="00D302C2"/>
    <w:rsid w:val="00D31C3B"/>
    <w:rsid w:val="00D33C11"/>
    <w:rsid w:val="00D3478E"/>
    <w:rsid w:val="00D376B3"/>
    <w:rsid w:val="00D4205E"/>
    <w:rsid w:val="00D434B1"/>
    <w:rsid w:val="00D465F9"/>
    <w:rsid w:val="00D50A2A"/>
    <w:rsid w:val="00D54437"/>
    <w:rsid w:val="00D55327"/>
    <w:rsid w:val="00D6182A"/>
    <w:rsid w:val="00D636DE"/>
    <w:rsid w:val="00D64B52"/>
    <w:rsid w:val="00D66EFE"/>
    <w:rsid w:val="00D67E67"/>
    <w:rsid w:val="00D728C7"/>
    <w:rsid w:val="00D8364A"/>
    <w:rsid w:val="00D84264"/>
    <w:rsid w:val="00D85637"/>
    <w:rsid w:val="00D86160"/>
    <w:rsid w:val="00D9243B"/>
    <w:rsid w:val="00D93356"/>
    <w:rsid w:val="00D95F62"/>
    <w:rsid w:val="00DA07AE"/>
    <w:rsid w:val="00DA1818"/>
    <w:rsid w:val="00DA2257"/>
    <w:rsid w:val="00DA5C70"/>
    <w:rsid w:val="00DB4F0E"/>
    <w:rsid w:val="00DB5638"/>
    <w:rsid w:val="00DB72FC"/>
    <w:rsid w:val="00DC118D"/>
    <w:rsid w:val="00DC316E"/>
    <w:rsid w:val="00DC4876"/>
    <w:rsid w:val="00DC5EAA"/>
    <w:rsid w:val="00DD14DF"/>
    <w:rsid w:val="00DD738D"/>
    <w:rsid w:val="00DE30E5"/>
    <w:rsid w:val="00DE7B01"/>
    <w:rsid w:val="00DF0275"/>
    <w:rsid w:val="00DF5AE1"/>
    <w:rsid w:val="00DF706D"/>
    <w:rsid w:val="00E0702D"/>
    <w:rsid w:val="00E131D6"/>
    <w:rsid w:val="00E14BC4"/>
    <w:rsid w:val="00E21041"/>
    <w:rsid w:val="00E21157"/>
    <w:rsid w:val="00E22696"/>
    <w:rsid w:val="00E35754"/>
    <w:rsid w:val="00E36D9A"/>
    <w:rsid w:val="00E40FD7"/>
    <w:rsid w:val="00E42C03"/>
    <w:rsid w:val="00E4359F"/>
    <w:rsid w:val="00E44D1D"/>
    <w:rsid w:val="00E5018B"/>
    <w:rsid w:val="00E52D0B"/>
    <w:rsid w:val="00E61703"/>
    <w:rsid w:val="00E652DD"/>
    <w:rsid w:val="00E66F7B"/>
    <w:rsid w:val="00E70079"/>
    <w:rsid w:val="00E70A8D"/>
    <w:rsid w:val="00E71D99"/>
    <w:rsid w:val="00E7593E"/>
    <w:rsid w:val="00E764B0"/>
    <w:rsid w:val="00E8226A"/>
    <w:rsid w:val="00E86D21"/>
    <w:rsid w:val="00E91705"/>
    <w:rsid w:val="00E93BB7"/>
    <w:rsid w:val="00E943D1"/>
    <w:rsid w:val="00E959DC"/>
    <w:rsid w:val="00EA3B10"/>
    <w:rsid w:val="00EB27AF"/>
    <w:rsid w:val="00EC3B9C"/>
    <w:rsid w:val="00EC58B3"/>
    <w:rsid w:val="00ED4B49"/>
    <w:rsid w:val="00EE0BE6"/>
    <w:rsid w:val="00EE0F4C"/>
    <w:rsid w:val="00EE22D9"/>
    <w:rsid w:val="00EE43E5"/>
    <w:rsid w:val="00EE568A"/>
    <w:rsid w:val="00EE612C"/>
    <w:rsid w:val="00EE75F9"/>
    <w:rsid w:val="00EF15CD"/>
    <w:rsid w:val="00EF347A"/>
    <w:rsid w:val="00EF5267"/>
    <w:rsid w:val="00EF6A16"/>
    <w:rsid w:val="00F0022B"/>
    <w:rsid w:val="00F046ED"/>
    <w:rsid w:val="00F0473C"/>
    <w:rsid w:val="00F12474"/>
    <w:rsid w:val="00F15406"/>
    <w:rsid w:val="00F2248C"/>
    <w:rsid w:val="00F22540"/>
    <w:rsid w:val="00F3314B"/>
    <w:rsid w:val="00F3374C"/>
    <w:rsid w:val="00F45B35"/>
    <w:rsid w:val="00F47864"/>
    <w:rsid w:val="00F51E74"/>
    <w:rsid w:val="00F54EBA"/>
    <w:rsid w:val="00F602A5"/>
    <w:rsid w:val="00F62499"/>
    <w:rsid w:val="00F65B53"/>
    <w:rsid w:val="00F73173"/>
    <w:rsid w:val="00F73977"/>
    <w:rsid w:val="00F748CC"/>
    <w:rsid w:val="00F816E6"/>
    <w:rsid w:val="00F83355"/>
    <w:rsid w:val="00F857AB"/>
    <w:rsid w:val="00F90573"/>
    <w:rsid w:val="00FA30B7"/>
    <w:rsid w:val="00FA7267"/>
    <w:rsid w:val="00FC5B6E"/>
    <w:rsid w:val="00FD478C"/>
    <w:rsid w:val="00FD6402"/>
    <w:rsid w:val="00FE7818"/>
    <w:rsid w:val="00FF014B"/>
    <w:rsid w:val="00FF0402"/>
    <w:rsid w:val="00FF076E"/>
    <w:rsid w:val="00FF28B3"/>
    <w:rsid w:val="00FF4878"/>
    <w:rsid w:val="00FF73EF"/>
    <w:rsid w:val="00FF750D"/>
    <w:rsid w:val="012848EE"/>
    <w:rsid w:val="01362198"/>
    <w:rsid w:val="013A3612"/>
    <w:rsid w:val="01582971"/>
    <w:rsid w:val="015D00F6"/>
    <w:rsid w:val="01741B98"/>
    <w:rsid w:val="017E02F7"/>
    <w:rsid w:val="019418D4"/>
    <w:rsid w:val="01964679"/>
    <w:rsid w:val="01964C25"/>
    <w:rsid w:val="01EC60A6"/>
    <w:rsid w:val="01EE6939"/>
    <w:rsid w:val="01F77248"/>
    <w:rsid w:val="01FD324B"/>
    <w:rsid w:val="020A0467"/>
    <w:rsid w:val="02215E60"/>
    <w:rsid w:val="022F73A2"/>
    <w:rsid w:val="024E43D4"/>
    <w:rsid w:val="025E5F36"/>
    <w:rsid w:val="026643CF"/>
    <w:rsid w:val="02696283"/>
    <w:rsid w:val="027A5940"/>
    <w:rsid w:val="028B3DB7"/>
    <w:rsid w:val="028D51BD"/>
    <w:rsid w:val="029477F3"/>
    <w:rsid w:val="02CA179F"/>
    <w:rsid w:val="02E069BD"/>
    <w:rsid w:val="02E35AC6"/>
    <w:rsid w:val="02EF77E1"/>
    <w:rsid w:val="02F2679A"/>
    <w:rsid w:val="03227EF2"/>
    <w:rsid w:val="03345AEF"/>
    <w:rsid w:val="03461349"/>
    <w:rsid w:val="036365DF"/>
    <w:rsid w:val="03677E46"/>
    <w:rsid w:val="03773DBD"/>
    <w:rsid w:val="03907A2F"/>
    <w:rsid w:val="039E15B8"/>
    <w:rsid w:val="03B41782"/>
    <w:rsid w:val="03CE1D93"/>
    <w:rsid w:val="03CF0DD2"/>
    <w:rsid w:val="03FBCDBF"/>
    <w:rsid w:val="03FE0A80"/>
    <w:rsid w:val="040C6A6B"/>
    <w:rsid w:val="0415782D"/>
    <w:rsid w:val="04205664"/>
    <w:rsid w:val="043D4E77"/>
    <w:rsid w:val="043F4B12"/>
    <w:rsid w:val="04404837"/>
    <w:rsid w:val="0442646A"/>
    <w:rsid w:val="045E1FB0"/>
    <w:rsid w:val="0470324E"/>
    <w:rsid w:val="047A1C27"/>
    <w:rsid w:val="048765FD"/>
    <w:rsid w:val="04C176DC"/>
    <w:rsid w:val="04D5543B"/>
    <w:rsid w:val="04D55C02"/>
    <w:rsid w:val="04E91183"/>
    <w:rsid w:val="04F14EAD"/>
    <w:rsid w:val="04F358D8"/>
    <w:rsid w:val="050B4F36"/>
    <w:rsid w:val="05146D97"/>
    <w:rsid w:val="052D6EFF"/>
    <w:rsid w:val="0536654C"/>
    <w:rsid w:val="05487989"/>
    <w:rsid w:val="054E57DE"/>
    <w:rsid w:val="055A675F"/>
    <w:rsid w:val="055B23C7"/>
    <w:rsid w:val="05634CE7"/>
    <w:rsid w:val="057161FA"/>
    <w:rsid w:val="05821605"/>
    <w:rsid w:val="059376A9"/>
    <w:rsid w:val="05CB3411"/>
    <w:rsid w:val="05DFD74C"/>
    <w:rsid w:val="05EB5EC4"/>
    <w:rsid w:val="05ED13C7"/>
    <w:rsid w:val="05F872A7"/>
    <w:rsid w:val="05F973D8"/>
    <w:rsid w:val="06042E5C"/>
    <w:rsid w:val="061616CD"/>
    <w:rsid w:val="061C6B81"/>
    <w:rsid w:val="061F3AC1"/>
    <w:rsid w:val="061F59D6"/>
    <w:rsid w:val="063362B9"/>
    <w:rsid w:val="06451A56"/>
    <w:rsid w:val="06470598"/>
    <w:rsid w:val="064D26E6"/>
    <w:rsid w:val="064D5F71"/>
    <w:rsid w:val="064E5AA6"/>
    <w:rsid w:val="06623584"/>
    <w:rsid w:val="067B3608"/>
    <w:rsid w:val="068137A9"/>
    <w:rsid w:val="06942201"/>
    <w:rsid w:val="06964937"/>
    <w:rsid w:val="0698721F"/>
    <w:rsid w:val="06AA4FFE"/>
    <w:rsid w:val="06AD08FC"/>
    <w:rsid w:val="06B768F0"/>
    <w:rsid w:val="06B86512"/>
    <w:rsid w:val="06C70D2A"/>
    <w:rsid w:val="06EE525E"/>
    <w:rsid w:val="06FD2999"/>
    <w:rsid w:val="070B051A"/>
    <w:rsid w:val="07194C87"/>
    <w:rsid w:val="07215E61"/>
    <w:rsid w:val="073203DA"/>
    <w:rsid w:val="07365771"/>
    <w:rsid w:val="07385B66"/>
    <w:rsid w:val="07423D24"/>
    <w:rsid w:val="07454E7C"/>
    <w:rsid w:val="075E7FA4"/>
    <w:rsid w:val="075F3A02"/>
    <w:rsid w:val="076C6944"/>
    <w:rsid w:val="07736C45"/>
    <w:rsid w:val="07795DA1"/>
    <w:rsid w:val="078336B8"/>
    <w:rsid w:val="078419B4"/>
    <w:rsid w:val="079D1065"/>
    <w:rsid w:val="07B25830"/>
    <w:rsid w:val="07C84A57"/>
    <w:rsid w:val="07D239B0"/>
    <w:rsid w:val="07D66752"/>
    <w:rsid w:val="07D721EC"/>
    <w:rsid w:val="07DE62F4"/>
    <w:rsid w:val="07E65CD7"/>
    <w:rsid w:val="07F745A1"/>
    <w:rsid w:val="07FD3D4F"/>
    <w:rsid w:val="07FF20AC"/>
    <w:rsid w:val="08111CB6"/>
    <w:rsid w:val="08165318"/>
    <w:rsid w:val="081F25E1"/>
    <w:rsid w:val="082F067D"/>
    <w:rsid w:val="08380F8C"/>
    <w:rsid w:val="0839108E"/>
    <w:rsid w:val="083B1F11"/>
    <w:rsid w:val="083C7992"/>
    <w:rsid w:val="085A6F43"/>
    <w:rsid w:val="08752E02"/>
    <w:rsid w:val="087833B6"/>
    <w:rsid w:val="08846C63"/>
    <w:rsid w:val="088C45B8"/>
    <w:rsid w:val="089B03BE"/>
    <w:rsid w:val="08A50587"/>
    <w:rsid w:val="08C40738"/>
    <w:rsid w:val="08D8516E"/>
    <w:rsid w:val="08EE19B4"/>
    <w:rsid w:val="08F35E3C"/>
    <w:rsid w:val="08F438BE"/>
    <w:rsid w:val="09086E88"/>
    <w:rsid w:val="09101B7A"/>
    <w:rsid w:val="09137F52"/>
    <w:rsid w:val="09175F05"/>
    <w:rsid w:val="091D4A82"/>
    <w:rsid w:val="0920391A"/>
    <w:rsid w:val="093B1AB4"/>
    <w:rsid w:val="09440C0E"/>
    <w:rsid w:val="09540829"/>
    <w:rsid w:val="096E162E"/>
    <w:rsid w:val="098235F2"/>
    <w:rsid w:val="098E0239"/>
    <w:rsid w:val="09923A36"/>
    <w:rsid w:val="099D62E1"/>
    <w:rsid w:val="099E1F14"/>
    <w:rsid w:val="09AE1A5B"/>
    <w:rsid w:val="09C25210"/>
    <w:rsid w:val="09C71F8D"/>
    <w:rsid w:val="09E46733"/>
    <w:rsid w:val="09FE75F3"/>
    <w:rsid w:val="0A132660"/>
    <w:rsid w:val="0A2743BE"/>
    <w:rsid w:val="0A2E5BC4"/>
    <w:rsid w:val="0A3B6AF5"/>
    <w:rsid w:val="0A5115FC"/>
    <w:rsid w:val="0A575336"/>
    <w:rsid w:val="0A591BEB"/>
    <w:rsid w:val="0A6842D0"/>
    <w:rsid w:val="0A935C7D"/>
    <w:rsid w:val="0A9A7472"/>
    <w:rsid w:val="0A9F7375"/>
    <w:rsid w:val="0ACA3699"/>
    <w:rsid w:val="0AD153CD"/>
    <w:rsid w:val="0AE10487"/>
    <w:rsid w:val="0AE3707B"/>
    <w:rsid w:val="0AF90B10"/>
    <w:rsid w:val="0AFA09DF"/>
    <w:rsid w:val="0AFD1714"/>
    <w:rsid w:val="0B0149C5"/>
    <w:rsid w:val="0B030D95"/>
    <w:rsid w:val="0B057D70"/>
    <w:rsid w:val="0B0A5675"/>
    <w:rsid w:val="0B0A682C"/>
    <w:rsid w:val="0B4141E7"/>
    <w:rsid w:val="0B554EC5"/>
    <w:rsid w:val="0B5B1560"/>
    <w:rsid w:val="0B626EBA"/>
    <w:rsid w:val="0B631B58"/>
    <w:rsid w:val="0B7317ED"/>
    <w:rsid w:val="0B8406F4"/>
    <w:rsid w:val="0B9E2511"/>
    <w:rsid w:val="0BA00ECA"/>
    <w:rsid w:val="0BA16905"/>
    <w:rsid w:val="0BA77107"/>
    <w:rsid w:val="0BB64326"/>
    <w:rsid w:val="0BB95A2E"/>
    <w:rsid w:val="0BBF5056"/>
    <w:rsid w:val="0BD228E3"/>
    <w:rsid w:val="0BE77C51"/>
    <w:rsid w:val="0BE8451B"/>
    <w:rsid w:val="0BF56429"/>
    <w:rsid w:val="0C035DFD"/>
    <w:rsid w:val="0C0619E7"/>
    <w:rsid w:val="0C2A7D55"/>
    <w:rsid w:val="0C300C2E"/>
    <w:rsid w:val="0C362716"/>
    <w:rsid w:val="0C3C77C2"/>
    <w:rsid w:val="0C454F18"/>
    <w:rsid w:val="0C480432"/>
    <w:rsid w:val="0C4E7DBD"/>
    <w:rsid w:val="0C5F7FCA"/>
    <w:rsid w:val="0C653BCC"/>
    <w:rsid w:val="0C662D67"/>
    <w:rsid w:val="0C6F1791"/>
    <w:rsid w:val="0C8B50EA"/>
    <w:rsid w:val="0C8C2A11"/>
    <w:rsid w:val="0C8C7D0A"/>
    <w:rsid w:val="0CBC6AB8"/>
    <w:rsid w:val="0CC37D7B"/>
    <w:rsid w:val="0CCA2F89"/>
    <w:rsid w:val="0CCB7B50"/>
    <w:rsid w:val="0CCC648D"/>
    <w:rsid w:val="0CCE7456"/>
    <w:rsid w:val="0CDF2FF1"/>
    <w:rsid w:val="0CE8294D"/>
    <w:rsid w:val="0CF90580"/>
    <w:rsid w:val="0D0343E8"/>
    <w:rsid w:val="0D114EDC"/>
    <w:rsid w:val="0D124AE9"/>
    <w:rsid w:val="0D1D4F92"/>
    <w:rsid w:val="0D4B0060"/>
    <w:rsid w:val="0D540394"/>
    <w:rsid w:val="0D611BD6"/>
    <w:rsid w:val="0D914F51"/>
    <w:rsid w:val="0D92665B"/>
    <w:rsid w:val="0D963743"/>
    <w:rsid w:val="0D9A7DDF"/>
    <w:rsid w:val="0DA84B76"/>
    <w:rsid w:val="0DAD244F"/>
    <w:rsid w:val="0DB0524B"/>
    <w:rsid w:val="0DCA41BB"/>
    <w:rsid w:val="0DD77C44"/>
    <w:rsid w:val="0DDD3BF7"/>
    <w:rsid w:val="0DDF724E"/>
    <w:rsid w:val="0DEE1A67"/>
    <w:rsid w:val="0DF71C62"/>
    <w:rsid w:val="0DFB6B7F"/>
    <w:rsid w:val="0E090F81"/>
    <w:rsid w:val="0E1020F3"/>
    <w:rsid w:val="0E19711E"/>
    <w:rsid w:val="0E216DD9"/>
    <w:rsid w:val="0E3015D7"/>
    <w:rsid w:val="0E346F70"/>
    <w:rsid w:val="0E3B205F"/>
    <w:rsid w:val="0E4672E7"/>
    <w:rsid w:val="0E491A05"/>
    <w:rsid w:val="0E5E1C47"/>
    <w:rsid w:val="0E5F66BC"/>
    <w:rsid w:val="0E6E192F"/>
    <w:rsid w:val="0E904E74"/>
    <w:rsid w:val="0E907072"/>
    <w:rsid w:val="0EB233BD"/>
    <w:rsid w:val="0EE16424"/>
    <w:rsid w:val="0EE5457E"/>
    <w:rsid w:val="0EEA73E8"/>
    <w:rsid w:val="0F0C5B71"/>
    <w:rsid w:val="0F135A0C"/>
    <w:rsid w:val="0F154354"/>
    <w:rsid w:val="0F1B11D4"/>
    <w:rsid w:val="0F1F7BDB"/>
    <w:rsid w:val="0F257D1C"/>
    <w:rsid w:val="0F4D4C4F"/>
    <w:rsid w:val="0F4E652C"/>
    <w:rsid w:val="0F560BD2"/>
    <w:rsid w:val="0F6F1FB5"/>
    <w:rsid w:val="0F6F3DAF"/>
    <w:rsid w:val="0F705821"/>
    <w:rsid w:val="0F7751B2"/>
    <w:rsid w:val="0F9878A4"/>
    <w:rsid w:val="0F9A2DA7"/>
    <w:rsid w:val="0FC10778"/>
    <w:rsid w:val="0FD14215"/>
    <w:rsid w:val="0FE444A1"/>
    <w:rsid w:val="0FF51842"/>
    <w:rsid w:val="100B5E0C"/>
    <w:rsid w:val="102E7FFD"/>
    <w:rsid w:val="10537B2A"/>
    <w:rsid w:val="105C7984"/>
    <w:rsid w:val="1060186C"/>
    <w:rsid w:val="10862A8A"/>
    <w:rsid w:val="109E1350"/>
    <w:rsid w:val="10A02655"/>
    <w:rsid w:val="10A94281"/>
    <w:rsid w:val="10B33874"/>
    <w:rsid w:val="10CF69C3"/>
    <w:rsid w:val="10E63BAE"/>
    <w:rsid w:val="110008D6"/>
    <w:rsid w:val="11040B96"/>
    <w:rsid w:val="1106587D"/>
    <w:rsid w:val="110D243F"/>
    <w:rsid w:val="112177B9"/>
    <w:rsid w:val="11285A31"/>
    <w:rsid w:val="11347075"/>
    <w:rsid w:val="11381404"/>
    <w:rsid w:val="114174E6"/>
    <w:rsid w:val="115354DD"/>
    <w:rsid w:val="11581E04"/>
    <w:rsid w:val="117E4242"/>
    <w:rsid w:val="118C167A"/>
    <w:rsid w:val="118D3D83"/>
    <w:rsid w:val="11A22634"/>
    <w:rsid w:val="11C7593B"/>
    <w:rsid w:val="11CF7B17"/>
    <w:rsid w:val="11D12DBD"/>
    <w:rsid w:val="11DC1625"/>
    <w:rsid w:val="11F41C82"/>
    <w:rsid w:val="122D6E1B"/>
    <w:rsid w:val="12374A05"/>
    <w:rsid w:val="12483F3C"/>
    <w:rsid w:val="124E24B9"/>
    <w:rsid w:val="126B2A47"/>
    <w:rsid w:val="128A7BF7"/>
    <w:rsid w:val="12936308"/>
    <w:rsid w:val="12A63CA4"/>
    <w:rsid w:val="12AE4934"/>
    <w:rsid w:val="12B202CE"/>
    <w:rsid w:val="12B40A3B"/>
    <w:rsid w:val="12C272AC"/>
    <w:rsid w:val="12CE2463"/>
    <w:rsid w:val="12E06408"/>
    <w:rsid w:val="12E13E89"/>
    <w:rsid w:val="12E54A8E"/>
    <w:rsid w:val="13080DA0"/>
    <w:rsid w:val="13137439"/>
    <w:rsid w:val="131D046B"/>
    <w:rsid w:val="131E2895"/>
    <w:rsid w:val="13216E71"/>
    <w:rsid w:val="132F6187"/>
    <w:rsid w:val="13476CBD"/>
    <w:rsid w:val="134C5737"/>
    <w:rsid w:val="13662F4E"/>
    <w:rsid w:val="13692AE8"/>
    <w:rsid w:val="137232F9"/>
    <w:rsid w:val="137B2A03"/>
    <w:rsid w:val="13864617"/>
    <w:rsid w:val="13904F26"/>
    <w:rsid w:val="13A10CDB"/>
    <w:rsid w:val="13B844BC"/>
    <w:rsid w:val="13C775FF"/>
    <w:rsid w:val="13CD1B92"/>
    <w:rsid w:val="13D226F6"/>
    <w:rsid w:val="13D61E18"/>
    <w:rsid w:val="13DE2AA7"/>
    <w:rsid w:val="13E43965"/>
    <w:rsid w:val="13EB3D6A"/>
    <w:rsid w:val="13F007A8"/>
    <w:rsid w:val="13F44C4B"/>
    <w:rsid w:val="1402191B"/>
    <w:rsid w:val="1412568B"/>
    <w:rsid w:val="14391EBC"/>
    <w:rsid w:val="1446193A"/>
    <w:rsid w:val="145F4A6C"/>
    <w:rsid w:val="14632D00"/>
    <w:rsid w:val="14847877"/>
    <w:rsid w:val="148D2D85"/>
    <w:rsid w:val="14A6778F"/>
    <w:rsid w:val="14BF0DCE"/>
    <w:rsid w:val="14C763E2"/>
    <w:rsid w:val="14CD492E"/>
    <w:rsid w:val="14D254EF"/>
    <w:rsid w:val="14E05B4D"/>
    <w:rsid w:val="14F54521"/>
    <w:rsid w:val="14F55F87"/>
    <w:rsid w:val="15024D99"/>
    <w:rsid w:val="1506078A"/>
    <w:rsid w:val="15156BB8"/>
    <w:rsid w:val="153B72EA"/>
    <w:rsid w:val="15436CA6"/>
    <w:rsid w:val="15477597"/>
    <w:rsid w:val="157E4752"/>
    <w:rsid w:val="158334F1"/>
    <w:rsid w:val="158D36E7"/>
    <w:rsid w:val="15966195"/>
    <w:rsid w:val="159C4775"/>
    <w:rsid w:val="15B7232D"/>
    <w:rsid w:val="15CC085C"/>
    <w:rsid w:val="15CD7D54"/>
    <w:rsid w:val="15FC5020"/>
    <w:rsid w:val="16240763"/>
    <w:rsid w:val="16282BE9"/>
    <w:rsid w:val="162B4B2F"/>
    <w:rsid w:val="162C7D6D"/>
    <w:rsid w:val="163035D2"/>
    <w:rsid w:val="1636067D"/>
    <w:rsid w:val="1637564B"/>
    <w:rsid w:val="164F37A5"/>
    <w:rsid w:val="16536644"/>
    <w:rsid w:val="166B3982"/>
    <w:rsid w:val="167417E7"/>
    <w:rsid w:val="16880487"/>
    <w:rsid w:val="16941D44"/>
    <w:rsid w:val="16980722"/>
    <w:rsid w:val="169A5FB2"/>
    <w:rsid w:val="16AA063C"/>
    <w:rsid w:val="16AD2BE3"/>
    <w:rsid w:val="16AF0019"/>
    <w:rsid w:val="16E66A0A"/>
    <w:rsid w:val="16E67727"/>
    <w:rsid w:val="170643F2"/>
    <w:rsid w:val="170F1A74"/>
    <w:rsid w:val="1717490E"/>
    <w:rsid w:val="173A2480"/>
    <w:rsid w:val="174E6F4B"/>
    <w:rsid w:val="1763586C"/>
    <w:rsid w:val="17787D90"/>
    <w:rsid w:val="177A77A5"/>
    <w:rsid w:val="1783099B"/>
    <w:rsid w:val="17842036"/>
    <w:rsid w:val="17896F53"/>
    <w:rsid w:val="17B935B6"/>
    <w:rsid w:val="17C00F2B"/>
    <w:rsid w:val="17C3393A"/>
    <w:rsid w:val="17DE5B49"/>
    <w:rsid w:val="17E85AC5"/>
    <w:rsid w:val="180069DA"/>
    <w:rsid w:val="181571A9"/>
    <w:rsid w:val="1817479D"/>
    <w:rsid w:val="1831173C"/>
    <w:rsid w:val="18395937"/>
    <w:rsid w:val="185815FC"/>
    <w:rsid w:val="1863450D"/>
    <w:rsid w:val="186468EF"/>
    <w:rsid w:val="18673319"/>
    <w:rsid w:val="1867395F"/>
    <w:rsid w:val="186B609E"/>
    <w:rsid w:val="186D6A27"/>
    <w:rsid w:val="1876342A"/>
    <w:rsid w:val="187F3426"/>
    <w:rsid w:val="188411C6"/>
    <w:rsid w:val="189823E5"/>
    <w:rsid w:val="189F0BCC"/>
    <w:rsid w:val="18A90C13"/>
    <w:rsid w:val="18AE0EC8"/>
    <w:rsid w:val="18B74E99"/>
    <w:rsid w:val="18B8654D"/>
    <w:rsid w:val="18D6285A"/>
    <w:rsid w:val="18E11472"/>
    <w:rsid w:val="18E45612"/>
    <w:rsid w:val="191C26DE"/>
    <w:rsid w:val="19216AC6"/>
    <w:rsid w:val="1923584D"/>
    <w:rsid w:val="192A3DB8"/>
    <w:rsid w:val="19314691"/>
    <w:rsid w:val="193E71E8"/>
    <w:rsid w:val="19436102"/>
    <w:rsid w:val="196440B8"/>
    <w:rsid w:val="19734EC7"/>
    <w:rsid w:val="197468D1"/>
    <w:rsid w:val="197F26E3"/>
    <w:rsid w:val="198C11AA"/>
    <w:rsid w:val="19996254"/>
    <w:rsid w:val="19A130D8"/>
    <w:rsid w:val="19A91329"/>
    <w:rsid w:val="19AA0FA9"/>
    <w:rsid w:val="19C31ED3"/>
    <w:rsid w:val="19C70333"/>
    <w:rsid w:val="19D865F5"/>
    <w:rsid w:val="19E26F78"/>
    <w:rsid w:val="19EF1E67"/>
    <w:rsid w:val="19F675F8"/>
    <w:rsid w:val="19F72EA9"/>
    <w:rsid w:val="1A03366E"/>
    <w:rsid w:val="1A0A42C2"/>
    <w:rsid w:val="1A1276D4"/>
    <w:rsid w:val="1A1A3838"/>
    <w:rsid w:val="1A1C385E"/>
    <w:rsid w:val="1A1F7AA5"/>
    <w:rsid w:val="1A3424CE"/>
    <w:rsid w:val="1A3D0847"/>
    <w:rsid w:val="1A472C04"/>
    <w:rsid w:val="1A4D0765"/>
    <w:rsid w:val="1A4F78F1"/>
    <w:rsid w:val="1A612CD6"/>
    <w:rsid w:val="1A654CC7"/>
    <w:rsid w:val="1A7166D3"/>
    <w:rsid w:val="1A796E07"/>
    <w:rsid w:val="1A8C281B"/>
    <w:rsid w:val="1A905DA4"/>
    <w:rsid w:val="1A9836C5"/>
    <w:rsid w:val="1AA143D3"/>
    <w:rsid w:val="1AA92D0B"/>
    <w:rsid w:val="1AB44CDE"/>
    <w:rsid w:val="1AC42F19"/>
    <w:rsid w:val="1AC55F15"/>
    <w:rsid w:val="1B061265"/>
    <w:rsid w:val="1B14057B"/>
    <w:rsid w:val="1B283C24"/>
    <w:rsid w:val="1B3A4CB5"/>
    <w:rsid w:val="1B414CDC"/>
    <w:rsid w:val="1B4209A6"/>
    <w:rsid w:val="1B5A1A13"/>
    <w:rsid w:val="1B5B41A1"/>
    <w:rsid w:val="1B5E3AAB"/>
    <w:rsid w:val="1B5F540F"/>
    <w:rsid w:val="1B6C31F5"/>
    <w:rsid w:val="1B93738C"/>
    <w:rsid w:val="1BA07A42"/>
    <w:rsid w:val="1BB75806"/>
    <w:rsid w:val="1BBB72F0"/>
    <w:rsid w:val="1BC06C2D"/>
    <w:rsid w:val="1BCA6A25"/>
    <w:rsid w:val="1BD10DDB"/>
    <w:rsid w:val="1BE20A7C"/>
    <w:rsid w:val="1BE648FC"/>
    <w:rsid w:val="1C0D33FC"/>
    <w:rsid w:val="1C0F0590"/>
    <w:rsid w:val="1C101718"/>
    <w:rsid w:val="1C12674D"/>
    <w:rsid w:val="1C3D34E0"/>
    <w:rsid w:val="1C7A4CD1"/>
    <w:rsid w:val="1C812CD0"/>
    <w:rsid w:val="1C901FB9"/>
    <w:rsid w:val="1CA473E9"/>
    <w:rsid w:val="1CB753A9"/>
    <w:rsid w:val="1CD4708A"/>
    <w:rsid w:val="1CDD4E3E"/>
    <w:rsid w:val="1CE75173"/>
    <w:rsid w:val="1CF64F85"/>
    <w:rsid w:val="1CF76192"/>
    <w:rsid w:val="1D1B764B"/>
    <w:rsid w:val="1D3B399D"/>
    <w:rsid w:val="1D4765CE"/>
    <w:rsid w:val="1D5133A9"/>
    <w:rsid w:val="1D5E3903"/>
    <w:rsid w:val="1D636B46"/>
    <w:rsid w:val="1D73355D"/>
    <w:rsid w:val="1D7757E7"/>
    <w:rsid w:val="1D7F7370"/>
    <w:rsid w:val="1D8E3B16"/>
    <w:rsid w:val="1DA51BFB"/>
    <w:rsid w:val="1DB965B9"/>
    <w:rsid w:val="1DCC475B"/>
    <w:rsid w:val="1DE86FAE"/>
    <w:rsid w:val="1E1859EC"/>
    <w:rsid w:val="1E1B2A71"/>
    <w:rsid w:val="1E2458FF"/>
    <w:rsid w:val="1E4C3240"/>
    <w:rsid w:val="1E4D0B27"/>
    <w:rsid w:val="1E513F91"/>
    <w:rsid w:val="1E7001E4"/>
    <w:rsid w:val="1E7F2796"/>
    <w:rsid w:val="1E857F22"/>
    <w:rsid w:val="1E986E44"/>
    <w:rsid w:val="1EA732A6"/>
    <w:rsid w:val="1EB83BF5"/>
    <w:rsid w:val="1EC92845"/>
    <w:rsid w:val="1ECB28EB"/>
    <w:rsid w:val="1ECD47EB"/>
    <w:rsid w:val="1EEA1E45"/>
    <w:rsid w:val="1EEC0BD7"/>
    <w:rsid w:val="1EF075D2"/>
    <w:rsid w:val="1EF376C9"/>
    <w:rsid w:val="1EF45FD8"/>
    <w:rsid w:val="1EF53177"/>
    <w:rsid w:val="1EF551EE"/>
    <w:rsid w:val="1EF86BDC"/>
    <w:rsid w:val="1F20231F"/>
    <w:rsid w:val="1F225822"/>
    <w:rsid w:val="1F3B1145"/>
    <w:rsid w:val="1F3E69B7"/>
    <w:rsid w:val="1F4A7E6A"/>
    <w:rsid w:val="1F4D3C92"/>
    <w:rsid w:val="1F4E1B6A"/>
    <w:rsid w:val="1F636AE8"/>
    <w:rsid w:val="1F6C3AE8"/>
    <w:rsid w:val="1F6F0678"/>
    <w:rsid w:val="1F70594C"/>
    <w:rsid w:val="1F734328"/>
    <w:rsid w:val="1F791FFD"/>
    <w:rsid w:val="1F796231"/>
    <w:rsid w:val="1F8464B2"/>
    <w:rsid w:val="1F8E2953"/>
    <w:rsid w:val="1FA4037A"/>
    <w:rsid w:val="1FB60998"/>
    <w:rsid w:val="1FDE29D9"/>
    <w:rsid w:val="1FDE39D7"/>
    <w:rsid w:val="1FE35556"/>
    <w:rsid w:val="1FEA19E8"/>
    <w:rsid w:val="1FEB71EB"/>
    <w:rsid w:val="1FF71A2A"/>
    <w:rsid w:val="1FFE14CE"/>
    <w:rsid w:val="20395E74"/>
    <w:rsid w:val="206A7742"/>
    <w:rsid w:val="207109C7"/>
    <w:rsid w:val="20731CCC"/>
    <w:rsid w:val="207D005D"/>
    <w:rsid w:val="2091741C"/>
    <w:rsid w:val="20931086"/>
    <w:rsid w:val="20A016EC"/>
    <w:rsid w:val="20A42EDA"/>
    <w:rsid w:val="20A75744"/>
    <w:rsid w:val="20B218E7"/>
    <w:rsid w:val="20B31431"/>
    <w:rsid w:val="20BF6548"/>
    <w:rsid w:val="20D35D65"/>
    <w:rsid w:val="20DA3BE8"/>
    <w:rsid w:val="20E21910"/>
    <w:rsid w:val="210E427F"/>
    <w:rsid w:val="21166F57"/>
    <w:rsid w:val="211E7A91"/>
    <w:rsid w:val="212E2D28"/>
    <w:rsid w:val="212E482D"/>
    <w:rsid w:val="216F6492"/>
    <w:rsid w:val="217472F0"/>
    <w:rsid w:val="21A37E40"/>
    <w:rsid w:val="21AA5E45"/>
    <w:rsid w:val="21AE76E4"/>
    <w:rsid w:val="21CA49CD"/>
    <w:rsid w:val="21D56090"/>
    <w:rsid w:val="21EC3863"/>
    <w:rsid w:val="22057639"/>
    <w:rsid w:val="22166AFA"/>
    <w:rsid w:val="22330311"/>
    <w:rsid w:val="22432A97"/>
    <w:rsid w:val="22576308"/>
    <w:rsid w:val="2265260A"/>
    <w:rsid w:val="226A1E07"/>
    <w:rsid w:val="22724F80"/>
    <w:rsid w:val="22735BFE"/>
    <w:rsid w:val="227C1D21"/>
    <w:rsid w:val="22803AF3"/>
    <w:rsid w:val="22865FDB"/>
    <w:rsid w:val="22882665"/>
    <w:rsid w:val="228A1854"/>
    <w:rsid w:val="228D6D7A"/>
    <w:rsid w:val="229067C3"/>
    <w:rsid w:val="22996A57"/>
    <w:rsid w:val="22A80ECF"/>
    <w:rsid w:val="22A83E6A"/>
    <w:rsid w:val="22B116C4"/>
    <w:rsid w:val="22B23C2C"/>
    <w:rsid w:val="22BF759A"/>
    <w:rsid w:val="22C3124F"/>
    <w:rsid w:val="22D243EC"/>
    <w:rsid w:val="22DB7B3C"/>
    <w:rsid w:val="22E152C9"/>
    <w:rsid w:val="22EE540C"/>
    <w:rsid w:val="230269E5"/>
    <w:rsid w:val="232102B1"/>
    <w:rsid w:val="23385CD8"/>
    <w:rsid w:val="23410765"/>
    <w:rsid w:val="23446916"/>
    <w:rsid w:val="23474F49"/>
    <w:rsid w:val="23550A02"/>
    <w:rsid w:val="2380713C"/>
    <w:rsid w:val="23AA7CF3"/>
    <w:rsid w:val="23AC7E7D"/>
    <w:rsid w:val="23E2706A"/>
    <w:rsid w:val="23F71CB7"/>
    <w:rsid w:val="242001D4"/>
    <w:rsid w:val="2423778D"/>
    <w:rsid w:val="24251CBF"/>
    <w:rsid w:val="242877DE"/>
    <w:rsid w:val="242D74E9"/>
    <w:rsid w:val="242F4CD2"/>
    <w:rsid w:val="24362377"/>
    <w:rsid w:val="243D74B5"/>
    <w:rsid w:val="24416609"/>
    <w:rsid w:val="245E05DE"/>
    <w:rsid w:val="246C18B2"/>
    <w:rsid w:val="24726607"/>
    <w:rsid w:val="2475782D"/>
    <w:rsid w:val="247708B3"/>
    <w:rsid w:val="24894380"/>
    <w:rsid w:val="24A81E55"/>
    <w:rsid w:val="24B42BB2"/>
    <w:rsid w:val="24CE7073"/>
    <w:rsid w:val="24DB41B9"/>
    <w:rsid w:val="24EA3120"/>
    <w:rsid w:val="24F56F32"/>
    <w:rsid w:val="25033471"/>
    <w:rsid w:val="25036248"/>
    <w:rsid w:val="25055EC8"/>
    <w:rsid w:val="251B38EF"/>
    <w:rsid w:val="252541FE"/>
    <w:rsid w:val="253175CB"/>
    <w:rsid w:val="25776207"/>
    <w:rsid w:val="257C53A7"/>
    <w:rsid w:val="25841E67"/>
    <w:rsid w:val="25B811EE"/>
    <w:rsid w:val="25C81489"/>
    <w:rsid w:val="25DD39AD"/>
    <w:rsid w:val="25DD6F64"/>
    <w:rsid w:val="25E76836"/>
    <w:rsid w:val="262A5CAA"/>
    <w:rsid w:val="26397E05"/>
    <w:rsid w:val="26401E21"/>
    <w:rsid w:val="265B72AB"/>
    <w:rsid w:val="266142BF"/>
    <w:rsid w:val="266E0D1D"/>
    <w:rsid w:val="267628A6"/>
    <w:rsid w:val="267C4DF6"/>
    <w:rsid w:val="26811F3C"/>
    <w:rsid w:val="268178FD"/>
    <w:rsid w:val="268B4751"/>
    <w:rsid w:val="26975E47"/>
    <w:rsid w:val="26A72264"/>
    <w:rsid w:val="26C05AFB"/>
    <w:rsid w:val="26D07ABD"/>
    <w:rsid w:val="26E55560"/>
    <w:rsid w:val="26F12390"/>
    <w:rsid w:val="26F234F5"/>
    <w:rsid w:val="26F27C71"/>
    <w:rsid w:val="26F87FA0"/>
    <w:rsid w:val="27166BAC"/>
    <w:rsid w:val="272157F8"/>
    <w:rsid w:val="27331D60"/>
    <w:rsid w:val="274A7749"/>
    <w:rsid w:val="27550C05"/>
    <w:rsid w:val="276205CD"/>
    <w:rsid w:val="27731C2E"/>
    <w:rsid w:val="27994F87"/>
    <w:rsid w:val="279A64CC"/>
    <w:rsid w:val="27A343AB"/>
    <w:rsid w:val="27B457B1"/>
    <w:rsid w:val="27D75BC2"/>
    <w:rsid w:val="27DD6A02"/>
    <w:rsid w:val="27E2757A"/>
    <w:rsid w:val="27F32496"/>
    <w:rsid w:val="280C3259"/>
    <w:rsid w:val="28111726"/>
    <w:rsid w:val="28150A93"/>
    <w:rsid w:val="281721DE"/>
    <w:rsid w:val="281D068F"/>
    <w:rsid w:val="28292109"/>
    <w:rsid w:val="282D6D0E"/>
    <w:rsid w:val="28384BB0"/>
    <w:rsid w:val="28413681"/>
    <w:rsid w:val="28726266"/>
    <w:rsid w:val="2874016E"/>
    <w:rsid w:val="287B524E"/>
    <w:rsid w:val="288C5814"/>
    <w:rsid w:val="28902D39"/>
    <w:rsid w:val="2891259B"/>
    <w:rsid w:val="28A5759A"/>
    <w:rsid w:val="28AD6576"/>
    <w:rsid w:val="28B00ECC"/>
    <w:rsid w:val="28B1365E"/>
    <w:rsid w:val="28B32A35"/>
    <w:rsid w:val="28B50BD7"/>
    <w:rsid w:val="28DC6898"/>
    <w:rsid w:val="28DF529E"/>
    <w:rsid w:val="28EE518C"/>
    <w:rsid w:val="29066EAC"/>
    <w:rsid w:val="29156672"/>
    <w:rsid w:val="292737DD"/>
    <w:rsid w:val="292B1A10"/>
    <w:rsid w:val="292E726D"/>
    <w:rsid w:val="292F3AB9"/>
    <w:rsid w:val="294A57BC"/>
    <w:rsid w:val="29560760"/>
    <w:rsid w:val="29585B92"/>
    <w:rsid w:val="2969197F"/>
    <w:rsid w:val="29787C34"/>
    <w:rsid w:val="29842FDE"/>
    <w:rsid w:val="29902824"/>
    <w:rsid w:val="299F7076"/>
    <w:rsid w:val="29AC2AA8"/>
    <w:rsid w:val="29AC36EE"/>
    <w:rsid w:val="29B92A03"/>
    <w:rsid w:val="29BB2216"/>
    <w:rsid w:val="29D64532"/>
    <w:rsid w:val="29E66930"/>
    <w:rsid w:val="29F56CB1"/>
    <w:rsid w:val="2A04731D"/>
    <w:rsid w:val="2A194D7A"/>
    <w:rsid w:val="2A290739"/>
    <w:rsid w:val="2A2F7100"/>
    <w:rsid w:val="2A3D6B05"/>
    <w:rsid w:val="2A3E3BA1"/>
    <w:rsid w:val="2A3F4E5B"/>
    <w:rsid w:val="2A897268"/>
    <w:rsid w:val="2A8E045D"/>
    <w:rsid w:val="2AB61621"/>
    <w:rsid w:val="2ACF2AB1"/>
    <w:rsid w:val="2AD134D0"/>
    <w:rsid w:val="2ADF2E52"/>
    <w:rsid w:val="2AE00267"/>
    <w:rsid w:val="2AE479BE"/>
    <w:rsid w:val="2AE77FA9"/>
    <w:rsid w:val="2AF67FF9"/>
    <w:rsid w:val="2AFF44A6"/>
    <w:rsid w:val="2B0538C2"/>
    <w:rsid w:val="2B1D4F74"/>
    <w:rsid w:val="2B2329F8"/>
    <w:rsid w:val="2B284018"/>
    <w:rsid w:val="2B4079EE"/>
    <w:rsid w:val="2B444708"/>
    <w:rsid w:val="2B8D0934"/>
    <w:rsid w:val="2B9A5E41"/>
    <w:rsid w:val="2B9B4140"/>
    <w:rsid w:val="2B9C641C"/>
    <w:rsid w:val="2BA142E6"/>
    <w:rsid w:val="2BCA72D3"/>
    <w:rsid w:val="2BD124D8"/>
    <w:rsid w:val="2BF02500"/>
    <w:rsid w:val="2BF52661"/>
    <w:rsid w:val="2C01033F"/>
    <w:rsid w:val="2C1959E5"/>
    <w:rsid w:val="2C4677AE"/>
    <w:rsid w:val="2C727379"/>
    <w:rsid w:val="2C7D570A"/>
    <w:rsid w:val="2C8E58F4"/>
    <w:rsid w:val="2C956D4E"/>
    <w:rsid w:val="2CA17624"/>
    <w:rsid w:val="2CA704C6"/>
    <w:rsid w:val="2CB46C88"/>
    <w:rsid w:val="2CB510E7"/>
    <w:rsid w:val="2CD957D0"/>
    <w:rsid w:val="2D0A287C"/>
    <w:rsid w:val="2D303AC8"/>
    <w:rsid w:val="2D35073C"/>
    <w:rsid w:val="2D3E09E1"/>
    <w:rsid w:val="2D3F3249"/>
    <w:rsid w:val="2D41454E"/>
    <w:rsid w:val="2D541EEA"/>
    <w:rsid w:val="2D6448A9"/>
    <w:rsid w:val="2D863BE0"/>
    <w:rsid w:val="2DBE77F8"/>
    <w:rsid w:val="2DCF655E"/>
    <w:rsid w:val="2DDA2F8A"/>
    <w:rsid w:val="2DDE404C"/>
    <w:rsid w:val="2DF87B0B"/>
    <w:rsid w:val="2E1D73B4"/>
    <w:rsid w:val="2E21163E"/>
    <w:rsid w:val="2E212CC2"/>
    <w:rsid w:val="2E3042C9"/>
    <w:rsid w:val="2E3A13E1"/>
    <w:rsid w:val="2E4B26AF"/>
    <w:rsid w:val="2E743646"/>
    <w:rsid w:val="2E78252B"/>
    <w:rsid w:val="2E824B5A"/>
    <w:rsid w:val="2E832596"/>
    <w:rsid w:val="2E8D0C61"/>
    <w:rsid w:val="2E8F578B"/>
    <w:rsid w:val="2EAB0958"/>
    <w:rsid w:val="2EDD77F3"/>
    <w:rsid w:val="2EF11709"/>
    <w:rsid w:val="2EF34A01"/>
    <w:rsid w:val="2F0B37BA"/>
    <w:rsid w:val="2F1034C5"/>
    <w:rsid w:val="2F1653CE"/>
    <w:rsid w:val="2F1F2696"/>
    <w:rsid w:val="2F1F5CDD"/>
    <w:rsid w:val="2F2A287D"/>
    <w:rsid w:val="2F417F1A"/>
    <w:rsid w:val="2F6125FA"/>
    <w:rsid w:val="2F64514D"/>
    <w:rsid w:val="2F760399"/>
    <w:rsid w:val="2F840B57"/>
    <w:rsid w:val="2F875074"/>
    <w:rsid w:val="2F905429"/>
    <w:rsid w:val="2FAD5798"/>
    <w:rsid w:val="2FAE20C9"/>
    <w:rsid w:val="2FBB4372"/>
    <w:rsid w:val="2FC65283"/>
    <w:rsid w:val="2FC71915"/>
    <w:rsid w:val="2FCF4325"/>
    <w:rsid w:val="2FCF47FC"/>
    <w:rsid w:val="2FDB5817"/>
    <w:rsid w:val="2FED15B0"/>
    <w:rsid w:val="2FF35AB5"/>
    <w:rsid w:val="2FFB21C9"/>
    <w:rsid w:val="300520A0"/>
    <w:rsid w:val="300C6337"/>
    <w:rsid w:val="300E29A9"/>
    <w:rsid w:val="301A215D"/>
    <w:rsid w:val="30410D1A"/>
    <w:rsid w:val="304C3AC8"/>
    <w:rsid w:val="305D6393"/>
    <w:rsid w:val="305E446B"/>
    <w:rsid w:val="30615F26"/>
    <w:rsid w:val="308B29B1"/>
    <w:rsid w:val="30965B72"/>
    <w:rsid w:val="309818CC"/>
    <w:rsid w:val="30C15F19"/>
    <w:rsid w:val="30C41C11"/>
    <w:rsid w:val="30F678EB"/>
    <w:rsid w:val="30FD19EB"/>
    <w:rsid w:val="310271F1"/>
    <w:rsid w:val="310600FC"/>
    <w:rsid w:val="3117691D"/>
    <w:rsid w:val="311A6D9D"/>
    <w:rsid w:val="312E765D"/>
    <w:rsid w:val="31526EF7"/>
    <w:rsid w:val="31634C13"/>
    <w:rsid w:val="31767801"/>
    <w:rsid w:val="318B76E0"/>
    <w:rsid w:val="319A2B6E"/>
    <w:rsid w:val="31C243BF"/>
    <w:rsid w:val="31C70E0C"/>
    <w:rsid w:val="31C74937"/>
    <w:rsid w:val="321073A0"/>
    <w:rsid w:val="32314367"/>
    <w:rsid w:val="324A4F10"/>
    <w:rsid w:val="324F5093"/>
    <w:rsid w:val="32505052"/>
    <w:rsid w:val="326D0948"/>
    <w:rsid w:val="327670BC"/>
    <w:rsid w:val="3279475B"/>
    <w:rsid w:val="329F244F"/>
    <w:rsid w:val="32AA404B"/>
    <w:rsid w:val="32B10138"/>
    <w:rsid w:val="32D528F6"/>
    <w:rsid w:val="32D60378"/>
    <w:rsid w:val="32D7689F"/>
    <w:rsid w:val="32EA1FAE"/>
    <w:rsid w:val="33055644"/>
    <w:rsid w:val="3331778D"/>
    <w:rsid w:val="33402C31"/>
    <w:rsid w:val="334E5EA9"/>
    <w:rsid w:val="334F6D3D"/>
    <w:rsid w:val="33523676"/>
    <w:rsid w:val="336B2458"/>
    <w:rsid w:val="337A7851"/>
    <w:rsid w:val="337F13B3"/>
    <w:rsid w:val="33811C82"/>
    <w:rsid w:val="3385580D"/>
    <w:rsid w:val="339F7DC0"/>
    <w:rsid w:val="33A1247D"/>
    <w:rsid w:val="33A309C5"/>
    <w:rsid w:val="33A65CE5"/>
    <w:rsid w:val="33B10A4A"/>
    <w:rsid w:val="33B40C5F"/>
    <w:rsid w:val="33BA709B"/>
    <w:rsid w:val="33BE0288"/>
    <w:rsid w:val="33CA6686"/>
    <w:rsid w:val="33CD67FF"/>
    <w:rsid w:val="33D25E51"/>
    <w:rsid w:val="33D33712"/>
    <w:rsid w:val="33DC08EE"/>
    <w:rsid w:val="33E2192C"/>
    <w:rsid w:val="33E47230"/>
    <w:rsid w:val="33F62621"/>
    <w:rsid w:val="340762AC"/>
    <w:rsid w:val="34093C57"/>
    <w:rsid w:val="340E3279"/>
    <w:rsid w:val="34140EA2"/>
    <w:rsid w:val="3430757B"/>
    <w:rsid w:val="34415A19"/>
    <w:rsid w:val="347C1CBE"/>
    <w:rsid w:val="34A50F03"/>
    <w:rsid w:val="34A53A6B"/>
    <w:rsid w:val="34B046BE"/>
    <w:rsid w:val="34C44CCF"/>
    <w:rsid w:val="34C46D46"/>
    <w:rsid w:val="34CA6229"/>
    <w:rsid w:val="34CE1118"/>
    <w:rsid w:val="34D545BA"/>
    <w:rsid w:val="34D57E3D"/>
    <w:rsid w:val="34DA42C5"/>
    <w:rsid w:val="34FD577E"/>
    <w:rsid w:val="35057307"/>
    <w:rsid w:val="353B0E30"/>
    <w:rsid w:val="35430471"/>
    <w:rsid w:val="354722DE"/>
    <w:rsid w:val="354C1F70"/>
    <w:rsid w:val="35550544"/>
    <w:rsid w:val="355875BD"/>
    <w:rsid w:val="356279A9"/>
    <w:rsid w:val="356D12B5"/>
    <w:rsid w:val="35717CBC"/>
    <w:rsid w:val="35792B4A"/>
    <w:rsid w:val="35873F31"/>
    <w:rsid w:val="35895F8C"/>
    <w:rsid w:val="35A342DF"/>
    <w:rsid w:val="35AF55A2"/>
    <w:rsid w:val="35B5257F"/>
    <w:rsid w:val="35D0291C"/>
    <w:rsid w:val="35D85AC9"/>
    <w:rsid w:val="35DD1758"/>
    <w:rsid w:val="35DD4DEC"/>
    <w:rsid w:val="35DF02EF"/>
    <w:rsid w:val="35EF104B"/>
    <w:rsid w:val="35F355BB"/>
    <w:rsid w:val="35F62823"/>
    <w:rsid w:val="35F86A56"/>
    <w:rsid w:val="35FC52E9"/>
    <w:rsid w:val="3604052F"/>
    <w:rsid w:val="360A2438"/>
    <w:rsid w:val="360A6A07"/>
    <w:rsid w:val="361352C6"/>
    <w:rsid w:val="363D610B"/>
    <w:rsid w:val="363F5D8A"/>
    <w:rsid w:val="36422592"/>
    <w:rsid w:val="36480B11"/>
    <w:rsid w:val="364937DD"/>
    <w:rsid w:val="3656DA46"/>
    <w:rsid w:val="36642F07"/>
    <w:rsid w:val="36A35E3D"/>
    <w:rsid w:val="36B77559"/>
    <w:rsid w:val="36BE73A8"/>
    <w:rsid w:val="36DA728E"/>
    <w:rsid w:val="36DE5C94"/>
    <w:rsid w:val="36E140F3"/>
    <w:rsid w:val="370116CC"/>
    <w:rsid w:val="37063B5B"/>
    <w:rsid w:val="37197C18"/>
    <w:rsid w:val="3720417F"/>
    <w:rsid w:val="3734298B"/>
    <w:rsid w:val="37347566"/>
    <w:rsid w:val="373E5D51"/>
    <w:rsid w:val="374510D0"/>
    <w:rsid w:val="375241BA"/>
    <w:rsid w:val="376D65BE"/>
    <w:rsid w:val="37724E83"/>
    <w:rsid w:val="378A79D6"/>
    <w:rsid w:val="37A57C5B"/>
    <w:rsid w:val="37A8535D"/>
    <w:rsid w:val="37C226C8"/>
    <w:rsid w:val="37C45DEA"/>
    <w:rsid w:val="37CA0370"/>
    <w:rsid w:val="37CD1D19"/>
    <w:rsid w:val="37DC7A84"/>
    <w:rsid w:val="37EC6FBE"/>
    <w:rsid w:val="37F712E9"/>
    <w:rsid w:val="37FD2868"/>
    <w:rsid w:val="37FD6AA5"/>
    <w:rsid w:val="37FF4626"/>
    <w:rsid w:val="380A7AF3"/>
    <w:rsid w:val="380B4FBD"/>
    <w:rsid w:val="380D78EA"/>
    <w:rsid w:val="3840118E"/>
    <w:rsid w:val="384564E0"/>
    <w:rsid w:val="38503F1C"/>
    <w:rsid w:val="385A75FA"/>
    <w:rsid w:val="38635A90"/>
    <w:rsid w:val="38682E90"/>
    <w:rsid w:val="387036A3"/>
    <w:rsid w:val="387F33EC"/>
    <w:rsid w:val="388B675D"/>
    <w:rsid w:val="38AE33BA"/>
    <w:rsid w:val="38D273C9"/>
    <w:rsid w:val="39006C13"/>
    <w:rsid w:val="39024313"/>
    <w:rsid w:val="391753FF"/>
    <w:rsid w:val="396207EC"/>
    <w:rsid w:val="39667315"/>
    <w:rsid w:val="39696A33"/>
    <w:rsid w:val="39704E13"/>
    <w:rsid w:val="39A009EE"/>
    <w:rsid w:val="39A34FBE"/>
    <w:rsid w:val="39AF281F"/>
    <w:rsid w:val="39C421D4"/>
    <w:rsid w:val="39CB75E0"/>
    <w:rsid w:val="39EC773A"/>
    <w:rsid w:val="39F470BA"/>
    <w:rsid w:val="3A0564C1"/>
    <w:rsid w:val="3A092B2A"/>
    <w:rsid w:val="3A1A3F84"/>
    <w:rsid w:val="3A301EB9"/>
    <w:rsid w:val="3A5B0F9E"/>
    <w:rsid w:val="3A63685A"/>
    <w:rsid w:val="3A64448E"/>
    <w:rsid w:val="3A6A3C67"/>
    <w:rsid w:val="3A6A61E5"/>
    <w:rsid w:val="3A6F0B19"/>
    <w:rsid w:val="3A7C1983"/>
    <w:rsid w:val="3A9B5B82"/>
    <w:rsid w:val="3ABB2076"/>
    <w:rsid w:val="3AC41D77"/>
    <w:rsid w:val="3AD76819"/>
    <w:rsid w:val="3AEE2C43"/>
    <w:rsid w:val="3AF13B40"/>
    <w:rsid w:val="3AF90086"/>
    <w:rsid w:val="3AFA64A1"/>
    <w:rsid w:val="3B014411"/>
    <w:rsid w:val="3B025B81"/>
    <w:rsid w:val="3B30272B"/>
    <w:rsid w:val="3B3742B4"/>
    <w:rsid w:val="3B3E4E92"/>
    <w:rsid w:val="3B3F722F"/>
    <w:rsid w:val="3B5A356F"/>
    <w:rsid w:val="3B6657FD"/>
    <w:rsid w:val="3B6A7F86"/>
    <w:rsid w:val="3B787B60"/>
    <w:rsid w:val="3B86136A"/>
    <w:rsid w:val="3B8D1233"/>
    <w:rsid w:val="3B9D352A"/>
    <w:rsid w:val="3BA46E66"/>
    <w:rsid w:val="3BA5016B"/>
    <w:rsid w:val="3BA548E8"/>
    <w:rsid w:val="3BCF572C"/>
    <w:rsid w:val="3BE16676"/>
    <w:rsid w:val="3BE2474D"/>
    <w:rsid w:val="3BEF6E6D"/>
    <w:rsid w:val="3BF227E9"/>
    <w:rsid w:val="3C10781A"/>
    <w:rsid w:val="3C1D21FF"/>
    <w:rsid w:val="3C303719"/>
    <w:rsid w:val="3C39735A"/>
    <w:rsid w:val="3C4B3C06"/>
    <w:rsid w:val="3C551946"/>
    <w:rsid w:val="3C574857"/>
    <w:rsid w:val="3C59361B"/>
    <w:rsid w:val="3C595690"/>
    <w:rsid w:val="3C6515AD"/>
    <w:rsid w:val="3C73403C"/>
    <w:rsid w:val="3C815550"/>
    <w:rsid w:val="3C8E4865"/>
    <w:rsid w:val="3CA00003"/>
    <w:rsid w:val="3CAB2289"/>
    <w:rsid w:val="3CB56D82"/>
    <w:rsid w:val="3CC11BBD"/>
    <w:rsid w:val="3CC364CD"/>
    <w:rsid w:val="3CCD0302"/>
    <w:rsid w:val="3D207E5C"/>
    <w:rsid w:val="3D39225E"/>
    <w:rsid w:val="3D411A5E"/>
    <w:rsid w:val="3D8F24FB"/>
    <w:rsid w:val="3D9077EA"/>
    <w:rsid w:val="3DDF0D0F"/>
    <w:rsid w:val="3DE53326"/>
    <w:rsid w:val="3E064452"/>
    <w:rsid w:val="3E0A60F6"/>
    <w:rsid w:val="3E235F81"/>
    <w:rsid w:val="3E3548FB"/>
    <w:rsid w:val="3E394DCB"/>
    <w:rsid w:val="3E4D4725"/>
    <w:rsid w:val="3E6831F2"/>
    <w:rsid w:val="3E7C77F8"/>
    <w:rsid w:val="3E7E025C"/>
    <w:rsid w:val="3E8D7DFC"/>
    <w:rsid w:val="3EAC57C4"/>
    <w:rsid w:val="3ED1159C"/>
    <w:rsid w:val="3EDE7011"/>
    <w:rsid w:val="3EDF4135"/>
    <w:rsid w:val="3EEC00A6"/>
    <w:rsid w:val="3EF26958"/>
    <w:rsid w:val="3F2A2550"/>
    <w:rsid w:val="3F356BC6"/>
    <w:rsid w:val="3F3C0C4C"/>
    <w:rsid w:val="3F3D66CD"/>
    <w:rsid w:val="3F4305D7"/>
    <w:rsid w:val="3F46017C"/>
    <w:rsid w:val="3F464DDE"/>
    <w:rsid w:val="3F5B5D7A"/>
    <w:rsid w:val="3F702CD4"/>
    <w:rsid w:val="3F881B5E"/>
    <w:rsid w:val="3F8A23BC"/>
    <w:rsid w:val="3F8B1BE3"/>
    <w:rsid w:val="3FA73B27"/>
    <w:rsid w:val="3FAD5A88"/>
    <w:rsid w:val="3FB5A8AC"/>
    <w:rsid w:val="3FDDDF75"/>
    <w:rsid w:val="3FE508A1"/>
    <w:rsid w:val="3FE607A6"/>
    <w:rsid w:val="3FF05E03"/>
    <w:rsid w:val="3FF74C02"/>
    <w:rsid w:val="3FFB2C1C"/>
    <w:rsid w:val="3FFB7CC3"/>
    <w:rsid w:val="3FFD8345"/>
    <w:rsid w:val="3FFDFE8C"/>
    <w:rsid w:val="3FFF678B"/>
    <w:rsid w:val="40077F6C"/>
    <w:rsid w:val="401F6CBF"/>
    <w:rsid w:val="402A4089"/>
    <w:rsid w:val="40454EA6"/>
    <w:rsid w:val="405656D4"/>
    <w:rsid w:val="4056719A"/>
    <w:rsid w:val="407A1958"/>
    <w:rsid w:val="408178BA"/>
    <w:rsid w:val="40BB2DA8"/>
    <w:rsid w:val="40BC23C2"/>
    <w:rsid w:val="40BD23B9"/>
    <w:rsid w:val="40D27DE8"/>
    <w:rsid w:val="40F3031D"/>
    <w:rsid w:val="40F43A54"/>
    <w:rsid w:val="411126FD"/>
    <w:rsid w:val="41191987"/>
    <w:rsid w:val="41205969"/>
    <w:rsid w:val="4121560C"/>
    <w:rsid w:val="412F48FF"/>
    <w:rsid w:val="413A420B"/>
    <w:rsid w:val="413E4288"/>
    <w:rsid w:val="41490D2C"/>
    <w:rsid w:val="414C32BE"/>
    <w:rsid w:val="415128B5"/>
    <w:rsid w:val="415232E7"/>
    <w:rsid w:val="417140A5"/>
    <w:rsid w:val="417C49FE"/>
    <w:rsid w:val="4184568E"/>
    <w:rsid w:val="41903CD9"/>
    <w:rsid w:val="419249A3"/>
    <w:rsid w:val="41936B67"/>
    <w:rsid w:val="41A05EB7"/>
    <w:rsid w:val="41A40141"/>
    <w:rsid w:val="41AD4CFF"/>
    <w:rsid w:val="41BE14F8"/>
    <w:rsid w:val="41C42BF4"/>
    <w:rsid w:val="41CC21FF"/>
    <w:rsid w:val="41D00C05"/>
    <w:rsid w:val="41E60013"/>
    <w:rsid w:val="41FA05A4"/>
    <w:rsid w:val="420339DD"/>
    <w:rsid w:val="421A58F5"/>
    <w:rsid w:val="42311FDE"/>
    <w:rsid w:val="42557DFD"/>
    <w:rsid w:val="425F98D3"/>
    <w:rsid w:val="42941C47"/>
    <w:rsid w:val="429F10C7"/>
    <w:rsid w:val="42A631E7"/>
    <w:rsid w:val="42B06E4E"/>
    <w:rsid w:val="42BC318C"/>
    <w:rsid w:val="42F46A87"/>
    <w:rsid w:val="42F8776E"/>
    <w:rsid w:val="431C3807"/>
    <w:rsid w:val="43220045"/>
    <w:rsid w:val="432C1652"/>
    <w:rsid w:val="43377521"/>
    <w:rsid w:val="43577787"/>
    <w:rsid w:val="435B15C0"/>
    <w:rsid w:val="43610097"/>
    <w:rsid w:val="436B2225"/>
    <w:rsid w:val="439965C5"/>
    <w:rsid w:val="439C027C"/>
    <w:rsid w:val="439D5CFD"/>
    <w:rsid w:val="439E377F"/>
    <w:rsid w:val="43A64CA0"/>
    <w:rsid w:val="43CC2FC9"/>
    <w:rsid w:val="43E40670"/>
    <w:rsid w:val="43E72260"/>
    <w:rsid w:val="43EC12FF"/>
    <w:rsid w:val="43F422E7"/>
    <w:rsid w:val="43FC43DA"/>
    <w:rsid w:val="43FE121A"/>
    <w:rsid w:val="44082185"/>
    <w:rsid w:val="44182346"/>
    <w:rsid w:val="44250560"/>
    <w:rsid w:val="442A5459"/>
    <w:rsid w:val="442D3252"/>
    <w:rsid w:val="443D4785"/>
    <w:rsid w:val="445637C2"/>
    <w:rsid w:val="44597F42"/>
    <w:rsid w:val="4467669A"/>
    <w:rsid w:val="44736C5A"/>
    <w:rsid w:val="448B6290"/>
    <w:rsid w:val="4493196E"/>
    <w:rsid w:val="449B391E"/>
    <w:rsid w:val="44A82307"/>
    <w:rsid w:val="44BB4E50"/>
    <w:rsid w:val="44C91BE7"/>
    <w:rsid w:val="44E17E80"/>
    <w:rsid w:val="44F71048"/>
    <w:rsid w:val="44F86EB3"/>
    <w:rsid w:val="45072051"/>
    <w:rsid w:val="45124295"/>
    <w:rsid w:val="45160D99"/>
    <w:rsid w:val="45325DC6"/>
    <w:rsid w:val="45433E1A"/>
    <w:rsid w:val="455B6F58"/>
    <w:rsid w:val="455F6A65"/>
    <w:rsid w:val="45692AA8"/>
    <w:rsid w:val="456D20FF"/>
    <w:rsid w:val="457018A7"/>
    <w:rsid w:val="4587329F"/>
    <w:rsid w:val="458E09A4"/>
    <w:rsid w:val="459638BA"/>
    <w:rsid w:val="459A3F8A"/>
    <w:rsid w:val="459B703A"/>
    <w:rsid w:val="459C78D2"/>
    <w:rsid w:val="45A94AD9"/>
    <w:rsid w:val="45B05821"/>
    <w:rsid w:val="45C92B8E"/>
    <w:rsid w:val="45E33B28"/>
    <w:rsid w:val="45FF1C64"/>
    <w:rsid w:val="46114C5E"/>
    <w:rsid w:val="46143B88"/>
    <w:rsid w:val="461B04C3"/>
    <w:rsid w:val="46244422"/>
    <w:rsid w:val="462C3FE7"/>
    <w:rsid w:val="463A2D53"/>
    <w:rsid w:val="464177D2"/>
    <w:rsid w:val="464F2167"/>
    <w:rsid w:val="46676190"/>
    <w:rsid w:val="467E6485"/>
    <w:rsid w:val="468E2B7B"/>
    <w:rsid w:val="46B57EE6"/>
    <w:rsid w:val="46C50728"/>
    <w:rsid w:val="46EF74F1"/>
    <w:rsid w:val="46F158CF"/>
    <w:rsid w:val="46F51C3E"/>
    <w:rsid w:val="46FD6304"/>
    <w:rsid w:val="47012B0C"/>
    <w:rsid w:val="47043A90"/>
    <w:rsid w:val="47056F93"/>
    <w:rsid w:val="470B3084"/>
    <w:rsid w:val="471057A1"/>
    <w:rsid w:val="47303627"/>
    <w:rsid w:val="47321A89"/>
    <w:rsid w:val="47386AC6"/>
    <w:rsid w:val="473964E9"/>
    <w:rsid w:val="47577C97"/>
    <w:rsid w:val="475D70BC"/>
    <w:rsid w:val="47621933"/>
    <w:rsid w:val="478677C8"/>
    <w:rsid w:val="47883CE9"/>
    <w:rsid w:val="47924F89"/>
    <w:rsid w:val="479E1A92"/>
    <w:rsid w:val="47C9717C"/>
    <w:rsid w:val="47E67906"/>
    <w:rsid w:val="47E9524D"/>
    <w:rsid w:val="47EE24E5"/>
    <w:rsid w:val="47F23131"/>
    <w:rsid w:val="47FC5298"/>
    <w:rsid w:val="47FD6934"/>
    <w:rsid w:val="4802446D"/>
    <w:rsid w:val="481F3746"/>
    <w:rsid w:val="4824360A"/>
    <w:rsid w:val="4825507C"/>
    <w:rsid w:val="482A17D8"/>
    <w:rsid w:val="48424377"/>
    <w:rsid w:val="48465C17"/>
    <w:rsid w:val="48632755"/>
    <w:rsid w:val="48636ED0"/>
    <w:rsid w:val="486F6565"/>
    <w:rsid w:val="48833AA5"/>
    <w:rsid w:val="48E13528"/>
    <w:rsid w:val="48E51A27"/>
    <w:rsid w:val="48EB3364"/>
    <w:rsid w:val="48ED0F74"/>
    <w:rsid w:val="48FD384B"/>
    <w:rsid w:val="48FE5C34"/>
    <w:rsid w:val="491E2E86"/>
    <w:rsid w:val="493140A5"/>
    <w:rsid w:val="49321B27"/>
    <w:rsid w:val="49321FFB"/>
    <w:rsid w:val="49364CAA"/>
    <w:rsid w:val="49441A41"/>
    <w:rsid w:val="49454DA2"/>
    <w:rsid w:val="49471F22"/>
    <w:rsid w:val="4956775D"/>
    <w:rsid w:val="49607E7F"/>
    <w:rsid w:val="4975464D"/>
    <w:rsid w:val="497E6723"/>
    <w:rsid w:val="49801C26"/>
    <w:rsid w:val="49CF5A97"/>
    <w:rsid w:val="49CF73FB"/>
    <w:rsid w:val="49D50380"/>
    <w:rsid w:val="49D62C2D"/>
    <w:rsid w:val="49D82AB1"/>
    <w:rsid w:val="49DB6615"/>
    <w:rsid w:val="49E02B16"/>
    <w:rsid w:val="49E573CC"/>
    <w:rsid w:val="49EC53A9"/>
    <w:rsid w:val="49FF7F76"/>
    <w:rsid w:val="4A256B30"/>
    <w:rsid w:val="4A4E5776"/>
    <w:rsid w:val="4A562B83"/>
    <w:rsid w:val="4A5B44EC"/>
    <w:rsid w:val="4A6013CB"/>
    <w:rsid w:val="4A606D15"/>
    <w:rsid w:val="4A690D39"/>
    <w:rsid w:val="4A7727ED"/>
    <w:rsid w:val="4A7730B7"/>
    <w:rsid w:val="4A88778A"/>
    <w:rsid w:val="4A8A42D6"/>
    <w:rsid w:val="4A937164"/>
    <w:rsid w:val="4A991FA4"/>
    <w:rsid w:val="4AA52C87"/>
    <w:rsid w:val="4AB66F70"/>
    <w:rsid w:val="4AC60761"/>
    <w:rsid w:val="4ACB2B41"/>
    <w:rsid w:val="4AD17FB2"/>
    <w:rsid w:val="4AD21D12"/>
    <w:rsid w:val="4ADE5F9D"/>
    <w:rsid w:val="4AE7712B"/>
    <w:rsid w:val="4AF22A01"/>
    <w:rsid w:val="4AF27E49"/>
    <w:rsid w:val="4AFE4354"/>
    <w:rsid w:val="4B0B7D7F"/>
    <w:rsid w:val="4B32723B"/>
    <w:rsid w:val="4B3546D2"/>
    <w:rsid w:val="4B362D8C"/>
    <w:rsid w:val="4B7A44BF"/>
    <w:rsid w:val="4B904E89"/>
    <w:rsid w:val="4BA55D28"/>
    <w:rsid w:val="4BB86F47"/>
    <w:rsid w:val="4BBF321E"/>
    <w:rsid w:val="4BC63447"/>
    <w:rsid w:val="4BCA5A01"/>
    <w:rsid w:val="4BD33C6E"/>
    <w:rsid w:val="4BE720A8"/>
    <w:rsid w:val="4BED4684"/>
    <w:rsid w:val="4C1A36B0"/>
    <w:rsid w:val="4C237153"/>
    <w:rsid w:val="4C274C74"/>
    <w:rsid w:val="4C3A0EB6"/>
    <w:rsid w:val="4C4A7B3B"/>
    <w:rsid w:val="4C4F367D"/>
    <w:rsid w:val="4C533E2A"/>
    <w:rsid w:val="4C643D33"/>
    <w:rsid w:val="4C64774E"/>
    <w:rsid w:val="4C715EC8"/>
    <w:rsid w:val="4C7B794F"/>
    <w:rsid w:val="4C800F0E"/>
    <w:rsid w:val="4C8D7DAA"/>
    <w:rsid w:val="4C981E38"/>
    <w:rsid w:val="4CBB10F3"/>
    <w:rsid w:val="4CC12FFC"/>
    <w:rsid w:val="4CD20D18"/>
    <w:rsid w:val="4CD24A51"/>
    <w:rsid w:val="4CD400C7"/>
    <w:rsid w:val="4CDA4EBF"/>
    <w:rsid w:val="4CF40ECD"/>
    <w:rsid w:val="4D337EAA"/>
    <w:rsid w:val="4D3F1771"/>
    <w:rsid w:val="4D4C4248"/>
    <w:rsid w:val="4D6D5452"/>
    <w:rsid w:val="4D734FC0"/>
    <w:rsid w:val="4D870FC2"/>
    <w:rsid w:val="4D873C39"/>
    <w:rsid w:val="4D976FBD"/>
    <w:rsid w:val="4D9C3C64"/>
    <w:rsid w:val="4DA0266A"/>
    <w:rsid w:val="4DA335EF"/>
    <w:rsid w:val="4DA76772"/>
    <w:rsid w:val="4DB2089B"/>
    <w:rsid w:val="4DC26C6F"/>
    <w:rsid w:val="4DF655F8"/>
    <w:rsid w:val="4E033713"/>
    <w:rsid w:val="4E212A2F"/>
    <w:rsid w:val="4E2468BA"/>
    <w:rsid w:val="4E2552E7"/>
    <w:rsid w:val="4E2F31D3"/>
    <w:rsid w:val="4E376061"/>
    <w:rsid w:val="4E415BC4"/>
    <w:rsid w:val="4E7B5851"/>
    <w:rsid w:val="4E801CD9"/>
    <w:rsid w:val="4E983B91"/>
    <w:rsid w:val="4EA217D6"/>
    <w:rsid w:val="4EB5692F"/>
    <w:rsid w:val="4EB56F8B"/>
    <w:rsid w:val="4EBC088D"/>
    <w:rsid w:val="4ED107DE"/>
    <w:rsid w:val="4ED52E0C"/>
    <w:rsid w:val="4EE507D6"/>
    <w:rsid w:val="4EEF7749"/>
    <w:rsid w:val="4EFE7F8D"/>
    <w:rsid w:val="4F008EC6"/>
    <w:rsid w:val="4F051F32"/>
    <w:rsid w:val="4F124ACB"/>
    <w:rsid w:val="4F23251A"/>
    <w:rsid w:val="4F241019"/>
    <w:rsid w:val="4F290E6D"/>
    <w:rsid w:val="4F373299"/>
    <w:rsid w:val="4F381437"/>
    <w:rsid w:val="4F4301E4"/>
    <w:rsid w:val="4F4F5829"/>
    <w:rsid w:val="4F5764B9"/>
    <w:rsid w:val="4F5E0042"/>
    <w:rsid w:val="4F7A31F5"/>
    <w:rsid w:val="4F7D74A2"/>
    <w:rsid w:val="4F865EE7"/>
    <w:rsid w:val="4FAD0B50"/>
    <w:rsid w:val="4FB9F6D4"/>
    <w:rsid w:val="4FC27D66"/>
    <w:rsid w:val="4FCD1153"/>
    <w:rsid w:val="4FDE5136"/>
    <w:rsid w:val="4FE13E9E"/>
    <w:rsid w:val="4FF5653C"/>
    <w:rsid w:val="50117467"/>
    <w:rsid w:val="501E4BFD"/>
    <w:rsid w:val="502E2693"/>
    <w:rsid w:val="50447942"/>
    <w:rsid w:val="5058340B"/>
    <w:rsid w:val="505E1269"/>
    <w:rsid w:val="507A2D98"/>
    <w:rsid w:val="508C1F7F"/>
    <w:rsid w:val="509169F5"/>
    <w:rsid w:val="50A03998"/>
    <w:rsid w:val="50B034A2"/>
    <w:rsid w:val="50B220E0"/>
    <w:rsid w:val="50BC08D6"/>
    <w:rsid w:val="50BE42C8"/>
    <w:rsid w:val="50D047A3"/>
    <w:rsid w:val="50EC5CC2"/>
    <w:rsid w:val="5100482F"/>
    <w:rsid w:val="510B1FAE"/>
    <w:rsid w:val="510F1274"/>
    <w:rsid w:val="51130CA5"/>
    <w:rsid w:val="51164054"/>
    <w:rsid w:val="5116596A"/>
    <w:rsid w:val="511C03A3"/>
    <w:rsid w:val="511C5484"/>
    <w:rsid w:val="51202A7D"/>
    <w:rsid w:val="512103BE"/>
    <w:rsid w:val="51266ACF"/>
    <w:rsid w:val="513421C6"/>
    <w:rsid w:val="513444D8"/>
    <w:rsid w:val="51471389"/>
    <w:rsid w:val="516E6E3A"/>
    <w:rsid w:val="5175B551"/>
    <w:rsid w:val="51784B8A"/>
    <w:rsid w:val="517FADF4"/>
    <w:rsid w:val="51845DB8"/>
    <w:rsid w:val="518F4E5F"/>
    <w:rsid w:val="51A227FA"/>
    <w:rsid w:val="51BA7EA1"/>
    <w:rsid w:val="51C82202"/>
    <w:rsid w:val="51CC6EC2"/>
    <w:rsid w:val="51DB3B1F"/>
    <w:rsid w:val="51E84C4D"/>
    <w:rsid w:val="51F7046B"/>
    <w:rsid w:val="5201519B"/>
    <w:rsid w:val="520E7B23"/>
    <w:rsid w:val="52183ABE"/>
    <w:rsid w:val="521A11BF"/>
    <w:rsid w:val="5237305A"/>
    <w:rsid w:val="524C414E"/>
    <w:rsid w:val="52571024"/>
    <w:rsid w:val="525B32AE"/>
    <w:rsid w:val="52607735"/>
    <w:rsid w:val="526C2392"/>
    <w:rsid w:val="526D6A4B"/>
    <w:rsid w:val="527640B0"/>
    <w:rsid w:val="52901513"/>
    <w:rsid w:val="52975331"/>
    <w:rsid w:val="529D5CC5"/>
    <w:rsid w:val="52BD204D"/>
    <w:rsid w:val="52C56B4E"/>
    <w:rsid w:val="52CC4866"/>
    <w:rsid w:val="52F34726"/>
    <w:rsid w:val="52F62FCD"/>
    <w:rsid w:val="52FB736D"/>
    <w:rsid w:val="5319790C"/>
    <w:rsid w:val="531B60FF"/>
    <w:rsid w:val="53283711"/>
    <w:rsid w:val="532D7D83"/>
    <w:rsid w:val="533B1905"/>
    <w:rsid w:val="53465D9C"/>
    <w:rsid w:val="534A5134"/>
    <w:rsid w:val="534A7FBD"/>
    <w:rsid w:val="53550428"/>
    <w:rsid w:val="535534C5"/>
    <w:rsid w:val="53586648"/>
    <w:rsid w:val="536227DB"/>
    <w:rsid w:val="53793DB5"/>
    <w:rsid w:val="53851A96"/>
    <w:rsid w:val="53982CB5"/>
    <w:rsid w:val="53A75C76"/>
    <w:rsid w:val="53B41E5C"/>
    <w:rsid w:val="53C33679"/>
    <w:rsid w:val="53D3775A"/>
    <w:rsid w:val="53DE59A8"/>
    <w:rsid w:val="53E3402E"/>
    <w:rsid w:val="53EC730C"/>
    <w:rsid w:val="53FF92B0"/>
    <w:rsid w:val="540269EC"/>
    <w:rsid w:val="540575FD"/>
    <w:rsid w:val="54153962"/>
    <w:rsid w:val="541C54DC"/>
    <w:rsid w:val="541E722F"/>
    <w:rsid w:val="545847B6"/>
    <w:rsid w:val="545A4F71"/>
    <w:rsid w:val="545D050A"/>
    <w:rsid w:val="547755D2"/>
    <w:rsid w:val="54802C64"/>
    <w:rsid w:val="548968E9"/>
    <w:rsid w:val="54A662CB"/>
    <w:rsid w:val="54A81CF7"/>
    <w:rsid w:val="54AC14F8"/>
    <w:rsid w:val="54B1690E"/>
    <w:rsid w:val="54B65A70"/>
    <w:rsid w:val="54B90735"/>
    <w:rsid w:val="54D94D8C"/>
    <w:rsid w:val="54E71805"/>
    <w:rsid w:val="54F363EA"/>
    <w:rsid w:val="54FB7079"/>
    <w:rsid w:val="551940AB"/>
    <w:rsid w:val="551D1046"/>
    <w:rsid w:val="552349BA"/>
    <w:rsid w:val="5556068C"/>
    <w:rsid w:val="556B622D"/>
    <w:rsid w:val="556F7038"/>
    <w:rsid w:val="557865DC"/>
    <w:rsid w:val="557C08CC"/>
    <w:rsid w:val="558A5663"/>
    <w:rsid w:val="55A33D95"/>
    <w:rsid w:val="55AF223A"/>
    <w:rsid w:val="55B13325"/>
    <w:rsid w:val="55B948A8"/>
    <w:rsid w:val="55BA2908"/>
    <w:rsid w:val="55E005F1"/>
    <w:rsid w:val="55F27611"/>
    <w:rsid w:val="55F31EE8"/>
    <w:rsid w:val="56086E1F"/>
    <w:rsid w:val="560939B3"/>
    <w:rsid w:val="560D2F8D"/>
    <w:rsid w:val="561220C4"/>
    <w:rsid w:val="5621105A"/>
    <w:rsid w:val="562F03BF"/>
    <w:rsid w:val="56403899"/>
    <w:rsid w:val="56472FA9"/>
    <w:rsid w:val="566775D0"/>
    <w:rsid w:val="566A2753"/>
    <w:rsid w:val="567773F3"/>
    <w:rsid w:val="56885586"/>
    <w:rsid w:val="56994D06"/>
    <w:rsid w:val="56B40BAD"/>
    <w:rsid w:val="56BF116C"/>
    <w:rsid w:val="56BF562A"/>
    <w:rsid w:val="56C60475"/>
    <w:rsid w:val="56C711FC"/>
    <w:rsid w:val="56ED0EAB"/>
    <w:rsid w:val="57032A71"/>
    <w:rsid w:val="57037963"/>
    <w:rsid w:val="570E1063"/>
    <w:rsid w:val="572C71AB"/>
    <w:rsid w:val="573C484C"/>
    <w:rsid w:val="57796194"/>
    <w:rsid w:val="57844525"/>
    <w:rsid w:val="578D3481"/>
    <w:rsid w:val="579F693C"/>
    <w:rsid w:val="57A06424"/>
    <w:rsid w:val="57B51470"/>
    <w:rsid w:val="57D937C2"/>
    <w:rsid w:val="57DF393A"/>
    <w:rsid w:val="57E57063"/>
    <w:rsid w:val="580905A5"/>
    <w:rsid w:val="580B4A02"/>
    <w:rsid w:val="58273D2E"/>
    <w:rsid w:val="58352006"/>
    <w:rsid w:val="58523E3F"/>
    <w:rsid w:val="586B53AC"/>
    <w:rsid w:val="5875079C"/>
    <w:rsid w:val="588562C6"/>
    <w:rsid w:val="589F26F3"/>
    <w:rsid w:val="58A40BBC"/>
    <w:rsid w:val="58A62200"/>
    <w:rsid w:val="58A957AC"/>
    <w:rsid w:val="58AC46F1"/>
    <w:rsid w:val="58BB6060"/>
    <w:rsid w:val="58C3742F"/>
    <w:rsid w:val="58C413C9"/>
    <w:rsid w:val="58ED49F0"/>
    <w:rsid w:val="590D1156"/>
    <w:rsid w:val="590F1AAD"/>
    <w:rsid w:val="59165894"/>
    <w:rsid w:val="592119C7"/>
    <w:rsid w:val="592E6ADF"/>
    <w:rsid w:val="59350ABE"/>
    <w:rsid w:val="59543397"/>
    <w:rsid w:val="59545699"/>
    <w:rsid w:val="595A15A9"/>
    <w:rsid w:val="595B758C"/>
    <w:rsid w:val="597A059A"/>
    <w:rsid w:val="59803066"/>
    <w:rsid w:val="598C1808"/>
    <w:rsid w:val="59920FB2"/>
    <w:rsid w:val="59A547FA"/>
    <w:rsid w:val="59AB60A8"/>
    <w:rsid w:val="59BC6466"/>
    <w:rsid w:val="59BC7647"/>
    <w:rsid w:val="59BD50C9"/>
    <w:rsid w:val="59C0604D"/>
    <w:rsid w:val="59C40B22"/>
    <w:rsid w:val="59C44A54"/>
    <w:rsid w:val="59C67742"/>
    <w:rsid w:val="59CB0487"/>
    <w:rsid w:val="59E129B1"/>
    <w:rsid w:val="59EF2730"/>
    <w:rsid w:val="59F66527"/>
    <w:rsid w:val="59FA4F2E"/>
    <w:rsid w:val="5A436E29"/>
    <w:rsid w:val="5A6A6175"/>
    <w:rsid w:val="5A6B06E5"/>
    <w:rsid w:val="5A712100"/>
    <w:rsid w:val="5A804E18"/>
    <w:rsid w:val="5A933E27"/>
    <w:rsid w:val="5A936D2D"/>
    <w:rsid w:val="5ABB34FE"/>
    <w:rsid w:val="5ADEAA94"/>
    <w:rsid w:val="5AE31628"/>
    <w:rsid w:val="5AF67317"/>
    <w:rsid w:val="5B06378F"/>
    <w:rsid w:val="5B0F4A76"/>
    <w:rsid w:val="5B1A6BC3"/>
    <w:rsid w:val="5B1B5600"/>
    <w:rsid w:val="5B220CCD"/>
    <w:rsid w:val="5B263109"/>
    <w:rsid w:val="5B305C40"/>
    <w:rsid w:val="5B3738A7"/>
    <w:rsid w:val="5B4900D3"/>
    <w:rsid w:val="5B5112BC"/>
    <w:rsid w:val="5B761E9C"/>
    <w:rsid w:val="5B77791D"/>
    <w:rsid w:val="5BBA4800"/>
    <w:rsid w:val="5BD874F8"/>
    <w:rsid w:val="5BE11FD5"/>
    <w:rsid w:val="5BE92561"/>
    <w:rsid w:val="5BEA7C5C"/>
    <w:rsid w:val="5BFFF556"/>
    <w:rsid w:val="5C166792"/>
    <w:rsid w:val="5C1E5B2C"/>
    <w:rsid w:val="5C207B33"/>
    <w:rsid w:val="5C4F3A8E"/>
    <w:rsid w:val="5C506835"/>
    <w:rsid w:val="5C57280E"/>
    <w:rsid w:val="5C576F8B"/>
    <w:rsid w:val="5C60270A"/>
    <w:rsid w:val="5C690043"/>
    <w:rsid w:val="5C6B60DE"/>
    <w:rsid w:val="5C6D3C73"/>
    <w:rsid w:val="5C802055"/>
    <w:rsid w:val="5CC55041"/>
    <w:rsid w:val="5CEC05CB"/>
    <w:rsid w:val="5D027952"/>
    <w:rsid w:val="5D07039A"/>
    <w:rsid w:val="5D327BF3"/>
    <w:rsid w:val="5D3C6BEF"/>
    <w:rsid w:val="5D7D4737"/>
    <w:rsid w:val="5D7F4E68"/>
    <w:rsid w:val="5D816FBD"/>
    <w:rsid w:val="5DB46EC8"/>
    <w:rsid w:val="5DC72CB4"/>
    <w:rsid w:val="5DD2595F"/>
    <w:rsid w:val="5DE6099B"/>
    <w:rsid w:val="5DF718D5"/>
    <w:rsid w:val="5DFE5040"/>
    <w:rsid w:val="5E004971"/>
    <w:rsid w:val="5E02034F"/>
    <w:rsid w:val="5E0943D3"/>
    <w:rsid w:val="5E165C67"/>
    <w:rsid w:val="5E1A20EF"/>
    <w:rsid w:val="5E1E4379"/>
    <w:rsid w:val="5E42455D"/>
    <w:rsid w:val="5E520EAF"/>
    <w:rsid w:val="5E661CCC"/>
    <w:rsid w:val="5E85179E"/>
    <w:rsid w:val="5E864F3D"/>
    <w:rsid w:val="5E8A4A73"/>
    <w:rsid w:val="5E8B6F2B"/>
    <w:rsid w:val="5EAE2966"/>
    <w:rsid w:val="5EBB323D"/>
    <w:rsid w:val="5EC13B3A"/>
    <w:rsid w:val="5EE5503B"/>
    <w:rsid w:val="5EFFDB35"/>
    <w:rsid w:val="5F0A15EC"/>
    <w:rsid w:val="5F1815D9"/>
    <w:rsid w:val="5F269604"/>
    <w:rsid w:val="5F2B1033"/>
    <w:rsid w:val="5F4B3D29"/>
    <w:rsid w:val="5F4F24EC"/>
    <w:rsid w:val="5F607D8F"/>
    <w:rsid w:val="5F7FC5AE"/>
    <w:rsid w:val="5F8F365B"/>
    <w:rsid w:val="5F907430"/>
    <w:rsid w:val="5F9167D9"/>
    <w:rsid w:val="5F9532F7"/>
    <w:rsid w:val="5F9728E0"/>
    <w:rsid w:val="5FA16A73"/>
    <w:rsid w:val="5FA45EF3"/>
    <w:rsid w:val="5FAA7382"/>
    <w:rsid w:val="5FAC2886"/>
    <w:rsid w:val="5FC6687A"/>
    <w:rsid w:val="5FD00CBC"/>
    <w:rsid w:val="5FD66AD6"/>
    <w:rsid w:val="5FE244BF"/>
    <w:rsid w:val="5FE307E1"/>
    <w:rsid w:val="5FE62CFB"/>
    <w:rsid w:val="5FE813E6"/>
    <w:rsid w:val="5FE84C69"/>
    <w:rsid w:val="5FF34062"/>
    <w:rsid w:val="5FF747BC"/>
    <w:rsid w:val="5FFD8E1B"/>
    <w:rsid w:val="6005286D"/>
    <w:rsid w:val="6012002C"/>
    <w:rsid w:val="603960A5"/>
    <w:rsid w:val="603B0F79"/>
    <w:rsid w:val="6046022C"/>
    <w:rsid w:val="6055781B"/>
    <w:rsid w:val="60561D75"/>
    <w:rsid w:val="6061506F"/>
    <w:rsid w:val="60641776"/>
    <w:rsid w:val="606B1557"/>
    <w:rsid w:val="606F03C5"/>
    <w:rsid w:val="608778BD"/>
    <w:rsid w:val="60AF33AD"/>
    <w:rsid w:val="60CE1F6A"/>
    <w:rsid w:val="60DB1C73"/>
    <w:rsid w:val="60DE0679"/>
    <w:rsid w:val="60E0617B"/>
    <w:rsid w:val="60E24E81"/>
    <w:rsid w:val="60E8480C"/>
    <w:rsid w:val="61042B59"/>
    <w:rsid w:val="610A7B05"/>
    <w:rsid w:val="61224BC0"/>
    <w:rsid w:val="61293077"/>
    <w:rsid w:val="61311B4C"/>
    <w:rsid w:val="61316817"/>
    <w:rsid w:val="613706A1"/>
    <w:rsid w:val="613C4296"/>
    <w:rsid w:val="61445E1F"/>
    <w:rsid w:val="61497D28"/>
    <w:rsid w:val="617D727E"/>
    <w:rsid w:val="61886DBF"/>
    <w:rsid w:val="61A62640"/>
    <w:rsid w:val="61BF4C4D"/>
    <w:rsid w:val="61DB64A9"/>
    <w:rsid w:val="61E437AA"/>
    <w:rsid w:val="61F9789D"/>
    <w:rsid w:val="61FF67A2"/>
    <w:rsid w:val="623A4451"/>
    <w:rsid w:val="624C1ED5"/>
    <w:rsid w:val="626D6F4F"/>
    <w:rsid w:val="62A2520B"/>
    <w:rsid w:val="62A3326C"/>
    <w:rsid w:val="62AF07CC"/>
    <w:rsid w:val="62B671B3"/>
    <w:rsid w:val="63097D09"/>
    <w:rsid w:val="630B100E"/>
    <w:rsid w:val="6347745E"/>
    <w:rsid w:val="634C0EE7"/>
    <w:rsid w:val="634D6D0E"/>
    <w:rsid w:val="63821F51"/>
    <w:rsid w:val="63A55989"/>
    <w:rsid w:val="63A640AA"/>
    <w:rsid w:val="63B93025"/>
    <w:rsid w:val="63BA20AB"/>
    <w:rsid w:val="63BC0744"/>
    <w:rsid w:val="63C223BD"/>
    <w:rsid w:val="63C33D24"/>
    <w:rsid w:val="63D1797C"/>
    <w:rsid w:val="63D647A5"/>
    <w:rsid w:val="63D73BDA"/>
    <w:rsid w:val="63DE6DE8"/>
    <w:rsid w:val="63E818F6"/>
    <w:rsid w:val="63ED7B11"/>
    <w:rsid w:val="63F34114"/>
    <w:rsid w:val="63FC60B8"/>
    <w:rsid w:val="6409597F"/>
    <w:rsid w:val="640C3047"/>
    <w:rsid w:val="64307BD2"/>
    <w:rsid w:val="645B2050"/>
    <w:rsid w:val="646137FB"/>
    <w:rsid w:val="647B27DE"/>
    <w:rsid w:val="647E4527"/>
    <w:rsid w:val="64822C74"/>
    <w:rsid w:val="648B4982"/>
    <w:rsid w:val="649D173C"/>
    <w:rsid w:val="649D39A3"/>
    <w:rsid w:val="64AB2CB8"/>
    <w:rsid w:val="64BF7D01"/>
    <w:rsid w:val="64D77000"/>
    <w:rsid w:val="64DE698B"/>
    <w:rsid w:val="64F22CB4"/>
    <w:rsid w:val="65024091"/>
    <w:rsid w:val="65301AFB"/>
    <w:rsid w:val="65317515"/>
    <w:rsid w:val="65357399"/>
    <w:rsid w:val="65367EAA"/>
    <w:rsid w:val="6537031E"/>
    <w:rsid w:val="65407929"/>
    <w:rsid w:val="654D7751"/>
    <w:rsid w:val="655478C6"/>
    <w:rsid w:val="6560457B"/>
    <w:rsid w:val="659C0042"/>
    <w:rsid w:val="659F31C5"/>
    <w:rsid w:val="65AA2ABD"/>
    <w:rsid w:val="65B221E6"/>
    <w:rsid w:val="65B73247"/>
    <w:rsid w:val="65E85210"/>
    <w:rsid w:val="65F56152"/>
    <w:rsid w:val="66087E88"/>
    <w:rsid w:val="66100001"/>
    <w:rsid w:val="6618540E"/>
    <w:rsid w:val="661A55F3"/>
    <w:rsid w:val="66245C1E"/>
    <w:rsid w:val="667B2D14"/>
    <w:rsid w:val="669E594D"/>
    <w:rsid w:val="66A11AEE"/>
    <w:rsid w:val="66AB26A5"/>
    <w:rsid w:val="66AD5293"/>
    <w:rsid w:val="66C40CC7"/>
    <w:rsid w:val="66CE5E36"/>
    <w:rsid w:val="66D1263E"/>
    <w:rsid w:val="66F22829"/>
    <w:rsid w:val="66F51C64"/>
    <w:rsid w:val="66F71994"/>
    <w:rsid w:val="67107BA4"/>
    <w:rsid w:val="67130F21"/>
    <w:rsid w:val="671B24D0"/>
    <w:rsid w:val="67264A6E"/>
    <w:rsid w:val="673E5311"/>
    <w:rsid w:val="673F4E70"/>
    <w:rsid w:val="67441049"/>
    <w:rsid w:val="674738B3"/>
    <w:rsid w:val="676714C5"/>
    <w:rsid w:val="677851E5"/>
    <w:rsid w:val="67895E66"/>
    <w:rsid w:val="67AB1EFE"/>
    <w:rsid w:val="67AE2F25"/>
    <w:rsid w:val="67C70B52"/>
    <w:rsid w:val="67E1016E"/>
    <w:rsid w:val="67EA5309"/>
    <w:rsid w:val="67F07212"/>
    <w:rsid w:val="67F16B09"/>
    <w:rsid w:val="67F831F2"/>
    <w:rsid w:val="67FF43DA"/>
    <w:rsid w:val="67FFECF4"/>
    <w:rsid w:val="680B10C1"/>
    <w:rsid w:val="681151C8"/>
    <w:rsid w:val="681201F7"/>
    <w:rsid w:val="683A638D"/>
    <w:rsid w:val="68480F25"/>
    <w:rsid w:val="68596C41"/>
    <w:rsid w:val="68642A54"/>
    <w:rsid w:val="687B6DF6"/>
    <w:rsid w:val="688364F1"/>
    <w:rsid w:val="688558EE"/>
    <w:rsid w:val="688D084D"/>
    <w:rsid w:val="68C2756A"/>
    <w:rsid w:val="68D42D40"/>
    <w:rsid w:val="68E17E1F"/>
    <w:rsid w:val="68FB13B4"/>
    <w:rsid w:val="690243BE"/>
    <w:rsid w:val="691702F9"/>
    <w:rsid w:val="69260E77"/>
    <w:rsid w:val="69430DBD"/>
    <w:rsid w:val="694645EB"/>
    <w:rsid w:val="694E51C8"/>
    <w:rsid w:val="696F1AC8"/>
    <w:rsid w:val="69731BEA"/>
    <w:rsid w:val="69763B96"/>
    <w:rsid w:val="69783816"/>
    <w:rsid w:val="6984509C"/>
    <w:rsid w:val="6985092D"/>
    <w:rsid w:val="6985633F"/>
    <w:rsid w:val="69900EBC"/>
    <w:rsid w:val="69961FAE"/>
    <w:rsid w:val="69A71894"/>
    <w:rsid w:val="69BB1E26"/>
    <w:rsid w:val="69D803B7"/>
    <w:rsid w:val="69E90652"/>
    <w:rsid w:val="69FA57DA"/>
    <w:rsid w:val="6A0E178B"/>
    <w:rsid w:val="6A1A3C20"/>
    <w:rsid w:val="6A2B2978"/>
    <w:rsid w:val="6A385E52"/>
    <w:rsid w:val="6A3C235D"/>
    <w:rsid w:val="6A441C65"/>
    <w:rsid w:val="6A475E6F"/>
    <w:rsid w:val="6A5E5885"/>
    <w:rsid w:val="6A736F31"/>
    <w:rsid w:val="6A740236"/>
    <w:rsid w:val="6A7E0847"/>
    <w:rsid w:val="6A8C13B3"/>
    <w:rsid w:val="6AAB6191"/>
    <w:rsid w:val="6ABD4A25"/>
    <w:rsid w:val="6AC16535"/>
    <w:rsid w:val="6AC564C1"/>
    <w:rsid w:val="6ADB21B3"/>
    <w:rsid w:val="6ADD4F1D"/>
    <w:rsid w:val="6AE20869"/>
    <w:rsid w:val="6AE362EB"/>
    <w:rsid w:val="6AE43D6D"/>
    <w:rsid w:val="6AE517EE"/>
    <w:rsid w:val="6AEA5C76"/>
    <w:rsid w:val="6AF725AD"/>
    <w:rsid w:val="6AF93390"/>
    <w:rsid w:val="6B0B1A2E"/>
    <w:rsid w:val="6B0D4F31"/>
    <w:rsid w:val="6B113AB4"/>
    <w:rsid w:val="6B1E6110"/>
    <w:rsid w:val="6B260059"/>
    <w:rsid w:val="6B302B67"/>
    <w:rsid w:val="6B31126F"/>
    <w:rsid w:val="6B3602F4"/>
    <w:rsid w:val="6B650D07"/>
    <w:rsid w:val="6B6639F7"/>
    <w:rsid w:val="6B774409"/>
    <w:rsid w:val="6B7C0A68"/>
    <w:rsid w:val="6B869087"/>
    <w:rsid w:val="6B99572F"/>
    <w:rsid w:val="6BA66029"/>
    <w:rsid w:val="6BA8305F"/>
    <w:rsid w:val="6BAD1237"/>
    <w:rsid w:val="6BC333DB"/>
    <w:rsid w:val="6BFBC45A"/>
    <w:rsid w:val="6C030941"/>
    <w:rsid w:val="6C0E19FD"/>
    <w:rsid w:val="6C202772"/>
    <w:rsid w:val="6C2A610A"/>
    <w:rsid w:val="6C311EB8"/>
    <w:rsid w:val="6C3C4224"/>
    <w:rsid w:val="6C4007A6"/>
    <w:rsid w:val="6C5B796C"/>
    <w:rsid w:val="6C673EE9"/>
    <w:rsid w:val="6C710F75"/>
    <w:rsid w:val="6C727C31"/>
    <w:rsid w:val="6C871509"/>
    <w:rsid w:val="6CAA78BC"/>
    <w:rsid w:val="6CB179D6"/>
    <w:rsid w:val="6CC42F7D"/>
    <w:rsid w:val="6CE46F46"/>
    <w:rsid w:val="6CF577C1"/>
    <w:rsid w:val="6CFA6CDB"/>
    <w:rsid w:val="6CFEACD4"/>
    <w:rsid w:val="6D0240E7"/>
    <w:rsid w:val="6D057A8C"/>
    <w:rsid w:val="6D0B1173"/>
    <w:rsid w:val="6D0E3750"/>
    <w:rsid w:val="6D3FFE33"/>
    <w:rsid w:val="6D413990"/>
    <w:rsid w:val="6D4F08F4"/>
    <w:rsid w:val="6D5854FE"/>
    <w:rsid w:val="6D5F682E"/>
    <w:rsid w:val="6D67600A"/>
    <w:rsid w:val="6D7C7DE1"/>
    <w:rsid w:val="6D8A20FB"/>
    <w:rsid w:val="6D8A42F2"/>
    <w:rsid w:val="6D8E12D3"/>
    <w:rsid w:val="6D964618"/>
    <w:rsid w:val="6DC8062D"/>
    <w:rsid w:val="6DD2293A"/>
    <w:rsid w:val="6DD51EC1"/>
    <w:rsid w:val="6DE17ED2"/>
    <w:rsid w:val="6DE72228"/>
    <w:rsid w:val="6DEC0A39"/>
    <w:rsid w:val="6E1D22B5"/>
    <w:rsid w:val="6E2306C5"/>
    <w:rsid w:val="6E236C00"/>
    <w:rsid w:val="6E241B06"/>
    <w:rsid w:val="6E4B77E3"/>
    <w:rsid w:val="6E4C7581"/>
    <w:rsid w:val="6E5F4023"/>
    <w:rsid w:val="6E773BC5"/>
    <w:rsid w:val="6E807CB0"/>
    <w:rsid w:val="6E890BA5"/>
    <w:rsid w:val="6E892FB4"/>
    <w:rsid w:val="6EA9571C"/>
    <w:rsid w:val="6EB5372D"/>
    <w:rsid w:val="6EC50337"/>
    <w:rsid w:val="6ED616E4"/>
    <w:rsid w:val="6EEB64CE"/>
    <w:rsid w:val="6F2723A2"/>
    <w:rsid w:val="6F456AFE"/>
    <w:rsid w:val="6F4A6F49"/>
    <w:rsid w:val="6F697C86"/>
    <w:rsid w:val="6F722BE7"/>
    <w:rsid w:val="6F7F3DD7"/>
    <w:rsid w:val="6FA61A0B"/>
    <w:rsid w:val="6FAA2D41"/>
    <w:rsid w:val="6FB45753"/>
    <w:rsid w:val="6FD86B39"/>
    <w:rsid w:val="6FDC16CF"/>
    <w:rsid w:val="6FE0165C"/>
    <w:rsid w:val="6FE55124"/>
    <w:rsid w:val="6FF034B5"/>
    <w:rsid w:val="6FF51B3B"/>
    <w:rsid w:val="6FFA5FC3"/>
    <w:rsid w:val="6FFBACAA"/>
    <w:rsid w:val="701423F0"/>
    <w:rsid w:val="701906CC"/>
    <w:rsid w:val="70423664"/>
    <w:rsid w:val="70530D34"/>
    <w:rsid w:val="7062680E"/>
    <w:rsid w:val="70704A34"/>
    <w:rsid w:val="70776C11"/>
    <w:rsid w:val="70792114"/>
    <w:rsid w:val="707E401E"/>
    <w:rsid w:val="70845791"/>
    <w:rsid w:val="708E72D6"/>
    <w:rsid w:val="70936542"/>
    <w:rsid w:val="70DC0B34"/>
    <w:rsid w:val="70E02DBE"/>
    <w:rsid w:val="7113460D"/>
    <w:rsid w:val="711F3BA7"/>
    <w:rsid w:val="712E50BB"/>
    <w:rsid w:val="712F679E"/>
    <w:rsid w:val="714C7EEE"/>
    <w:rsid w:val="715C4A52"/>
    <w:rsid w:val="715D148D"/>
    <w:rsid w:val="717A2FBC"/>
    <w:rsid w:val="718070C4"/>
    <w:rsid w:val="7198476A"/>
    <w:rsid w:val="71AC66CB"/>
    <w:rsid w:val="71C807E0"/>
    <w:rsid w:val="71C82DC5"/>
    <w:rsid w:val="71D467CF"/>
    <w:rsid w:val="71DE2CE0"/>
    <w:rsid w:val="71FA6D8D"/>
    <w:rsid w:val="7204189B"/>
    <w:rsid w:val="72256230"/>
    <w:rsid w:val="723658ED"/>
    <w:rsid w:val="724552BB"/>
    <w:rsid w:val="724C2BE5"/>
    <w:rsid w:val="72506497"/>
    <w:rsid w:val="72617A36"/>
    <w:rsid w:val="72632F3A"/>
    <w:rsid w:val="72686235"/>
    <w:rsid w:val="72811684"/>
    <w:rsid w:val="729A1573"/>
    <w:rsid w:val="72C806E0"/>
    <w:rsid w:val="72C8107A"/>
    <w:rsid w:val="72DD58FE"/>
    <w:rsid w:val="72E0659B"/>
    <w:rsid w:val="73122695"/>
    <w:rsid w:val="732A2FF7"/>
    <w:rsid w:val="73410663"/>
    <w:rsid w:val="73445AAB"/>
    <w:rsid w:val="73495C8C"/>
    <w:rsid w:val="737F0D4A"/>
    <w:rsid w:val="737F6F2F"/>
    <w:rsid w:val="73802136"/>
    <w:rsid w:val="7381208C"/>
    <w:rsid w:val="73A43546"/>
    <w:rsid w:val="73A50FC7"/>
    <w:rsid w:val="73AC68A0"/>
    <w:rsid w:val="73B2530B"/>
    <w:rsid w:val="73B61B2B"/>
    <w:rsid w:val="73D62BD7"/>
    <w:rsid w:val="73F166A9"/>
    <w:rsid w:val="73FFEDB4"/>
    <w:rsid w:val="74101689"/>
    <w:rsid w:val="7415731F"/>
    <w:rsid w:val="74387BA7"/>
    <w:rsid w:val="743C27BF"/>
    <w:rsid w:val="744E17E0"/>
    <w:rsid w:val="7456733B"/>
    <w:rsid w:val="748158B5"/>
    <w:rsid w:val="749138BF"/>
    <w:rsid w:val="749E4DE3"/>
    <w:rsid w:val="74A9363D"/>
    <w:rsid w:val="74B31505"/>
    <w:rsid w:val="74CEC492"/>
    <w:rsid w:val="74DA5B41"/>
    <w:rsid w:val="74F71D93"/>
    <w:rsid w:val="75060086"/>
    <w:rsid w:val="75084492"/>
    <w:rsid w:val="75126ABA"/>
    <w:rsid w:val="751E0BB4"/>
    <w:rsid w:val="7523536F"/>
    <w:rsid w:val="752423E4"/>
    <w:rsid w:val="752D57C7"/>
    <w:rsid w:val="752E55CB"/>
    <w:rsid w:val="75366C26"/>
    <w:rsid w:val="7541206D"/>
    <w:rsid w:val="75435570"/>
    <w:rsid w:val="754664F5"/>
    <w:rsid w:val="75565845"/>
    <w:rsid w:val="755D4122"/>
    <w:rsid w:val="75BE5E49"/>
    <w:rsid w:val="75C42647"/>
    <w:rsid w:val="75E862EA"/>
    <w:rsid w:val="75EB4A85"/>
    <w:rsid w:val="75F67B98"/>
    <w:rsid w:val="76057CE2"/>
    <w:rsid w:val="760F43E9"/>
    <w:rsid w:val="762F0CDF"/>
    <w:rsid w:val="763C1CF8"/>
    <w:rsid w:val="764F47A9"/>
    <w:rsid w:val="7658664B"/>
    <w:rsid w:val="765C023B"/>
    <w:rsid w:val="767157B1"/>
    <w:rsid w:val="767EB57B"/>
    <w:rsid w:val="76916ADB"/>
    <w:rsid w:val="76AA7C5D"/>
    <w:rsid w:val="76B44AB4"/>
    <w:rsid w:val="76F31C74"/>
    <w:rsid w:val="76F7024B"/>
    <w:rsid w:val="77072201"/>
    <w:rsid w:val="770B58BC"/>
    <w:rsid w:val="77291F0E"/>
    <w:rsid w:val="772A1874"/>
    <w:rsid w:val="772C5091"/>
    <w:rsid w:val="77414A84"/>
    <w:rsid w:val="774C4129"/>
    <w:rsid w:val="77593271"/>
    <w:rsid w:val="77784E09"/>
    <w:rsid w:val="777A6DD7"/>
    <w:rsid w:val="777C1998"/>
    <w:rsid w:val="77A5415B"/>
    <w:rsid w:val="77A800AB"/>
    <w:rsid w:val="77AD2167"/>
    <w:rsid w:val="77BE5C84"/>
    <w:rsid w:val="77C76AB7"/>
    <w:rsid w:val="77C96214"/>
    <w:rsid w:val="77D942B0"/>
    <w:rsid w:val="77DC19B1"/>
    <w:rsid w:val="77E04712"/>
    <w:rsid w:val="77ED49B9"/>
    <w:rsid w:val="77F65DDE"/>
    <w:rsid w:val="77FD645C"/>
    <w:rsid w:val="78042B76"/>
    <w:rsid w:val="782C2A35"/>
    <w:rsid w:val="783223C0"/>
    <w:rsid w:val="78330C4F"/>
    <w:rsid w:val="78465AE8"/>
    <w:rsid w:val="785B2F14"/>
    <w:rsid w:val="785B3F75"/>
    <w:rsid w:val="785E4509"/>
    <w:rsid w:val="786774CF"/>
    <w:rsid w:val="786F22C3"/>
    <w:rsid w:val="787231A9"/>
    <w:rsid w:val="78746F41"/>
    <w:rsid w:val="788F055B"/>
    <w:rsid w:val="78905FDD"/>
    <w:rsid w:val="789A3BD2"/>
    <w:rsid w:val="789E2238"/>
    <w:rsid w:val="78CE223E"/>
    <w:rsid w:val="78E20DE4"/>
    <w:rsid w:val="78E421E4"/>
    <w:rsid w:val="790849A2"/>
    <w:rsid w:val="790D79EC"/>
    <w:rsid w:val="79144CC1"/>
    <w:rsid w:val="79160434"/>
    <w:rsid w:val="79175EB6"/>
    <w:rsid w:val="79327D64"/>
    <w:rsid w:val="795E0018"/>
    <w:rsid w:val="796E439B"/>
    <w:rsid w:val="797F3B37"/>
    <w:rsid w:val="79A67D23"/>
    <w:rsid w:val="79BA6E2B"/>
    <w:rsid w:val="79BB0D89"/>
    <w:rsid w:val="79CF72C6"/>
    <w:rsid w:val="79E546B9"/>
    <w:rsid w:val="79EE2BC7"/>
    <w:rsid w:val="79FF8CDB"/>
    <w:rsid w:val="7A1C0202"/>
    <w:rsid w:val="7A280B4F"/>
    <w:rsid w:val="7A441A6D"/>
    <w:rsid w:val="7A475141"/>
    <w:rsid w:val="7A596F53"/>
    <w:rsid w:val="7A6660F8"/>
    <w:rsid w:val="7A6A7A61"/>
    <w:rsid w:val="7A744A54"/>
    <w:rsid w:val="7A78007C"/>
    <w:rsid w:val="7A9D6FB6"/>
    <w:rsid w:val="7AA26CC1"/>
    <w:rsid w:val="7AB81427"/>
    <w:rsid w:val="7AC7367E"/>
    <w:rsid w:val="7ACF5207"/>
    <w:rsid w:val="7AD1070A"/>
    <w:rsid w:val="7AE46383"/>
    <w:rsid w:val="7AF657C0"/>
    <w:rsid w:val="7AFAB08D"/>
    <w:rsid w:val="7AFC7BD2"/>
    <w:rsid w:val="7B0321DE"/>
    <w:rsid w:val="7B380ABE"/>
    <w:rsid w:val="7B3905A7"/>
    <w:rsid w:val="7B3A2568"/>
    <w:rsid w:val="7B562849"/>
    <w:rsid w:val="7B571CE7"/>
    <w:rsid w:val="7B5909EE"/>
    <w:rsid w:val="7B62666A"/>
    <w:rsid w:val="7B6624D5"/>
    <w:rsid w:val="7B723B17"/>
    <w:rsid w:val="7B731598"/>
    <w:rsid w:val="7B7F4C8C"/>
    <w:rsid w:val="7B846711"/>
    <w:rsid w:val="7B9A5BD4"/>
    <w:rsid w:val="7BB3338D"/>
    <w:rsid w:val="7BB6457A"/>
    <w:rsid w:val="7BCF5ED1"/>
    <w:rsid w:val="7BD66EA7"/>
    <w:rsid w:val="7BE42B51"/>
    <w:rsid w:val="7BEEF992"/>
    <w:rsid w:val="7BF24065"/>
    <w:rsid w:val="7BFBAB8E"/>
    <w:rsid w:val="7C066589"/>
    <w:rsid w:val="7C111C21"/>
    <w:rsid w:val="7C22601A"/>
    <w:rsid w:val="7C3D0C61"/>
    <w:rsid w:val="7C404F8C"/>
    <w:rsid w:val="7C473732"/>
    <w:rsid w:val="7C5757C9"/>
    <w:rsid w:val="7C687527"/>
    <w:rsid w:val="7C6A62AD"/>
    <w:rsid w:val="7C6B2214"/>
    <w:rsid w:val="7C6C5F2D"/>
    <w:rsid w:val="7C6E4CB3"/>
    <w:rsid w:val="7C880995"/>
    <w:rsid w:val="7C8E09D6"/>
    <w:rsid w:val="7C94256C"/>
    <w:rsid w:val="7CAD28A9"/>
    <w:rsid w:val="7CAE667E"/>
    <w:rsid w:val="7CD05C51"/>
    <w:rsid w:val="7CD6646E"/>
    <w:rsid w:val="7CF65E91"/>
    <w:rsid w:val="7CFF0C04"/>
    <w:rsid w:val="7D003692"/>
    <w:rsid w:val="7D2334DD"/>
    <w:rsid w:val="7D3A3102"/>
    <w:rsid w:val="7D3D74B7"/>
    <w:rsid w:val="7D3E7E63"/>
    <w:rsid w:val="7D494CD3"/>
    <w:rsid w:val="7D6B38D1"/>
    <w:rsid w:val="7D742EBE"/>
    <w:rsid w:val="7D921593"/>
    <w:rsid w:val="7DA53779"/>
    <w:rsid w:val="7DAE38CD"/>
    <w:rsid w:val="7DBBB4DB"/>
    <w:rsid w:val="7DBBE82B"/>
    <w:rsid w:val="7DCD2E3E"/>
    <w:rsid w:val="7DD204D8"/>
    <w:rsid w:val="7DD2457A"/>
    <w:rsid w:val="7DD78AE5"/>
    <w:rsid w:val="7DEB85CC"/>
    <w:rsid w:val="7DEE284F"/>
    <w:rsid w:val="7E01591F"/>
    <w:rsid w:val="7E06522B"/>
    <w:rsid w:val="7E0C7299"/>
    <w:rsid w:val="7E135561"/>
    <w:rsid w:val="7E1870F5"/>
    <w:rsid w:val="7E1C7408"/>
    <w:rsid w:val="7E1F4C63"/>
    <w:rsid w:val="7E21597E"/>
    <w:rsid w:val="7E24629E"/>
    <w:rsid w:val="7E254385"/>
    <w:rsid w:val="7E350712"/>
    <w:rsid w:val="7E3B7707"/>
    <w:rsid w:val="7E4548B9"/>
    <w:rsid w:val="7E5725D5"/>
    <w:rsid w:val="7E8B17AA"/>
    <w:rsid w:val="7E942205"/>
    <w:rsid w:val="7E9460F1"/>
    <w:rsid w:val="7E983829"/>
    <w:rsid w:val="7EA55458"/>
    <w:rsid w:val="7EC9380E"/>
    <w:rsid w:val="7ED27A1C"/>
    <w:rsid w:val="7ED802EA"/>
    <w:rsid w:val="7EE834B3"/>
    <w:rsid w:val="7EEC4D02"/>
    <w:rsid w:val="7EF911F5"/>
    <w:rsid w:val="7EFCAA7C"/>
    <w:rsid w:val="7EFD1843"/>
    <w:rsid w:val="7EFEEAFA"/>
    <w:rsid w:val="7EFF33BB"/>
    <w:rsid w:val="7F051474"/>
    <w:rsid w:val="7F294B2C"/>
    <w:rsid w:val="7F3E4D3F"/>
    <w:rsid w:val="7F4B7DD0"/>
    <w:rsid w:val="7F543634"/>
    <w:rsid w:val="7F5C5FAE"/>
    <w:rsid w:val="7F652792"/>
    <w:rsid w:val="7F6909F4"/>
    <w:rsid w:val="7F8B714F"/>
    <w:rsid w:val="7F8E22D2"/>
    <w:rsid w:val="7FA69668"/>
    <w:rsid w:val="7FAE7261"/>
    <w:rsid w:val="7FBEDC8F"/>
    <w:rsid w:val="7FBF77EF"/>
    <w:rsid w:val="7FC10202"/>
    <w:rsid w:val="7FD01448"/>
    <w:rsid w:val="7FDE24F1"/>
    <w:rsid w:val="7FEBA56E"/>
    <w:rsid w:val="7FEC5EEF"/>
    <w:rsid w:val="7FFCC0FA"/>
    <w:rsid w:val="7FFF38C8"/>
    <w:rsid w:val="7FFF55C6"/>
    <w:rsid w:val="89DB1DCF"/>
    <w:rsid w:val="9DD3CB53"/>
    <w:rsid w:val="9EF75E69"/>
    <w:rsid w:val="AEABB407"/>
    <w:rsid w:val="B6AD3B01"/>
    <w:rsid w:val="B6F74C44"/>
    <w:rsid w:val="B6FFA2E0"/>
    <w:rsid w:val="B7EF75D6"/>
    <w:rsid w:val="B7F572ED"/>
    <w:rsid w:val="B8DF87C8"/>
    <w:rsid w:val="BADFD651"/>
    <w:rsid w:val="BAF6E91A"/>
    <w:rsid w:val="BC7FCA6C"/>
    <w:rsid w:val="BD9DB35D"/>
    <w:rsid w:val="BDEF1380"/>
    <w:rsid w:val="BE77FDC3"/>
    <w:rsid w:val="BFED01A3"/>
    <w:rsid w:val="BFF5C600"/>
    <w:rsid w:val="C7AEEF1C"/>
    <w:rsid w:val="CBED25F2"/>
    <w:rsid w:val="CBFE98F3"/>
    <w:rsid w:val="D75FEC50"/>
    <w:rsid w:val="D77D1F3D"/>
    <w:rsid w:val="D996C1E9"/>
    <w:rsid w:val="D9D8FA27"/>
    <w:rsid w:val="D9EDBBB6"/>
    <w:rsid w:val="D9F5B9BE"/>
    <w:rsid w:val="DBFEB7AE"/>
    <w:rsid w:val="DCDF6F9E"/>
    <w:rsid w:val="DD7F9D57"/>
    <w:rsid w:val="DFA344A5"/>
    <w:rsid w:val="DFF3DD52"/>
    <w:rsid w:val="DFFD5986"/>
    <w:rsid w:val="E77F276E"/>
    <w:rsid w:val="E7984660"/>
    <w:rsid w:val="E7DE98A1"/>
    <w:rsid w:val="E8773A69"/>
    <w:rsid w:val="E9D9DBD7"/>
    <w:rsid w:val="EBA74B76"/>
    <w:rsid w:val="EBAFE954"/>
    <w:rsid w:val="EC5B78D9"/>
    <w:rsid w:val="EC7AC189"/>
    <w:rsid w:val="EF5FBAF1"/>
    <w:rsid w:val="EF7F4ABD"/>
    <w:rsid w:val="EFFB124B"/>
    <w:rsid w:val="F42E35D0"/>
    <w:rsid w:val="F4BB2087"/>
    <w:rsid w:val="F4FF0FC5"/>
    <w:rsid w:val="F57DDC0D"/>
    <w:rsid w:val="F77A0E1D"/>
    <w:rsid w:val="F77F2AEC"/>
    <w:rsid w:val="F7D2CD4C"/>
    <w:rsid w:val="F7FF1721"/>
    <w:rsid w:val="F7FF9415"/>
    <w:rsid w:val="F97B90E8"/>
    <w:rsid w:val="FBFB6B67"/>
    <w:rsid w:val="FBFF5931"/>
    <w:rsid w:val="FCE2B683"/>
    <w:rsid w:val="FD5A1DE7"/>
    <w:rsid w:val="FE3EF83E"/>
    <w:rsid w:val="FE7D1FC5"/>
    <w:rsid w:val="FEE73A26"/>
    <w:rsid w:val="FEFB8110"/>
    <w:rsid w:val="FEFEDEB1"/>
    <w:rsid w:val="FF3B317A"/>
    <w:rsid w:val="FF5F3653"/>
    <w:rsid w:val="FF6E6EF9"/>
    <w:rsid w:val="FF76CFB5"/>
    <w:rsid w:val="FFADD687"/>
    <w:rsid w:val="FFD75986"/>
    <w:rsid w:val="FFF31711"/>
    <w:rsid w:val="FFF94AFE"/>
    <w:rsid w:val="FFFBD52F"/>
    <w:rsid w:val="FFFF41E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0"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3"/>
    <w:qFormat/>
    <w:uiPriority w:val="9"/>
    <w:pPr>
      <w:keepNext/>
      <w:keepLines/>
      <w:spacing w:before="340" w:after="330" w:line="578" w:lineRule="auto"/>
      <w:outlineLvl w:val="0"/>
    </w:pPr>
    <w:rPr>
      <w:b/>
      <w:bCs/>
      <w:kern w:val="44"/>
      <w:sz w:val="44"/>
      <w:szCs w:val="44"/>
    </w:rPr>
  </w:style>
  <w:style w:type="paragraph" w:styleId="4">
    <w:name w:val="heading 2"/>
    <w:basedOn w:val="1"/>
    <w:next w:val="5"/>
    <w:link w:val="44"/>
    <w:qFormat/>
    <w:uiPriority w:val="9"/>
    <w:pPr>
      <w:keepNext/>
      <w:ind w:left="990"/>
      <w:outlineLvl w:val="1"/>
    </w:pPr>
    <w:rPr>
      <w:sz w:val="28"/>
      <w:szCs w:val="20"/>
    </w:rPr>
  </w:style>
  <w:style w:type="paragraph" w:styleId="6">
    <w:name w:val="heading 3"/>
    <w:basedOn w:val="1"/>
    <w:next w:val="1"/>
    <w:qFormat/>
    <w:uiPriority w:val="9"/>
    <w:pPr>
      <w:keepNext/>
      <w:keepLines/>
      <w:spacing w:before="260" w:beforeLines="0" w:beforeAutospacing="0" w:after="260" w:afterLines="0" w:afterAutospacing="0" w:line="413" w:lineRule="auto"/>
      <w:outlineLvl w:val="2"/>
    </w:pPr>
    <w:rPr>
      <w:b/>
      <w:sz w:val="32"/>
    </w:rPr>
  </w:style>
  <w:style w:type="paragraph" w:styleId="7">
    <w:name w:val="heading 9"/>
    <w:basedOn w:val="1"/>
    <w:next w:val="1"/>
    <w:link w:val="35"/>
    <w:qFormat/>
    <w:uiPriority w:val="9"/>
    <w:pPr>
      <w:keepNext/>
      <w:keepLines/>
      <w:spacing w:before="240" w:after="64" w:line="320" w:lineRule="auto"/>
      <w:outlineLvl w:val="8"/>
    </w:pPr>
    <w:rPr>
      <w:rFonts w:ascii="Calibri Light" w:hAnsi="Calibri Light" w:eastAsia="宋体" w:cs="Times New Roman"/>
      <w:szCs w:val="21"/>
    </w:rPr>
  </w:style>
  <w:style w:type="character" w:default="1" w:styleId="29">
    <w:name w:val="Default Paragraph Font"/>
    <w:unhideWhenUsed/>
    <w:qFormat/>
    <w:uiPriority w:val="0"/>
  </w:style>
  <w:style w:type="table" w:default="1" w:styleId="27">
    <w:name w:val="Normal Table"/>
    <w:unhideWhenUsed/>
    <w:qFormat/>
    <w:uiPriority w:val="99"/>
    <w:tblPr>
      <w:tblCellMar>
        <w:top w:w="0" w:type="dxa"/>
        <w:left w:w="0" w:type="dxa"/>
        <w:bottom w:w="0" w:type="dxa"/>
        <w:right w:w="0" w:type="dxa"/>
      </w:tblCellMar>
    </w:tblPr>
  </w:style>
  <w:style w:type="paragraph" w:styleId="2">
    <w:name w:val="Body Text"/>
    <w:basedOn w:val="1"/>
    <w:next w:val="1"/>
    <w:link w:val="37"/>
    <w:unhideWhenUsed/>
    <w:qFormat/>
    <w:uiPriority w:val="99"/>
    <w:rPr>
      <w:sz w:val="28"/>
    </w:rPr>
  </w:style>
  <w:style w:type="paragraph" w:styleId="5">
    <w:name w:val="Normal Indent"/>
    <w:basedOn w:val="1"/>
    <w:unhideWhenUsed/>
    <w:qFormat/>
    <w:uiPriority w:val="99"/>
    <w:pPr>
      <w:ind w:firstLine="420" w:firstLineChars="200"/>
    </w:pPr>
  </w:style>
  <w:style w:type="paragraph" w:styleId="8">
    <w:name w:val="toc 7"/>
    <w:basedOn w:val="1"/>
    <w:next w:val="1"/>
    <w:unhideWhenUsed/>
    <w:qFormat/>
    <w:uiPriority w:val="39"/>
    <w:pPr>
      <w:ind w:left="2520" w:leftChars="1200"/>
    </w:pPr>
  </w:style>
  <w:style w:type="paragraph" w:styleId="9">
    <w:name w:val="table of authorities"/>
    <w:basedOn w:val="1"/>
    <w:next w:val="1"/>
    <w:qFormat/>
    <w:uiPriority w:val="0"/>
    <w:pPr>
      <w:ind w:left="210" w:hanging="210"/>
      <w:jc w:val="left"/>
    </w:pPr>
    <w:rPr>
      <w:rFonts w:cs="Calibri"/>
      <w:sz w:val="20"/>
      <w:szCs w:val="20"/>
    </w:rPr>
  </w:style>
  <w:style w:type="paragraph" w:styleId="10">
    <w:name w:val="annotation text"/>
    <w:basedOn w:val="1"/>
    <w:link w:val="36"/>
    <w:unhideWhenUsed/>
    <w:qFormat/>
    <w:uiPriority w:val="99"/>
    <w:pPr>
      <w:jc w:val="left"/>
    </w:pPr>
  </w:style>
  <w:style w:type="paragraph" w:styleId="11">
    <w:name w:val="Body Text Indent"/>
    <w:basedOn w:val="1"/>
    <w:unhideWhenUsed/>
    <w:qFormat/>
    <w:uiPriority w:val="99"/>
    <w:pPr>
      <w:ind w:left="540" w:leftChars="257" w:firstLine="20" w:firstLineChars="7"/>
    </w:pPr>
    <w:rPr>
      <w:sz w:val="28"/>
    </w:rPr>
  </w:style>
  <w:style w:type="paragraph" w:styleId="12">
    <w:name w:val="toc 5"/>
    <w:basedOn w:val="1"/>
    <w:next w:val="1"/>
    <w:unhideWhenUsed/>
    <w:qFormat/>
    <w:uiPriority w:val="39"/>
    <w:pPr>
      <w:ind w:left="1680" w:leftChars="800"/>
    </w:pPr>
  </w:style>
  <w:style w:type="paragraph" w:styleId="13">
    <w:name w:val="toc 3"/>
    <w:basedOn w:val="1"/>
    <w:next w:val="1"/>
    <w:unhideWhenUsed/>
    <w:qFormat/>
    <w:uiPriority w:val="39"/>
    <w:pPr>
      <w:ind w:left="840" w:leftChars="400"/>
    </w:pPr>
  </w:style>
  <w:style w:type="paragraph" w:styleId="14">
    <w:name w:val="Plain Text"/>
    <w:basedOn w:val="1"/>
    <w:link w:val="38"/>
    <w:unhideWhenUsed/>
    <w:qFormat/>
    <w:uiPriority w:val="99"/>
    <w:rPr>
      <w:rFonts w:ascii="宋体" w:hAnsi="Courier New"/>
    </w:rPr>
  </w:style>
  <w:style w:type="paragraph" w:styleId="15">
    <w:name w:val="toc 8"/>
    <w:basedOn w:val="1"/>
    <w:next w:val="1"/>
    <w:unhideWhenUsed/>
    <w:qFormat/>
    <w:uiPriority w:val="39"/>
    <w:pPr>
      <w:ind w:left="2940" w:leftChars="1400"/>
    </w:pPr>
  </w:style>
  <w:style w:type="paragraph" w:styleId="16">
    <w:name w:val="Body Text Indent 2"/>
    <w:basedOn w:val="1"/>
    <w:unhideWhenUsed/>
    <w:qFormat/>
    <w:uiPriority w:val="99"/>
    <w:pPr>
      <w:spacing w:after="120" w:line="480" w:lineRule="auto"/>
      <w:ind w:left="420" w:leftChars="200"/>
    </w:pPr>
  </w:style>
  <w:style w:type="paragraph" w:styleId="17">
    <w:name w:val="Balloon Text"/>
    <w:basedOn w:val="1"/>
    <w:link w:val="39"/>
    <w:unhideWhenUsed/>
    <w:qFormat/>
    <w:uiPriority w:val="99"/>
    <w:rPr>
      <w:sz w:val="18"/>
      <w:szCs w:val="18"/>
    </w:rPr>
  </w:style>
  <w:style w:type="paragraph" w:styleId="18">
    <w:name w:val="footer"/>
    <w:basedOn w:val="1"/>
    <w:link w:val="40"/>
    <w:unhideWhenUsed/>
    <w:qFormat/>
    <w:uiPriority w:val="99"/>
    <w:pPr>
      <w:tabs>
        <w:tab w:val="center" w:pos="4153"/>
        <w:tab w:val="right" w:pos="8306"/>
      </w:tabs>
      <w:snapToGrid w:val="0"/>
      <w:jc w:val="left"/>
    </w:pPr>
    <w:rPr>
      <w:sz w:val="18"/>
      <w:szCs w:val="18"/>
    </w:rPr>
  </w:style>
  <w:style w:type="paragraph" w:styleId="19">
    <w:name w:val="header"/>
    <w:basedOn w:val="1"/>
    <w:unhideWhenUsed/>
    <w:qFormat/>
    <w:uiPriority w:val="0"/>
    <w:pPr>
      <w:pBdr>
        <w:bottom w:val="single" w:color="auto" w:sz="6" w:space="1"/>
      </w:pBdr>
      <w:tabs>
        <w:tab w:val="center" w:pos="4153"/>
        <w:tab w:val="right" w:pos="8306"/>
      </w:tabs>
      <w:snapToGrid w:val="0"/>
      <w:jc w:val="center"/>
    </w:pPr>
    <w:rPr>
      <w:sz w:val="18"/>
    </w:rPr>
  </w:style>
  <w:style w:type="paragraph" w:styleId="20">
    <w:name w:val="toc 1"/>
    <w:basedOn w:val="1"/>
    <w:next w:val="1"/>
    <w:unhideWhenUsed/>
    <w:qFormat/>
    <w:uiPriority w:val="39"/>
  </w:style>
  <w:style w:type="paragraph" w:styleId="21">
    <w:name w:val="toc 4"/>
    <w:basedOn w:val="1"/>
    <w:next w:val="1"/>
    <w:unhideWhenUsed/>
    <w:qFormat/>
    <w:uiPriority w:val="39"/>
    <w:pPr>
      <w:ind w:left="1260" w:leftChars="600"/>
    </w:pPr>
  </w:style>
  <w:style w:type="paragraph" w:styleId="22">
    <w:name w:val="toc 6"/>
    <w:basedOn w:val="1"/>
    <w:next w:val="1"/>
    <w:unhideWhenUsed/>
    <w:qFormat/>
    <w:uiPriority w:val="39"/>
    <w:pPr>
      <w:ind w:left="2100" w:leftChars="1000"/>
    </w:pPr>
  </w:style>
  <w:style w:type="paragraph" w:styleId="23">
    <w:name w:val="toc 2"/>
    <w:basedOn w:val="1"/>
    <w:next w:val="1"/>
    <w:link w:val="41"/>
    <w:unhideWhenUsed/>
    <w:qFormat/>
    <w:uiPriority w:val="39"/>
    <w:pPr>
      <w:ind w:left="420" w:leftChars="200"/>
    </w:pPr>
  </w:style>
  <w:style w:type="paragraph" w:styleId="24">
    <w:name w:val="toc 9"/>
    <w:basedOn w:val="1"/>
    <w:next w:val="1"/>
    <w:unhideWhenUsed/>
    <w:qFormat/>
    <w:uiPriority w:val="39"/>
    <w:pPr>
      <w:ind w:left="3360" w:leftChars="1600"/>
    </w:pPr>
  </w:style>
  <w:style w:type="paragraph" w:styleId="25">
    <w:name w:val="Normal (Web)"/>
    <w:basedOn w:val="1"/>
    <w:unhideWhenUsed/>
    <w:qFormat/>
    <w:uiPriority w:val="99"/>
    <w:pPr>
      <w:spacing w:before="0" w:beforeAutospacing="0" w:after="0" w:afterAutospacing="0"/>
      <w:ind w:left="0" w:right="0"/>
      <w:jc w:val="left"/>
    </w:pPr>
    <w:rPr>
      <w:kern w:val="0"/>
      <w:sz w:val="24"/>
      <w:lang w:val="en-US" w:eastAsia="zh-CN" w:bidi="ar"/>
    </w:rPr>
  </w:style>
  <w:style w:type="paragraph" w:styleId="26">
    <w:name w:val="annotation subject"/>
    <w:basedOn w:val="10"/>
    <w:next w:val="10"/>
    <w:link w:val="42"/>
    <w:unhideWhenUsed/>
    <w:qFormat/>
    <w:uiPriority w:val="99"/>
    <w:rPr>
      <w:b/>
      <w:bCs/>
    </w:rPr>
  </w:style>
  <w:style w:type="table" w:styleId="28">
    <w:name w:val="Table Grid"/>
    <w:basedOn w:val="2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unhideWhenUsed/>
    <w:qFormat/>
    <w:uiPriority w:val="99"/>
  </w:style>
  <w:style w:type="character" w:styleId="31">
    <w:name w:val="Hyperlink"/>
    <w:unhideWhenUsed/>
    <w:qFormat/>
    <w:uiPriority w:val="99"/>
    <w:rPr>
      <w:color w:val="0563C1"/>
      <w:u w:val="single"/>
    </w:rPr>
  </w:style>
  <w:style w:type="character" w:styleId="32">
    <w:name w:val="annotation reference"/>
    <w:unhideWhenUsed/>
    <w:qFormat/>
    <w:uiPriority w:val="99"/>
    <w:rPr>
      <w:sz w:val="21"/>
      <w:szCs w:val="21"/>
    </w:rPr>
  </w:style>
  <w:style w:type="character" w:customStyle="1" w:styleId="33">
    <w:name w:val="标题 1 字符"/>
    <w:link w:val="3"/>
    <w:qFormat/>
    <w:uiPriority w:val="0"/>
    <w:rPr>
      <w:rFonts w:eastAsia="宋体"/>
      <w:b/>
      <w:bCs/>
      <w:kern w:val="44"/>
      <w:sz w:val="44"/>
      <w:szCs w:val="44"/>
      <w:lang w:val="en-US" w:eastAsia="zh-CN" w:bidi="ar-SA"/>
    </w:rPr>
  </w:style>
  <w:style w:type="character" w:customStyle="1" w:styleId="34">
    <w:name w:val="标题 2 字符1"/>
    <w:link w:val="4"/>
    <w:qFormat/>
    <w:uiPriority w:val="0"/>
    <w:rPr>
      <w:rFonts w:ascii="宋体" w:hAnsi="Arial" w:cs="宋体"/>
      <w:sz w:val="32"/>
    </w:rPr>
  </w:style>
  <w:style w:type="character" w:customStyle="1" w:styleId="35">
    <w:name w:val="标题 9 字符"/>
    <w:link w:val="7"/>
    <w:semiHidden/>
    <w:qFormat/>
    <w:uiPriority w:val="9"/>
    <w:rPr>
      <w:rFonts w:ascii="Calibri Light" w:hAnsi="Calibri Light" w:eastAsia="宋体" w:cs="Times New Roman"/>
      <w:kern w:val="2"/>
      <w:sz w:val="21"/>
      <w:szCs w:val="21"/>
    </w:rPr>
  </w:style>
  <w:style w:type="character" w:customStyle="1" w:styleId="36">
    <w:name w:val="批注文字 字符"/>
    <w:link w:val="10"/>
    <w:qFormat/>
    <w:uiPriority w:val="99"/>
    <w:rPr>
      <w:kern w:val="2"/>
      <w:sz w:val="21"/>
      <w:szCs w:val="24"/>
    </w:rPr>
  </w:style>
  <w:style w:type="character" w:customStyle="1" w:styleId="37">
    <w:name w:val="正文文本 字符"/>
    <w:link w:val="2"/>
    <w:qFormat/>
    <w:uiPriority w:val="99"/>
    <w:rPr>
      <w:kern w:val="2"/>
      <w:sz w:val="28"/>
      <w:szCs w:val="24"/>
    </w:rPr>
  </w:style>
  <w:style w:type="character" w:customStyle="1" w:styleId="38">
    <w:name w:val="纯文本 字符"/>
    <w:link w:val="14"/>
    <w:qFormat/>
    <w:uiPriority w:val="99"/>
    <w:rPr>
      <w:rFonts w:ascii="宋体" w:hAnsi="Courier New"/>
      <w:kern w:val="2"/>
      <w:sz w:val="21"/>
      <w:szCs w:val="24"/>
    </w:rPr>
  </w:style>
  <w:style w:type="character" w:customStyle="1" w:styleId="39">
    <w:name w:val="批注框文本 字符"/>
    <w:link w:val="17"/>
    <w:semiHidden/>
    <w:qFormat/>
    <w:uiPriority w:val="99"/>
    <w:rPr>
      <w:kern w:val="2"/>
      <w:sz w:val="18"/>
      <w:szCs w:val="18"/>
    </w:rPr>
  </w:style>
  <w:style w:type="character" w:customStyle="1" w:styleId="40">
    <w:name w:val="页脚 字符"/>
    <w:link w:val="18"/>
    <w:qFormat/>
    <w:uiPriority w:val="99"/>
    <w:rPr>
      <w:kern w:val="2"/>
      <w:sz w:val="18"/>
      <w:szCs w:val="18"/>
    </w:rPr>
  </w:style>
  <w:style w:type="character" w:customStyle="1" w:styleId="41">
    <w:name w:val="TOC 2 字符"/>
    <w:link w:val="23"/>
    <w:qFormat/>
    <w:uiPriority w:val="39"/>
  </w:style>
  <w:style w:type="character" w:customStyle="1" w:styleId="42">
    <w:name w:val="批注主题 字符"/>
    <w:link w:val="26"/>
    <w:semiHidden/>
    <w:qFormat/>
    <w:uiPriority w:val="99"/>
    <w:rPr>
      <w:b/>
      <w:bCs/>
      <w:kern w:val="2"/>
      <w:sz w:val="21"/>
      <w:szCs w:val="24"/>
    </w:rPr>
  </w:style>
  <w:style w:type="character" w:customStyle="1" w:styleId="43">
    <w:name w:val="标题 1 字符1"/>
    <w:link w:val="3"/>
    <w:qFormat/>
    <w:uiPriority w:val="9"/>
    <w:rPr>
      <w:b/>
      <w:bCs/>
      <w:kern w:val="44"/>
      <w:sz w:val="44"/>
      <w:szCs w:val="44"/>
    </w:rPr>
  </w:style>
  <w:style w:type="character" w:customStyle="1" w:styleId="44">
    <w:name w:val="标题 2 字符"/>
    <w:link w:val="4"/>
    <w:qFormat/>
    <w:uiPriority w:val="0"/>
    <w:rPr>
      <w:sz w:val="28"/>
      <w:szCs w:val="20"/>
    </w:rPr>
  </w:style>
  <w:style w:type="character" w:customStyle="1" w:styleId="45">
    <w:name w:val="_Style 44"/>
    <w:unhideWhenUsed/>
    <w:qFormat/>
    <w:uiPriority w:val="99"/>
    <w:rPr>
      <w:color w:val="605E5C"/>
      <w:shd w:val="clear" w:color="auto" w:fill="E1DFDD"/>
    </w:rPr>
  </w:style>
  <w:style w:type="character" w:customStyle="1" w:styleId="46">
    <w:name w:val="font51"/>
    <w:qFormat/>
    <w:uiPriority w:val="0"/>
    <w:rPr>
      <w:rFonts w:hint="eastAsia" w:ascii="方正楷体_GBK" w:hAnsi="方正楷体_GBK" w:eastAsia="方正楷体_GBK" w:cs="方正楷体_GBK"/>
      <w:color w:val="000000"/>
      <w:sz w:val="24"/>
      <w:szCs w:val="24"/>
      <w:u w:val="none"/>
    </w:rPr>
  </w:style>
  <w:style w:type="character" w:customStyle="1" w:styleId="47">
    <w:name w:val="font71"/>
    <w:qFormat/>
    <w:uiPriority w:val="0"/>
    <w:rPr>
      <w:rFonts w:hint="eastAsia" w:ascii="方正楷体_GBK" w:hAnsi="方正楷体_GBK" w:eastAsia="方正楷体_GBK" w:cs="方正楷体_GBK"/>
      <w:i/>
      <w:color w:val="000000"/>
      <w:sz w:val="18"/>
      <w:szCs w:val="18"/>
      <w:u w:val="none"/>
    </w:rPr>
  </w:style>
  <w:style w:type="paragraph" w:customStyle="1" w:styleId="48">
    <w:name w:val="_Style 47"/>
    <w:unhideWhenUsed/>
    <w:qFormat/>
    <w:uiPriority w:val="99"/>
    <w:rPr>
      <w:rFonts w:ascii="Times New Roman" w:hAnsi="Times New Roman" w:eastAsia="宋体" w:cs="Times New Roman"/>
      <w:kern w:val="2"/>
      <w:sz w:val="21"/>
      <w:szCs w:val="24"/>
      <w:lang w:val="en-US" w:eastAsia="zh-CN" w:bidi="ar-SA"/>
    </w:rPr>
  </w:style>
  <w:style w:type="paragraph" w:customStyle="1" w:styleId="49">
    <w:name w:val="List Paragraph"/>
    <w:basedOn w:val="1"/>
    <w:qFormat/>
    <w:uiPriority w:val="34"/>
    <w:pPr>
      <w:ind w:firstLine="420" w:firstLineChars="200"/>
    </w:pPr>
  </w:style>
  <w:style w:type="paragraph" w:customStyle="1" w:styleId="50">
    <w:name w:val="_Style 49"/>
    <w:basedOn w:val="3"/>
    <w:next w:val="1"/>
    <w:qFormat/>
    <w:uiPriority w:val="39"/>
    <w:pPr>
      <w:widowControl/>
      <w:spacing w:before="240" w:after="0" w:line="259" w:lineRule="auto"/>
      <w:jc w:val="left"/>
      <w:outlineLvl w:val="9"/>
    </w:pPr>
    <w:rPr>
      <w:rFonts w:ascii="Calibri Light" w:hAnsi="Calibri Light" w:eastAsia="宋体" w:cs="Times New Roman"/>
      <w:b w:val="0"/>
      <w:bCs w:val="0"/>
      <w:color w:val="2E74B5"/>
      <w:kern w:val="0"/>
      <w:sz w:val="32"/>
      <w:szCs w:val="32"/>
    </w:rPr>
  </w:style>
  <w:style w:type="paragraph" w:customStyle="1" w:styleId="51">
    <w:name w:val="1"/>
    <w:basedOn w:val="1"/>
    <w:next w:val="14"/>
    <w:qFormat/>
    <w:uiPriority w:val="0"/>
    <w:pPr>
      <w:widowControl w:val="0"/>
      <w:jc w:val="both"/>
    </w:pPr>
    <w:rPr>
      <w:rFonts w:ascii="宋体" w:hAnsi="Courier New"/>
      <w:kern w:val="2"/>
    </w:rPr>
  </w:style>
  <w:style w:type="paragraph" w:customStyle="1" w:styleId="52">
    <w:name w:val="列出段落1"/>
    <w:basedOn w:val="1"/>
    <w:qFormat/>
    <w:uiPriority w:val="99"/>
    <w:pPr>
      <w:ind w:firstLine="420" w:firstLineChars="200"/>
    </w:pPr>
  </w:style>
  <w:style w:type="character" w:customStyle="1" w:styleId="53">
    <w:name w:val="font11"/>
    <w:basedOn w:val="29"/>
    <w:qFormat/>
    <w:uiPriority w:val="0"/>
    <w:rPr>
      <w:rFonts w:hint="eastAsia" w:ascii="宋体" w:hAnsi="宋体" w:eastAsia="宋体" w:cs="宋体"/>
      <w:color w:val="000000"/>
      <w:sz w:val="21"/>
      <w:szCs w:val="21"/>
      <w:u w:val="none"/>
    </w:rPr>
  </w:style>
  <w:style w:type="paragraph" w:customStyle="1" w:styleId="54">
    <w:name w:val="_Style 35"/>
    <w:basedOn w:val="3"/>
    <w:next w:val="1"/>
    <w:qFormat/>
    <w:uiPriority w:val="39"/>
    <w:pPr>
      <w:widowControl/>
      <w:spacing w:before="240" w:line="259" w:lineRule="auto"/>
      <w:jc w:val="left"/>
      <w:outlineLvl w:val="9"/>
    </w:pPr>
    <w:rPr>
      <w:rFonts w:ascii="Calibri Light" w:hAnsi="Calibri Light"/>
      <w:b w:val="0"/>
      <w:bCs w:val="0"/>
      <w:color w:val="2E74B5"/>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8.pn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42114</Words>
  <Characters>44321</Characters>
  <Lines>415</Lines>
  <Paragraphs>117</Paragraphs>
  <TotalTime>1</TotalTime>
  <ScaleCrop>false</ScaleCrop>
  <LinksUpToDate>false</LinksUpToDate>
  <CharactersWithSpaces>46278</CharactersWithSpaces>
  <Application>WPS Office_11.8.2.11880_F1E327BC-269C-435d-A152-05C5408002CA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2021-05-23T19:28:00Z</dcterms:created>
  <dc:creator>Chen</dc:creator>
  <cp:lastModifiedBy>administrator</cp:lastModifiedBy>
  <cp:lastPrinted>2020-04-03T18:43:00Z</cp:lastPrinted>
  <dcterms:modified xsi:type="dcterms:W3CDTF">2023-06-02T16:48:27Z</dcterms:modified>
  <dc:title>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2052-11.8.2.11880</vt:lpwstr>
  </property>
  <property fmtid="{D5CDD505-2E9C-101B-9397-08002B2CF9AE}" pid="3" name="ICV">
    <vt:lpwstr>B46BD121CC5D142D334526641740ABA5</vt:lpwstr>
  </property>
</Properties>
</file>