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757"/>
        <w:gridCol w:w="570"/>
        <w:gridCol w:w="4042"/>
        <w:gridCol w:w="2114"/>
        <w:gridCol w:w="1117"/>
        <w:gridCol w:w="1094"/>
        <w:gridCol w:w="1380"/>
        <w:gridCol w:w="151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参考图片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质保期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采购数量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含税单价限价（元）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含税总价限价（元）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铝烤盘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外形尺寸：400*600*40mm，厚度≥1.2mm；材质：全新铝板材；工艺：无接缝一体成型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581025" cy="695325"/>
                  <wp:effectExtent l="0" t="0" r="9525" b="9525"/>
                  <wp:docPr id="34" name="图片 1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1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定制铝烤盘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外形尺寸：460*660*40mm，厚度≥1.0mm；材质：全新合金板材；工艺要求：无接缝一体成型；可根据采购人实际需求定制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742950" cy="695325"/>
                  <wp:effectExtent l="0" t="0" r="0" b="9525"/>
                  <wp:docPr id="35" name="图片 14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14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定制白钢盘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外形尺寸：400*600*60mm，厚度≥1.2mm；材质：全新304白钢材质；配置：双面配白钢把手；可根据采购人实际需求定制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685800" cy="695325"/>
                  <wp:effectExtent l="0" t="0" r="0" b="9525"/>
                  <wp:docPr id="36" name="图片 15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15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白钢水篦子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外形尺寸：条形格栅，500*395*20mm，板材厚度3mm；材质：304不锈钢；工艺要求：焊接牢固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742950" cy="695325"/>
                  <wp:effectExtent l="0" t="0" r="0" b="9525"/>
                  <wp:docPr id="38" name="图片 16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16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白钢地坪车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辆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外形尺寸：600*700*200mm；材质：304不锈钢；工艺要求：车架38*38mm方白钢焊接；底部配4个3吋承重万向轮；承重：150kg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914400" cy="695325"/>
                  <wp:effectExtent l="0" t="0" r="0" b="9525"/>
                  <wp:docPr id="39" name="图片 17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17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白钢插盘车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辆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外形尺寸：615*645*1550mm，车架30*50mm方钢型材，双列10层；材质：304不锈钢；配置：底部配4个可拆卸5吋承重万向轮；承重：600kg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714375" cy="695325"/>
                  <wp:effectExtent l="0" t="0" r="9525" b="9525"/>
                  <wp:docPr id="37" name="图片 18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18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2880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白钢推车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辆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外形尺寸：1200*200*500mm；材质：201不锈钢；配置：底部配4个5吋万向轮；承重：500kg；工艺要求：40*40mm方钢焊接。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790575" cy="695325"/>
                  <wp:effectExtent l="0" t="0" r="9525" b="9525"/>
                  <wp:docPr id="40" name="图片 19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19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白钢浸泡池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外形尺寸：900*750*600mm，厚度≥2mm；材质：304不锈钢；载重：1000kg；配置：单侧有把手，池底配4个5吋万向轮，配铜芯不锈钢曲棍下水器。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895350" cy="695325"/>
                  <wp:effectExtent l="0" t="0" r="0" b="9525"/>
                  <wp:docPr id="42" name="图片 20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20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3780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白钢单星池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尺寸：外尺寸2000*750*820MM,内胆深500mm；材质：主体304不锈钢，钢材厚度≥1.5mm，外圈304材质装饰板，钢材厚度≥0.8mm；配置：6只支撑腿，安装可调节底腿，一套曲棍下水装置，外加一个4分冷水龙头。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1009650" cy="495300"/>
                  <wp:effectExtent l="0" t="0" r="0" b="0"/>
                  <wp:docPr id="43" name="图片 21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21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4940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铸铁炉头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外形尺寸：（内径85mm，最宽外径100mm）*高170mm，具有四分外牙通气孔；材质：铸铁；配套服务：包上门拆除旧炉头、安装新炉头服务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590550" cy="695325"/>
                  <wp:effectExtent l="0" t="0" r="0" b="9525"/>
                  <wp:docPr id="44" name="图片 22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22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83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炉灶套泥维修服务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次/台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现场维修，包工包料，要求工艺平整。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666750" cy="695325"/>
                  <wp:effectExtent l="0" t="0" r="0" b="9525"/>
                  <wp:docPr id="45" name="图片 23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23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2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6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熄火保护装置</w:t>
            </w:r>
          </w:p>
        </w:tc>
        <w:tc>
          <w:tcPr>
            <w:tcW w:w="2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14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型号：改装ZWYC-003；配置：电子保护装置，一个点火针，一个电子按钮开关，一个电磁阀；功能：点火顺畅；配套服务：现场安装调试，施工人员须有技术资质证</w:t>
            </w:r>
          </w:p>
        </w:tc>
        <w:tc>
          <w:tcPr>
            <w:tcW w:w="7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drawing>
                <wp:inline distT="0" distB="0" distL="114300" distR="114300">
                  <wp:extent cx="523875" cy="695325"/>
                  <wp:effectExtent l="0" t="0" r="9525" b="9525"/>
                  <wp:docPr id="41" name="图片 24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24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3个月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4466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53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75000</w:t>
            </w:r>
          </w:p>
        </w:tc>
      </w:tr>
    </w:tbl>
    <w:p>
      <w:pPr>
        <w:kinsoku/>
        <w:wordWrap/>
        <w:overflowPunct/>
        <w:topLinePunct w:val="0"/>
        <w:autoSpaceDE/>
        <w:autoSpaceDN/>
        <w:bidi w:val="0"/>
        <w:adjustRightInd w:val="0"/>
        <w:snapToGrid w:val="0"/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6B7CA0"/>
    <w:multiLevelType w:val="singleLevel"/>
    <w:tmpl w:val="E96B7CA0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1517E2AC"/>
    <w:multiLevelType w:val="singleLevel"/>
    <w:tmpl w:val="1517E2AC"/>
    <w:lvl w:ilvl="0" w:tentative="0">
      <w:start w:val="1"/>
      <w:numFmt w:val="chineseCounting"/>
      <w:pStyle w:val="6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855385"/>
    <w:rsid w:val="16FF5B47"/>
    <w:rsid w:val="28855385"/>
    <w:rsid w:val="291B6C85"/>
    <w:rsid w:val="444E3CFC"/>
    <w:rsid w:val="53614D5A"/>
    <w:rsid w:val="5C2048B3"/>
    <w:rsid w:val="677D2756"/>
    <w:rsid w:val="726C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semiHidden/>
    <w:unhideWhenUsed/>
    <w:qFormat/>
    <w:uiPriority w:val="0"/>
    <w:pPr>
      <w:keepNext/>
      <w:numPr>
        <w:ilvl w:val="0"/>
        <w:numId w:val="1"/>
      </w:numPr>
      <w:ind w:left="990"/>
      <w:outlineLvl w:val="1"/>
    </w:pPr>
    <w:rPr>
      <w:rFonts w:ascii="Times New Roman" w:hAnsi="Times New Roman" w:eastAsia="方正黑体_GBK" w:cs="Times New Roman"/>
      <w:b/>
      <w:sz w:val="28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99"/>
    <w:rPr>
      <w:sz w:val="28"/>
    </w:rPr>
  </w:style>
  <w:style w:type="paragraph" w:styleId="5">
    <w:name w:val="Normal Indent"/>
    <w:basedOn w:val="1"/>
    <w:next w:val="1"/>
    <w:unhideWhenUsed/>
    <w:qFormat/>
    <w:uiPriority w:val="99"/>
    <w:pPr>
      <w:ind w:firstLine="420" w:firstLineChars="200"/>
    </w:pPr>
  </w:style>
  <w:style w:type="paragraph" w:styleId="6">
    <w:name w:val="toc 1"/>
    <w:basedOn w:val="1"/>
    <w:next w:val="1"/>
    <w:uiPriority w:val="0"/>
    <w:pPr>
      <w:numPr>
        <w:ilvl w:val="0"/>
        <w:numId w:val="2"/>
      </w:numPr>
    </w:pPr>
    <w:rPr>
      <w:rFonts w:ascii="Times New Roman" w:hAnsi="Times New Roman" w:eastAsia="方正黑体_GBK" w:cs="Times New Roman"/>
      <w:b/>
      <w:sz w:val="28"/>
    </w:rPr>
  </w:style>
  <w:style w:type="paragraph" w:customStyle="1" w:styleId="9">
    <w:name w:val="Normald582e0ba"/>
    <w:next w:val="1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0">
    <w:name w:val="heading 12"/>
    <w:basedOn w:val="11"/>
    <w:next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customStyle="1" w:styleId="11">
    <w:name w:val="Normal1"/>
    <w:next w:val="1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2">
    <w:name w:val="toc 12"/>
    <w:basedOn w:val="11"/>
    <w:next w:val="11"/>
    <w:unhideWhenUsed/>
    <w:qFormat/>
    <w:uiPriority w:val="39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2025-06-20T02:34:00Z</dcterms:created>
  <dc:creator>裴彦如</dc:creator>
  <cp:lastModifiedBy>裴彦如</cp:lastModifiedBy>
  <dcterms:modified xsi:type="dcterms:W3CDTF">2025-06-20T02:44:32Z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7C301CDAFCE4425AB2294E9DC2C99018_13</vt:lpwstr>
  </property>
</Properties>
</file>