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exact"/>
        <w:ind w:firstLine="0" w:firstLineChars="0"/>
        <w:rPr>
          <w:rFonts w:hint="eastAsia" w:ascii="宋体" w:hAnsi="宋体" w:cs="宋体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  <w:lang w:val="en-US" w:eastAsia="zh-CN"/>
        </w:rPr>
        <w:t>附件1、产品明细</w:t>
      </w:r>
    </w:p>
    <w:p>
      <w:pPr>
        <w:spacing w:line="360" w:lineRule="exact"/>
        <w:ind w:firstLine="0" w:firstLineChars="0"/>
        <w:rPr>
          <w:rFonts w:hint="eastAsia" w:ascii="宋体" w:hAnsi="宋体" w:cs="宋体"/>
          <w:szCs w:val="21"/>
          <w:highlight w:val="none"/>
          <w:lang w:val="en-US" w:eastAsia="zh-CN"/>
        </w:rPr>
      </w:pPr>
    </w:p>
    <w:tbl>
      <w:tblPr>
        <w:tblStyle w:val="2"/>
        <w:tblW w:w="853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650"/>
        <w:gridCol w:w="3060"/>
        <w:gridCol w:w="750"/>
        <w:gridCol w:w="780"/>
        <w:gridCol w:w="162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5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单价限价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（单位：元，人民币）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3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语音记录仪系统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记录主机：符合信创CPU/8G内存/2T*2硬盘/麒麟操作系统、模拟语音记录卡、PowerRec 记录仪软件、PowerRec 32路模拟线路记录授权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监控终端（含监控管理软件）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符合信创CPU/8G内存/1T硬盘/麒麟操作系统/记录仪监控管理软件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安装辅材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安装所需线缆、配线架等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总价限价：361600元。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795EA3"/>
    <w:rsid w:val="036D5813"/>
    <w:rsid w:val="33795EA3"/>
    <w:rsid w:val="3CDA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Office_12.8.0.16982_F1E327BC-269C-435d-A152-05C5408002CA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2025-10-09T07:04:00Z</dcterms:created>
  <dc:creator>杨丹</dc:creator>
  <cp:lastModifiedBy>杨丹</cp:lastModifiedBy>
  <dcterms:modified xsi:type="dcterms:W3CDTF">2025-10-09T07:12:07Z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2052-12.8.0.16982</vt:lpwstr>
  </property>
  <property fmtid="{D5CDD505-2E9C-101B-9397-08002B2CF9AE}" pid="3" name="ICV">
    <vt:lpwstr>3AEF9548EFD4434AA5BFDF03B1CAF7E9_13</vt:lpwstr>
  </property>
</Properties>
</file>