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rFonts w:hint="default"/>
          <w:sz w:val="24"/>
          <w:u w:val="single"/>
          <w:lang w:val="en-US" w:eastAsia="zh-CN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              </w:t>
      </w:r>
    </w:p>
    <w:p>
      <w:pPr>
        <w:spacing w:line="400" w:lineRule="exact"/>
        <w:rPr>
          <w:sz w:val="24"/>
        </w:rPr>
      </w:pPr>
      <w:r>
        <w:rPr>
          <w:rFonts w:hint="eastAsia"/>
          <w:sz w:val="24"/>
          <w:u w:val="single"/>
          <w:lang w:val="en-US" w:eastAsia="zh-CN"/>
        </w:rPr>
        <w:t xml:space="preserve">       </w:t>
      </w:r>
      <w:r>
        <w:rPr>
          <w:rFonts w:hint="eastAsia"/>
          <w:sz w:val="24"/>
          <w:u w:val="single"/>
        </w:rPr>
        <w:t>房产出售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 xml:space="preserve">CS-2025-BDC    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/>
                <w:sz w:val="24"/>
              </w:rPr>
              <w:t xml:space="preserve">房产出售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（单位名称并加盖公章，或自然人签名并按手指印）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4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2025-10-14T01:25:21Z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